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6728" w14:textId="77777777" w:rsidR="007A24D8" w:rsidRPr="004E279D" w:rsidRDefault="007A24D8" w:rsidP="007A24D8">
      <w:pPr>
        <w:rPr>
          <w:rFonts w:ascii="Times New Roman" w:hAnsi="Times New Roman" w:cs="Times New Roman"/>
          <w:b/>
          <w:bCs/>
        </w:rPr>
      </w:pPr>
      <w:r w:rsidRPr="004E279D">
        <w:rPr>
          <w:rFonts w:ascii="Times New Roman" w:hAnsi="Times New Roman" w:cs="Times New Roman"/>
          <w:b/>
          <w:bCs/>
        </w:rPr>
        <w:t>Photoswitchable mGluR6 agonist elicits light responses in human retinal organoids through selective recruitment of ON-pathway single units</w:t>
      </w:r>
    </w:p>
    <w:p w14:paraId="62DE2573" w14:textId="17711B96" w:rsidR="00C25C4C" w:rsidRPr="004E279D" w:rsidRDefault="00C25C4C" w:rsidP="007A24D8">
      <w:pPr>
        <w:rPr>
          <w:rFonts w:ascii="Times New Roman" w:hAnsi="Times New Roman" w:cs="Times New Roman"/>
          <w:lang w:val="es-AR"/>
        </w:rPr>
      </w:pPr>
      <w:r w:rsidRPr="004E279D">
        <w:rPr>
          <w:rFonts w:ascii="Times New Roman" w:hAnsi="Times New Roman" w:cs="Times New Roman"/>
          <w:u w:val="single"/>
          <w:lang w:val="es-AR"/>
        </w:rPr>
        <w:t>Joaquín Martínez Tambella</w:t>
      </w:r>
      <w:r w:rsidRPr="004E279D">
        <w:rPr>
          <w:rFonts w:ascii="Times New Roman" w:hAnsi="Times New Roman" w:cs="Times New Roman"/>
          <w:vertAlign w:val="superscript"/>
          <w:lang w:val="es-AR"/>
        </w:rPr>
        <w:t>1,2,3</w:t>
      </w:r>
      <w:r w:rsidR="004E279D">
        <w:rPr>
          <w:rFonts w:ascii="Times New Roman" w:hAnsi="Times New Roman" w:cs="Times New Roman"/>
          <w:vertAlign w:val="superscript"/>
          <w:lang w:val="es-AR"/>
        </w:rPr>
        <w:t>,</w:t>
      </w:r>
      <w:r w:rsidRPr="004E279D">
        <w:rPr>
          <w:rFonts w:ascii="Times New Roman" w:hAnsi="Times New Roman" w:cs="Times New Roman"/>
          <w:vertAlign w:val="superscript"/>
          <w:lang w:val="es-AR"/>
        </w:rPr>
        <w:t>*</w:t>
      </w:r>
      <w:r w:rsidRPr="004E279D">
        <w:rPr>
          <w:rFonts w:ascii="Times New Roman" w:hAnsi="Times New Roman" w:cs="Times New Roman"/>
          <w:lang w:val="es-AR"/>
        </w:rPr>
        <w:t>, Edwin van Oosten</w:t>
      </w:r>
      <w:r w:rsidRPr="004E279D">
        <w:rPr>
          <w:rFonts w:ascii="Times New Roman" w:hAnsi="Times New Roman" w:cs="Times New Roman"/>
          <w:vertAlign w:val="superscript"/>
          <w:lang w:val="es-AR"/>
        </w:rPr>
        <w:t>4</w:t>
      </w:r>
      <w:r w:rsidR="004E279D">
        <w:rPr>
          <w:rFonts w:ascii="Times New Roman" w:hAnsi="Times New Roman" w:cs="Times New Roman"/>
          <w:vertAlign w:val="superscript"/>
          <w:lang w:val="es-AR"/>
        </w:rPr>
        <w:t>,</w:t>
      </w:r>
      <w:r w:rsidRPr="004E279D">
        <w:rPr>
          <w:rFonts w:ascii="Times New Roman" w:hAnsi="Times New Roman" w:cs="Times New Roman"/>
          <w:vertAlign w:val="superscript"/>
          <w:lang w:val="es-AR"/>
        </w:rPr>
        <w:t>*</w:t>
      </w:r>
      <w:r w:rsidRPr="004E279D">
        <w:rPr>
          <w:rFonts w:ascii="Times New Roman" w:hAnsi="Times New Roman" w:cs="Times New Roman"/>
          <w:lang w:val="es-AR"/>
        </w:rPr>
        <w:t>, Wietske Kieboom</w:t>
      </w:r>
      <w:r w:rsidRPr="004E279D">
        <w:rPr>
          <w:rFonts w:ascii="Times New Roman" w:hAnsi="Times New Roman" w:cs="Times New Roman"/>
          <w:vertAlign w:val="superscript"/>
          <w:lang w:val="es-AR"/>
        </w:rPr>
        <w:t>4</w:t>
      </w:r>
      <w:r w:rsidRPr="004E279D">
        <w:rPr>
          <w:rFonts w:ascii="Times New Roman" w:hAnsi="Times New Roman" w:cs="Times New Roman"/>
          <w:lang w:val="es-AR"/>
        </w:rPr>
        <w:t xml:space="preserve">, Pau Gorostiza </w:t>
      </w:r>
      <w:r w:rsidRPr="004E279D">
        <w:rPr>
          <w:rFonts w:ascii="Times New Roman" w:hAnsi="Times New Roman" w:cs="Times New Roman"/>
          <w:vertAlign w:val="superscript"/>
          <w:lang w:val="es-AR"/>
        </w:rPr>
        <w:t>1,3,5</w:t>
      </w:r>
      <w:r w:rsidRPr="004E279D">
        <w:rPr>
          <w:rFonts w:ascii="Times New Roman" w:hAnsi="Times New Roman" w:cs="Times New Roman"/>
          <w:lang w:val="es-AR"/>
        </w:rPr>
        <w:t>, Ale</w:t>
      </w:r>
      <w:r w:rsidR="004E279D">
        <w:rPr>
          <w:rFonts w:ascii="Times New Roman" w:hAnsi="Times New Roman" w:cs="Times New Roman"/>
          <w:lang w:val="es-AR"/>
        </w:rPr>
        <w:t>jandro</w:t>
      </w:r>
      <w:r w:rsidRPr="004E279D">
        <w:rPr>
          <w:rFonts w:ascii="Times New Roman" w:hAnsi="Times New Roman" w:cs="Times New Roman"/>
          <w:lang w:val="es-AR"/>
        </w:rPr>
        <w:t xml:space="preserve"> Garanto</w:t>
      </w:r>
      <w:r w:rsidR="003E1889" w:rsidRPr="004E279D">
        <w:rPr>
          <w:rFonts w:ascii="Times New Roman" w:hAnsi="Times New Roman" w:cs="Times New Roman"/>
          <w:lang w:val="es-AR"/>
        </w:rPr>
        <w:t xml:space="preserve"> </w:t>
      </w:r>
      <w:r w:rsidRPr="004E279D">
        <w:rPr>
          <w:rFonts w:ascii="Times New Roman" w:hAnsi="Times New Roman" w:cs="Times New Roman"/>
          <w:vertAlign w:val="superscript"/>
          <w:lang w:val="es-AR"/>
        </w:rPr>
        <w:t>4</w:t>
      </w:r>
      <w:r w:rsidR="003E1889" w:rsidRPr="004E279D">
        <w:rPr>
          <w:rFonts w:ascii="Times New Roman" w:hAnsi="Times New Roman" w:cs="Times New Roman"/>
          <w:vertAlign w:val="superscript"/>
          <w:lang w:val="es-AR"/>
        </w:rPr>
        <w:t>,6</w:t>
      </w:r>
    </w:p>
    <w:p w14:paraId="4B640AD1" w14:textId="77777777" w:rsidR="003E1889" w:rsidRPr="004E279D" w:rsidRDefault="003E1889" w:rsidP="003E1889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4E279D">
        <w:rPr>
          <w:rStyle w:val="normaltextrun"/>
          <w:rFonts w:eastAsiaTheme="majorEastAsia"/>
          <w:sz w:val="20"/>
          <w:szCs w:val="20"/>
        </w:rPr>
        <w:t>1. Institute for Bioengineering of Catalonia (IBEC), Barcelona Institute for Science and Technology.</w:t>
      </w:r>
      <w:r w:rsidRPr="004E279D">
        <w:rPr>
          <w:rStyle w:val="eop"/>
          <w:rFonts w:eastAsiaTheme="majorEastAsia"/>
          <w:sz w:val="20"/>
          <w:szCs w:val="20"/>
        </w:rPr>
        <w:t> </w:t>
      </w:r>
    </w:p>
    <w:p w14:paraId="57FFCEAA" w14:textId="77777777" w:rsidR="003E1889" w:rsidRPr="004E279D" w:rsidRDefault="003E1889" w:rsidP="003E1889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E279D">
        <w:rPr>
          <w:rStyle w:val="normaltextrun"/>
          <w:rFonts w:eastAsiaTheme="majorEastAsia"/>
          <w:sz w:val="20"/>
          <w:szCs w:val="20"/>
        </w:rPr>
        <w:t>2. University of Barcelona Doctorate Program.</w:t>
      </w:r>
      <w:r w:rsidRPr="004E279D">
        <w:rPr>
          <w:rStyle w:val="eop"/>
          <w:rFonts w:eastAsiaTheme="majorEastAsia"/>
          <w:sz w:val="20"/>
          <w:szCs w:val="20"/>
        </w:rPr>
        <w:t> </w:t>
      </w:r>
    </w:p>
    <w:p w14:paraId="0BA82854" w14:textId="77777777" w:rsidR="003E1889" w:rsidRPr="004E279D" w:rsidRDefault="003E1889" w:rsidP="003E1889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E279D">
        <w:rPr>
          <w:rStyle w:val="normaltextrun"/>
          <w:rFonts w:eastAsiaTheme="majorEastAsia"/>
          <w:sz w:val="20"/>
          <w:szCs w:val="20"/>
        </w:rPr>
        <w:t>3. CIBER-BBN.</w:t>
      </w:r>
      <w:r w:rsidRPr="004E279D">
        <w:rPr>
          <w:rStyle w:val="eop"/>
          <w:rFonts w:eastAsiaTheme="majorEastAsia"/>
          <w:sz w:val="20"/>
          <w:szCs w:val="20"/>
        </w:rPr>
        <w:t> </w:t>
      </w:r>
    </w:p>
    <w:p w14:paraId="4D1FC674" w14:textId="14640139" w:rsidR="003E1889" w:rsidRPr="004E279D" w:rsidRDefault="003E1889" w:rsidP="003E1889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E279D">
        <w:rPr>
          <w:rStyle w:val="normaltextrun"/>
          <w:rFonts w:eastAsiaTheme="majorEastAsia"/>
          <w:sz w:val="20"/>
          <w:szCs w:val="20"/>
        </w:rPr>
        <w:t>4. </w:t>
      </w:r>
      <w:r w:rsidRPr="004E279D">
        <w:rPr>
          <w:rFonts w:eastAsiaTheme="majorEastAsia"/>
          <w:sz w:val="20"/>
          <w:szCs w:val="20"/>
        </w:rPr>
        <w:t>Department of Pediatrics, Radboud University Medical Center, Nijmegen, 6525GA, the Netherlands.</w:t>
      </w:r>
    </w:p>
    <w:p w14:paraId="570D22DC" w14:textId="2075907B" w:rsidR="003E1889" w:rsidRPr="004E279D" w:rsidRDefault="003E1889" w:rsidP="003E1889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0"/>
          <w:szCs w:val="20"/>
        </w:rPr>
      </w:pPr>
      <w:r w:rsidRPr="004E279D">
        <w:rPr>
          <w:rStyle w:val="normaltextrun"/>
          <w:rFonts w:eastAsiaTheme="majorEastAsia"/>
          <w:sz w:val="20"/>
          <w:szCs w:val="20"/>
        </w:rPr>
        <w:t xml:space="preserve">5. </w:t>
      </w:r>
      <w:r w:rsidR="004E279D" w:rsidRPr="004E279D">
        <w:rPr>
          <w:rFonts w:eastAsiaTheme="majorEastAsia"/>
          <w:sz w:val="20"/>
          <w:szCs w:val="20"/>
        </w:rPr>
        <w:t>Catalan Institution of Research and Advanced Studies (ICREA)</w:t>
      </w:r>
      <w:r w:rsidR="004E279D" w:rsidRPr="004E279D">
        <w:rPr>
          <w:rFonts w:eastAsiaTheme="majorEastAsia"/>
          <w:sz w:val="20"/>
          <w:szCs w:val="20"/>
        </w:rPr>
        <w:t>.</w:t>
      </w:r>
      <w:r w:rsidR="004E279D" w:rsidRPr="004E279D">
        <w:rPr>
          <w:rFonts w:eastAsiaTheme="majorEastAsia"/>
          <w:sz w:val="20"/>
          <w:szCs w:val="20"/>
        </w:rPr>
        <w:t> </w:t>
      </w:r>
    </w:p>
    <w:p w14:paraId="7645B132" w14:textId="7D640E6C" w:rsidR="004E279D" w:rsidRPr="004E279D" w:rsidRDefault="004E279D" w:rsidP="003E1889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0"/>
          <w:szCs w:val="20"/>
        </w:rPr>
      </w:pPr>
      <w:r w:rsidRPr="004E279D">
        <w:rPr>
          <w:rStyle w:val="normaltextrun"/>
          <w:rFonts w:eastAsiaTheme="majorEastAsia"/>
          <w:sz w:val="20"/>
          <w:szCs w:val="20"/>
        </w:rPr>
        <w:t>6</w:t>
      </w:r>
      <w:r w:rsidRPr="004E279D">
        <w:rPr>
          <w:rStyle w:val="normaltextrun"/>
          <w:rFonts w:eastAsiaTheme="majorEastAsia"/>
          <w:sz w:val="20"/>
          <w:szCs w:val="20"/>
        </w:rPr>
        <w:t>.</w:t>
      </w:r>
      <w:r w:rsidRPr="004E279D">
        <w:rPr>
          <w:rStyle w:val="normaltextrun"/>
          <w:rFonts w:eastAsiaTheme="majorEastAsia"/>
          <w:sz w:val="20"/>
          <w:szCs w:val="20"/>
        </w:rPr>
        <w:t xml:space="preserve"> </w:t>
      </w:r>
      <w:r w:rsidRPr="004E279D">
        <w:rPr>
          <w:rFonts w:eastAsiaTheme="majorEastAsia"/>
          <w:sz w:val="20"/>
          <w:szCs w:val="20"/>
        </w:rPr>
        <w:t>Department of Human Genetics, Radboud University Medical Center, Nijmegen, 6525GA, the Netherlands.</w:t>
      </w:r>
    </w:p>
    <w:p w14:paraId="4FCC755F" w14:textId="3489369B" w:rsidR="004E279D" w:rsidRPr="004E279D" w:rsidRDefault="004E279D" w:rsidP="003E1889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0"/>
          <w:szCs w:val="20"/>
        </w:rPr>
      </w:pPr>
      <w:r w:rsidRPr="004E279D">
        <w:rPr>
          <w:rFonts w:eastAsiaTheme="majorEastAsia"/>
          <w:sz w:val="20"/>
          <w:szCs w:val="20"/>
        </w:rPr>
        <w:t>* Equivalent contribution</w:t>
      </w:r>
    </w:p>
    <w:p w14:paraId="27F8D667" w14:textId="77777777" w:rsidR="004E279D" w:rsidRDefault="004E279D" w:rsidP="003E18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A341CB6" w14:textId="04AA6EFD" w:rsidR="007A24D8" w:rsidRPr="004E279D" w:rsidRDefault="007A24D8" w:rsidP="007A24D8">
      <w:pPr>
        <w:rPr>
          <w:rFonts w:ascii="Times New Roman" w:hAnsi="Times New Roman" w:cs="Times New Roman"/>
        </w:rPr>
      </w:pPr>
      <w:r w:rsidRPr="004E279D">
        <w:rPr>
          <w:rFonts w:ascii="Times New Roman" w:hAnsi="Times New Roman" w:cs="Times New Roman"/>
          <w:b/>
          <w:bCs/>
        </w:rPr>
        <w:t>Background:</w:t>
      </w:r>
      <w:r w:rsidRPr="004E279D">
        <w:rPr>
          <w:rFonts w:ascii="Times New Roman" w:hAnsi="Times New Roman" w:cs="Times New Roman"/>
        </w:rPr>
        <w:t xml:space="preserve"> Retinal degenerative diseases cause photoreceptor loss and vision impairment. Photopharmacology for vision restoration aims to bypass photoreceptors by directly activating downstream circuits. Prosthe6-20 (p6-20), a photoswitchable mGluR6 agonist, targets ON-bipolar cells to restore light-driven output independently of photoreceptors. P6-20 has demonstrated visual acuity restoration in blindness models both in zebrafish larvae and mice, supporting translation to human systems. Human iPSC-derived retinal organoids (ROs) provide a physiologically relevant ex vivo platform to evaluate such strategies. Current </w:t>
      </w:r>
      <w:r w:rsidR="00C25C4C" w:rsidRPr="004E279D">
        <w:rPr>
          <w:rFonts w:ascii="Times New Roman" w:hAnsi="Times New Roman" w:cs="Times New Roman"/>
        </w:rPr>
        <w:t>RO</w:t>
      </w:r>
      <w:r w:rsidRPr="004E279D">
        <w:rPr>
          <w:rFonts w:ascii="Times New Roman" w:hAnsi="Times New Roman" w:cs="Times New Roman"/>
        </w:rPr>
        <w:t>-</w:t>
      </w:r>
      <w:r w:rsidR="009C7347" w:rsidRPr="004E279D">
        <w:rPr>
          <w:rFonts w:ascii="Times New Roman" w:hAnsi="Times New Roman" w:cs="Times New Roman"/>
        </w:rPr>
        <w:t>multi-electrode array (MEA)</w:t>
      </w:r>
      <w:r w:rsidRPr="004E279D">
        <w:rPr>
          <w:rFonts w:ascii="Times New Roman" w:hAnsi="Times New Roman" w:cs="Times New Roman"/>
        </w:rPr>
        <w:t xml:space="preserve"> systems face technical challenges including incomplete 9-cis retinal recycling and </w:t>
      </w:r>
      <w:r w:rsidR="00C25C4C" w:rsidRPr="004E279D">
        <w:rPr>
          <w:rFonts w:ascii="Times New Roman" w:hAnsi="Times New Roman" w:cs="Times New Roman"/>
        </w:rPr>
        <w:t>limited</w:t>
      </w:r>
      <w:r w:rsidRPr="004E279D">
        <w:rPr>
          <w:rFonts w:ascii="Times New Roman" w:hAnsi="Times New Roman" w:cs="Times New Roman"/>
        </w:rPr>
        <w:t xml:space="preserve"> maturation, </w:t>
      </w:r>
      <w:r w:rsidR="009C7347" w:rsidRPr="004E279D">
        <w:rPr>
          <w:rFonts w:ascii="Times New Roman" w:hAnsi="Times New Roman" w:cs="Times New Roman"/>
        </w:rPr>
        <w:t>showing</w:t>
      </w:r>
      <w:r w:rsidR="00C25C4C" w:rsidRPr="004E279D">
        <w:rPr>
          <w:rFonts w:ascii="Times New Roman" w:hAnsi="Times New Roman" w:cs="Times New Roman"/>
        </w:rPr>
        <w:t xml:space="preserve"> heterogeneous</w:t>
      </w:r>
      <w:r w:rsidRPr="004E279D">
        <w:rPr>
          <w:rFonts w:ascii="Times New Roman" w:hAnsi="Times New Roman" w:cs="Times New Roman"/>
        </w:rPr>
        <w:t xml:space="preserve"> light responses.</w:t>
      </w:r>
    </w:p>
    <w:p w14:paraId="5C3E27EA" w14:textId="18F192FB" w:rsidR="007A24D8" w:rsidRPr="004E279D" w:rsidRDefault="007A24D8" w:rsidP="007A24D8">
      <w:pPr>
        <w:rPr>
          <w:rFonts w:ascii="Times New Roman" w:hAnsi="Times New Roman" w:cs="Times New Roman"/>
        </w:rPr>
      </w:pPr>
      <w:r w:rsidRPr="004E279D">
        <w:rPr>
          <w:rFonts w:ascii="Times New Roman" w:hAnsi="Times New Roman" w:cs="Times New Roman"/>
          <w:b/>
          <w:bCs/>
        </w:rPr>
        <w:t>Methods:</w:t>
      </w:r>
      <w:r w:rsidRPr="004E279D">
        <w:rPr>
          <w:rFonts w:ascii="Times New Roman" w:hAnsi="Times New Roman" w:cs="Times New Roman"/>
        </w:rPr>
        <w:t xml:space="preserve"> </w:t>
      </w:r>
      <w:r w:rsidR="009C7347" w:rsidRPr="004E279D">
        <w:rPr>
          <w:rFonts w:ascii="Times New Roman" w:hAnsi="Times New Roman" w:cs="Times New Roman"/>
        </w:rPr>
        <w:t>Healthy iPSC derived</w:t>
      </w:r>
      <w:r w:rsidR="00C25C4C" w:rsidRPr="004E279D">
        <w:rPr>
          <w:rFonts w:ascii="Times New Roman" w:hAnsi="Times New Roman" w:cs="Times New Roman"/>
        </w:rPr>
        <w:t xml:space="preserve"> </w:t>
      </w:r>
      <w:r w:rsidRPr="004E279D">
        <w:rPr>
          <w:rFonts w:ascii="Times New Roman" w:hAnsi="Times New Roman" w:cs="Times New Roman"/>
        </w:rPr>
        <w:t xml:space="preserve">ROs were plated on </w:t>
      </w:r>
      <w:r w:rsidR="00C25C4C" w:rsidRPr="004E279D">
        <w:rPr>
          <w:rFonts w:ascii="Times New Roman" w:hAnsi="Times New Roman" w:cs="Times New Roman"/>
        </w:rPr>
        <w:t>MEA</w:t>
      </w:r>
      <w:r w:rsidRPr="004E279D">
        <w:rPr>
          <w:rFonts w:ascii="Times New Roman" w:hAnsi="Times New Roman" w:cs="Times New Roman"/>
        </w:rPr>
        <w:t xml:space="preserve"> for electrophysiological recordings (DIV 210+). Standardized 2-minute dark/light cycles were applied at baseline and after p6-20 (32 µM). Activity was recorded from </w:t>
      </w:r>
      <w:r w:rsidR="00C25C4C" w:rsidRPr="004E279D">
        <w:rPr>
          <w:rFonts w:ascii="Times New Roman" w:hAnsi="Times New Roman" w:cs="Times New Roman"/>
        </w:rPr>
        <w:t xml:space="preserve">8 </w:t>
      </w:r>
      <w:r w:rsidRPr="004E279D">
        <w:rPr>
          <w:rFonts w:ascii="Times New Roman" w:hAnsi="Times New Roman" w:cs="Times New Roman"/>
        </w:rPr>
        <w:t>electrodes with consistent firing (5 organoids, &gt;0.3 Hz). Light responses were quantified via normalized Light Response Index (LRI). Spike sorting resolved putative single units (≥180 spikes) to assess functional heterogeneity masked by population averaging.</w:t>
      </w:r>
    </w:p>
    <w:p w14:paraId="578E25E1" w14:textId="40963B3F" w:rsidR="007A24D8" w:rsidRPr="004E279D" w:rsidRDefault="007A24D8" w:rsidP="007A24D8">
      <w:pPr>
        <w:rPr>
          <w:rFonts w:ascii="Times New Roman" w:hAnsi="Times New Roman" w:cs="Times New Roman"/>
        </w:rPr>
      </w:pPr>
      <w:r w:rsidRPr="004E279D">
        <w:rPr>
          <w:rFonts w:ascii="Times New Roman" w:hAnsi="Times New Roman" w:cs="Times New Roman"/>
          <w:b/>
          <w:bCs/>
        </w:rPr>
        <w:t>Results:</w:t>
      </w:r>
      <w:r w:rsidRPr="004E279D">
        <w:rPr>
          <w:rFonts w:ascii="Times New Roman" w:hAnsi="Times New Roman" w:cs="Times New Roman"/>
        </w:rPr>
        <w:t xml:space="preserve"> At baseline, ROs displayed spontaneous activity but minimal light responses (LRI 0.00±0.06), with no electrodes meeting ON-response criterion (LRI &gt;0.3). With p6-20, electrode-level LRI increased (0.13±0.08), with 1/8 electrodes reaching ON-response threshold. Spike sorting resolved 13 active units at baseline and 19 post-treatment. Critically, single-unit analysis revealed ON-type responses in 3/19 units post-treatment (LRI 0.42-0.85) across 3 electrodes, compared to 1/13 units at baseline. Spike sorting unmasks functional heterogeneity invisible at population level, revealing selective recruitment of mGluR6-expressing neuronal subpopulations.</w:t>
      </w:r>
    </w:p>
    <w:p w14:paraId="39DCE9F1" w14:textId="59DFD7F4" w:rsidR="007A24D8" w:rsidRPr="004E279D" w:rsidRDefault="007A24D8">
      <w:pPr>
        <w:rPr>
          <w:rFonts w:ascii="Times New Roman" w:hAnsi="Times New Roman" w:cs="Times New Roman"/>
        </w:rPr>
      </w:pPr>
      <w:r w:rsidRPr="004E279D">
        <w:rPr>
          <w:rFonts w:ascii="Times New Roman" w:hAnsi="Times New Roman" w:cs="Times New Roman"/>
          <w:b/>
          <w:bCs/>
        </w:rPr>
        <w:t>Conclusions:</w:t>
      </w:r>
      <w:r w:rsidRPr="004E279D">
        <w:rPr>
          <w:rFonts w:ascii="Times New Roman" w:hAnsi="Times New Roman" w:cs="Times New Roman"/>
        </w:rPr>
        <w:t xml:space="preserve"> These findings provide proof-of-concept that p6-20 elicits selective ON-pathway responses in human </w:t>
      </w:r>
      <w:r w:rsidR="009C7347" w:rsidRPr="004E279D">
        <w:rPr>
          <w:rFonts w:ascii="Times New Roman" w:hAnsi="Times New Roman" w:cs="Times New Roman"/>
        </w:rPr>
        <w:t>ROs</w:t>
      </w:r>
      <w:r w:rsidRPr="004E279D">
        <w:rPr>
          <w:rFonts w:ascii="Times New Roman" w:hAnsi="Times New Roman" w:cs="Times New Roman"/>
        </w:rPr>
        <w:t>,</w:t>
      </w:r>
      <w:r w:rsidR="00C25C4C" w:rsidRPr="004E279D">
        <w:rPr>
          <w:rFonts w:ascii="Times New Roman" w:hAnsi="Times New Roman" w:cs="Times New Roman"/>
        </w:rPr>
        <w:t xml:space="preserve"> in line with previous in vivo results,</w:t>
      </w:r>
      <w:r w:rsidRPr="004E279D">
        <w:rPr>
          <w:rFonts w:ascii="Times New Roman" w:hAnsi="Times New Roman" w:cs="Times New Roman"/>
        </w:rPr>
        <w:t xml:space="preserve"> supporting mGluR6 agonism as a photoreceptor-bypass strategy. The sparse yet specific response pattern</w:t>
      </w:r>
      <w:r w:rsidR="00C25C4C" w:rsidRPr="004E279D">
        <w:rPr>
          <w:rFonts w:ascii="Times New Roman" w:hAnsi="Times New Roman" w:cs="Times New Roman"/>
        </w:rPr>
        <w:t xml:space="preserve"> </w:t>
      </w:r>
      <w:r w:rsidRPr="004E279D">
        <w:rPr>
          <w:rFonts w:ascii="Times New Roman" w:hAnsi="Times New Roman" w:cs="Times New Roman"/>
        </w:rPr>
        <w:t xml:space="preserve">highlights both mGluR6 selectivity and need for technical refinement of </w:t>
      </w:r>
      <w:r w:rsidR="00C25C4C" w:rsidRPr="004E279D">
        <w:rPr>
          <w:rFonts w:ascii="Times New Roman" w:hAnsi="Times New Roman" w:cs="Times New Roman"/>
        </w:rPr>
        <w:t>RO</w:t>
      </w:r>
      <w:r w:rsidRPr="004E279D">
        <w:rPr>
          <w:rFonts w:ascii="Times New Roman" w:hAnsi="Times New Roman" w:cs="Times New Roman"/>
        </w:rPr>
        <w:t>-MEA systems. Single-unit analysis was essential for detecting responses. This establishes a foundation for systematic optimization of RO-MEA platforms with spike sorting for preclinical evaluation of vision restoration therapies.</w:t>
      </w:r>
    </w:p>
    <w:sectPr w:rsidR="007A24D8" w:rsidRPr="004E2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E0B45" w14:textId="77777777" w:rsidR="00F81C54" w:rsidRDefault="00F81C54" w:rsidP="006D7787">
      <w:pPr>
        <w:spacing w:after="0" w:line="240" w:lineRule="auto"/>
      </w:pPr>
      <w:r>
        <w:separator/>
      </w:r>
    </w:p>
  </w:endnote>
  <w:endnote w:type="continuationSeparator" w:id="0">
    <w:p w14:paraId="6A54A81B" w14:textId="77777777" w:rsidR="00F81C54" w:rsidRDefault="00F81C54" w:rsidP="006D7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4D9DC" w14:textId="77777777" w:rsidR="00F81C54" w:rsidRDefault="00F81C54" w:rsidP="006D7787">
      <w:pPr>
        <w:spacing w:after="0" w:line="240" w:lineRule="auto"/>
      </w:pPr>
      <w:r>
        <w:separator/>
      </w:r>
    </w:p>
  </w:footnote>
  <w:footnote w:type="continuationSeparator" w:id="0">
    <w:p w14:paraId="07DE58B9" w14:textId="77777777" w:rsidR="00F81C54" w:rsidRDefault="00F81C54" w:rsidP="006D77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D8"/>
    <w:rsid w:val="0013667E"/>
    <w:rsid w:val="00166680"/>
    <w:rsid w:val="001D7271"/>
    <w:rsid w:val="003E1889"/>
    <w:rsid w:val="004E279D"/>
    <w:rsid w:val="006C498C"/>
    <w:rsid w:val="006D7787"/>
    <w:rsid w:val="007A24D8"/>
    <w:rsid w:val="009C7347"/>
    <w:rsid w:val="00C139C6"/>
    <w:rsid w:val="00C25C4C"/>
    <w:rsid w:val="00CC3617"/>
    <w:rsid w:val="00CE7A41"/>
    <w:rsid w:val="00F8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9A639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4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7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787"/>
  </w:style>
  <w:style w:type="paragraph" w:styleId="Footer">
    <w:name w:val="footer"/>
    <w:basedOn w:val="Normal"/>
    <w:link w:val="FooterChar"/>
    <w:uiPriority w:val="99"/>
    <w:unhideWhenUsed/>
    <w:rsid w:val="006D7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787"/>
  </w:style>
  <w:style w:type="paragraph" w:customStyle="1" w:styleId="paragraph">
    <w:name w:val="paragraph"/>
    <w:basedOn w:val="Normal"/>
    <w:rsid w:val="003E1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3E1889"/>
  </w:style>
  <w:style w:type="character" w:customStyle="1" w:styleId="eop">
    <w:name w:val="eop"/>
    <w:basedOn w:val="DefaultParagraphFont"/>
    <w:rsid w:val="003E1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2026-03-03T09:07:00Z</dcterms:created>
  <dcterms:modified xsi:type="dcterms:W3CDTF">2026-03-03T12:56:00Z</dcterms:modified>
</cp:coreProperties>
</file>