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60402" w14:textId="54D70574" w:rsidR="00D2121A" w:rsidRDefault="00D2121A" w:rsidP="00713F5D">
      <w:pPr>
        <w:jc w:val="both"/>
        <w:rPr>
          <w:lang w:val="en-US"/>
        </w:rPr>
      </w:pPr>
      <w:r w:rsidRPr="00D2121A">
        <w:rPr>
          <w:lang w:val="en-US"/>
        </w:rPr>
        <w:t>Hy</w:t>
      </w:r>
      <w:r>
        <w:rPr>
          <w:lang w:val="en-US"/>
        </w:rPr>
        <w:t>poxia-inducible factor prolyl 4-hydroxylase-2 inhibition protects from retinopathy of prematurity</w:t>
      </w:r>
    </w:p>
    <w:p w14:paraId="3CEAC7D9" w14:textId="5677E0EE" w:rsidR="00D2121A" w:rsidRPr="00D2121A" w:rsidRDefault="00D2121A" w:rsidP="00713F5D">
      <w:pPr>
        <w:jc w:val="both"/>
      </w:pPr>
      <w:r w:rsidRPr="00D2121A">
        <w:t>Samuli Sakko, Johanna H</w:t>
      </w:r>
      <w:r>
        <w:t>elenius, Mikko Karpale, Peppi Koivunen</w:t>
      </w:r>
    </w:p>
    <w:p w14:paraId="014DA4F2" w14:textId="25B9F4E4" w:rsidR="00742AC8" w:rsidRPr="00D2121A" w:rsidRDefault="00D2121A" w:rsidP="00713F5D">
      <w:pPr>
        <w:jc w:val="both"/>
        <w:rPr>
          <w:lang w:val="en-US"/>
        </w:rPr>
      </w:pPr>
      <w:r w:rsidRPr="00D2121A">
        <w:rPr>
          <w:lang w:val="en-US"/>
        </w:rPr>
        <w:t>Background: Retinopathy of prematurity (R</w:t>
      </w:r>
      <w:r>
        <w:rPr>
          <w:lang w:val="en-US"/>
        </w:rPr>
        <w:t>OP) is the leading cause of childhood blindness</w:t>
      </w:r>
      <w:r w:rsidR="005859EC">
        <w:rPr>
          <w:lang w:val="en-US"/>
        </w:rPr>
        <w:t>.</w:t>
      </w:r>
      <w:r w:rsidR="00F11578">
        <w:rPr>
          <w:lang w:val="en-US"/>
        </w:rPr>
        <w:t xml:space="preserve"> </w:t>
      </w:r>
      <w:r w:rsidR="005859EC">
        <w:rPr>
          <w:lang w:val="en-US"/>
        </w:rPr>
        <w:t>H</w:t>
      </w:r>
      <w:r w:rsidR="00713F5D">
        <w:rPr>
          <w:lang w:val="en-US"/>
        </w:rPr>
        <w:t>igh O</w:t>
      </w:r>
      <w:r w:rsidR="00713F5D" w:rsidRPr="00713F5D">
        <w:rPr>
          <w:vertAlign w:val="subscript"/>
          <w:lang w:val="en-US"/>
        </w:rPr>
        <w:t>2</w:t>
      </w:r>
      <w:r w:rsidR="00713F5D">
        <w:rPr>
          <w:lang w:val="en-US"/>
        </w:rPr>
        <w:t xml:space="preserve"> levels (hyperoxia)</w:t>
      </w:r>
      <w:r w:rsidR="005859EC">
        <w:rPr>
          <w:lang w:val="en-US"/>
        </w:rPr>
        <w:t xml:space="preserve"> during early neonatal life is</w:t>
      </w:r>
      <w:r w:rsidR="00713F5D">
        <w:rPr>
          <w:lang w:val="en-US"/>
        </w:rPr>
        <w:t xml:space="preserve"> the </w:t>
      </w:r>
      <w:r w:rsidR="005859EC">
        <w:rPr>
          <w:lang w:val="en-US"/>
        </w:rPr>
        <w:t>key</w:t>
      </w:r>
      <w:r w:rsidR="00713F5D">
        <w:rPr>
          <w:lang w:val="en-US"/>
        </w:rPr>
        <w:t xml:space="preserve"> risk factor</w:t>
      </w:r>
      <w:r w:rsidR="005859EC">
        <w:rPr>
          <w:lang w:val="en-US"/>
        </w:rPr>
        <w:t xml:space="preserve"> for ROP</w:t>
      </w:r>
      <w:r>
        <w:rPr>
          <w:lang w:val="en-US"/>
        </w:rPr>
        <w:t xml:space="preserve">. Current </w:t>
      </w:r>
      <w:r w:rsidR="00F11578">
        <w:rPr>
          <w:lang w:val="en-US"/>
        </w:rPr>
        <w:t>therapies primarily</w:t>
      </w:r>
      <w:r>
        <w:rPr>
          <w:lang w:val="en-US"/>
        </w:rPr>
        <w:t xml:space="preserve"> target the </w:t>
      </w:r>
      <w:r w:rsidR="005859EC">
        <w:rPr>
          <w:lang w:val="en-US"/>
        </w:rPr>
        <w:t xml:space="preserve">late </w:t>
      </w:r>
      <w:r>
        <w:rPr>
          <w:lang w:val="en-US"/>
        </w:rPr>
        <w:t xml:space="preserve">vasoproliferative phase </w:t>
      </w:r>
      <w:r w:rsidR="00F11578">
        <w:rPr>
          <w:lang w:val="en-US"/>
        </w:rPr>
        <w:t xml:space="preserve">of the disease </w:t>
      </w:r>
      <w:r>
        <w:rPr>
          <w:lang w:val="en-US"/>
        </w:rPr>
        <w:t>(Phase II)</w:t>
      </w:r>
      <w:r w:rsidR="00713F5D">
        <w:rPr>
          <w:lang w:val="en-US"/>
        </w:rPr>
        <w:t>, w</w:t>
      </w:r>
      <w:r w:rsidR="00F11578">
        <w:rPr>
          <w:lang w:val="en-US"/>
        </w:rPr>
        <w:t>hereas no intervention</w:t>
      </w:r>
      <w:r w:rsidR="00713F5D">
        <w:rPr>
          <w:lang w:val="en-US"/>
        </w:rPr>
        <w:t>s</w:t>
      </w:r>
      <w:r>
        <w:rPr>
          <w:lang w:val="en-US"/>
        </w:rPr>
        <w:t xml:space="preserve"> are available for</w:t>
      </w:r>
      <w:r w:rsidR="001D31C0">
        <w:rPr>
          <w:lang w:val="en-US"/>
        </w:rPr>
        <w:t xml:space="preserve"> the</w:t>
      </w:r>
      <w:r w:rsidR="005859EC">
        <w:rPr>
          <w:lang w:val="en-US"/>
        </w:rPr>
        <w:t xml:space="preserve"> early phase</w:t>
      </w:r>
      <w:r>
        <w:rPr>
          <w:lang w:val="en-US"/>
        </w:rPr>
        <w:t xml:space="preserve"> </w:t>
      </w:r>
      <w:r w:rsidR="005859EC">
        <w:rPr>
          <w:lang w:val="en-US"/>
        </w:rPr>
        <w:t>(</w:t>
      </w:r>
      <w:r>
        <w:rPr>
          <w:lang w:val="en-US"/>
        </w:rPr>
        <w:t>Phase I</w:t>
      </w:r>
      <w:r w:rsidR="005859EC">
        <w:rPr>
          <w:lang w:val="en-US"/>
        </w:rPr>
        <w:t>)</w:t>
      </w:r>
      <w:r>
        <w:rPr>
          <w:lang w:val="en-US"/>
        </w:rPr>
        <w:t xml:space="preserve">. Accumulating evidence </w:t>
      </w:r>
      <w:r w:rsidR="002C1ABB">
        <w:rPr>
          <w:lang w:val="en-US"/>
        </w:rPr>
        <w:t>suggests</w:t>
      </w:r>
      <w:r w:rsidR="004D34C3">
        <w:rPr>
          <w:lang w:val="en-US"/>
        </w:rPr>
        <w:t xml:space="preserve"> that</w:t>
      </w:r>
      <w:r>
        <w:rPr>
          <w:lang w:val="en-US"/>
        </w:rPr>
        <w:t xml:space="preserve"> </w:t>
      </w:r>
      <w:r w:rsidR="0092444D">
        <w:rPr>
          <w:lang w:val="en-US"/>
        </w:rPr>
        <w:t xml:space="preserve">hypoxia-inducible factor (HIF) </w:t>
      </w:r>
      <w:r w:rsidR="00F11578">
        <w:rPr>
          <w:lang w:val="en-US"/>
        </w:rPr>
        <w:t xml:space="preserve">signaling </w:t>
      </w:r>
      <w:r w:rsidR="0092444D">
        <w:rPr>
          <w:lang w:val="en-US"/>
        </w:rPr>
        <w:t>and</w:t>
      </w:r>
      <w:r w:rsidR="00F11578">
        <w:rPr>
          <w:lang w:val="en-US"/>
        </w:rPr>
        <w:t xml:space="preserve"> the</w:t>
      </w:r>
      <w:r w:rsidR="0092444D">
        <w:rPr>
          <w:lang w:val="en-US"/>
        </w:rPr>
        <w:t xml:space="preserve"> O</w:t>
      </w:r>
      <w:r w:rsidR="0092444D" w:rsidRPr="00713F5D">
        <w:rPr>
          <w:vertAlign w:val="subscript"/>
          <w:lang w:val="en-US"/>
        </w:rPr>
        <w:t>2</w:t>
      </w:r>
      <w:r w:rsidR="0092444D">
        <w:rPr>
          <w:lang w:val="en-US"/>
        </w:rPr>
        <w:t xml:space="preserve">-regulated HIF prolyl 4-hydroxylases (HIF-P4H) </w:t>
      </w:r>
      <w:r w:rsidR="00F11578">
        <w:rPr>
          <w:lang w:val="en-US"/>
        </w:rPr>
        <w:t>a</w:t>
      </w:r>
      <w:r w:rsidR="001D31C0">
        <w:rPr>
          <w:lang w:val="en-US"/>
        </w:rPr>
        <w:t>re</w:t>
      </w:r>
      <w:r w:rsidR="004D34C3">
        <w:rPr>
          <w:lang w:val="en-US"/>
        </w:rPr>
        <w:t xml:space="preserve"> </w:t>
      </w:r>
      <w:r w:rsidR="002C1ABB">
        <w:rPr>
          <w:lang w:val="en-US"/>
        </w:rPr>
        <w:t xml:space="preserve">centrally </w:t>
      </w:r>
      <w:r w:rsidR="004D34C3">
        <w:rPr>
          <w:lang w:val="en-US"/>
        </w:rPr>
        <w:t>involved</w:t>
      </w:r>
      <w:r w:rsidR="0092444D">
        <w:rPr>
          <w:lang w:val="en-US"/>
        </w:rPr>
        <w:t xml:space="preserve"> in the pathophysiology of ROP.</w:t>
      </w:r>
      <w:r w:rsidR="00713F5D">
        <w:rPr>
          <w:lang w:val="en-US"/>
        </w:rPr>
        <w:t xml:space="preserve"> </w:t>
      </w:r>
      <w:r w:rsidR="0092444D">
        <w:rPr>
          <w:lang w:val="en-US"/>
        </w:rPr>
        <w:t>Thus, timed downregulation of HIF-P4Hs</w:t>
      </w:r>
      <w:r w:rsidR="004D34C3">
        <w:rPr>
          <w:lang w:val="en-US"/>
        </w:rPr>
        <w:t xml:space="preserve"> in hyperoxia</w:t>
      </w:r>
      <w:r w:rsidR="0092444D">
        <w:rPr>
          <w:lang w:val="en-US"/>
        </w:rPr>
        <w:t xml:space="preserve">, </w:t>
      </w:r>
      <w:r w:rsidR="00F11578">
        <w:rPr>
          <w:lang w:val="en-US"/>
        </w:rPr>
        <w:t xml:space="preserve">resulting in </w:t>
      </w:r>
      <w:r w:rsidR="0092444D">
        <w:rPr>
          <w:lang w:val="en-US"/>
        </w:rPr>
        <w:t>HIF</w:t>
      </w:r>
      <w:r w:rsidR="00F11578">
        <w:rPr>
          <w:lang w:val="en-US"/>
        </w:rPr>
        <w:t xml:space="preserve"> activation</w:t>
      </w:r>
      <w:r w:rsidR="0092444D">
        <w:rPr>
          <w:lang w:val="en-US"/>
        </w:rPr>
        <w:t>,</w:t>
      </w:r>
      <w:r w:rsidR="00713F5D">
        <w:rPr>
          <w:lang w:val="en-US"/>
        </w:rPr>
        <w:t xml:space="preserve"> </w:t>
      </w:r>
      <w:r w:rsidR="004D34C3">
        <w:rPr>
          <w:lang w:val="en-US"/>
        </w:rPr>
        <w:t>is</w:t>
      </w:r>
      <w:r w:rsidR="00F11578">
        <w:rPr>
          <w:lang w:val="en-US"/>
        </w:rPr>
        <w:t xml:space="preserve"> a promising trea</w:t>
      </w:r>
      <w:r w:rsidR="0092444D">
        <w:rPr>
          <w:lang w:val="en-US"/>
        </w:rPr>
        <w:t>tment option in ROP.</w:t>
      </w:r>
    </w:p>
    <w:p w14:paraId="53E1E205" w14:textId="2ACD1556" w:rsidR="00D2121A" w:rsidRPr="002D7A84" w:rsidRDefault="00D2121A" w:rsidP="00713F5D">
      <w:pPr>
        <w:jc w:val="both"/>
        <w:rPr>
          <w:lang w:val="en-US"/>
        </w:rPr>
      </w:pPr>
      <w:r w:rsidRPr="00D2121A">
        <w:rPr>
          <w:lang w:val="en-US"/>
        </w:rPr>
        <w:t>Methods:</w:t>
      </w:r>
      <w:r>
        <w:rPr>
          <w:lang w:val="en-US"/>
        </w:rPr>
        <w:t xml:space="preserve"> </w:t>
      </w:r>
      <w:r w:rsidR="001D31C0">
        <w:rPr>
          <w:lang w:val="en-US"/>
        </w:rPr>
        <w:t xml:space="preserve">We utilized </w:t>
      </w:r>
      <w:r w:rsidR="00123A36">
        <w:rPr>
          <w:lang w:val="en-US"/>
        </w:rPr>
        <w:t xml:space="preserve">the </w:t>
      </w:r>
      <w:r w:rsidR="001D31C0">
        <w:rPr>
          <w:lang w:val="en-US"/>
        </w:rPr>
        <w:t>oxygen-induced retinopathy (OIR) mouse model t</w:t>
      </w:r>
      <w:r w:rsidR="00F11578">
        <w:rPr>
          <w:lang w:val="en-US"/>
        </w:rPr>
        <w:t xml:space="preserve">o evaluate whether HIF activation through HIF-P4H-2 inhibition </w:t>
      </w:r>
      <w:r>
        <w:rPr>
          <w:lang w:val="en-US"/>
        </w:rPr>
        <w:t>protect</w:t>
      </w:r>
      <w:r w:rsidR="00AD7B6E">
        <w:rPr>
          <w:lang w:val="en-US"/>
        </w:rPr>
        <w:t>s</w:t>
      </w:r>
      <w:r>
        <w:rPr>
          <w:lang w:val="en-US"/>
        </w:rPr>
        <w:t xml:space="preserve"> against preclinical ROP. </w:t>
      </w:r>
      <w:r w:rsidR="00F11578">
        <w:rPr>
          <w:lang w:val="en-US"/>
        </w:rPr>
        <w:t>Mice with partial deficiency of HIF-P4H-2 (</w:t>
      </w:r>
      <w:r w:rsidR="00F11578">
        <w:rPr>
          <w:i/>
          <w:iCs/>
          <w:lang w:val="en-US"/>
        </w:rPr>
        <w:t>Hif-p4h-2</w:t>
      </w:r>
      <w:r w:rsidR="00F11578" w:rsidRPr="00F11578">
        <w:rPr>
          <w:vertAlign w:val="superscript"/>
          <w:lang w:val="en-US"/>
        </w:rPr>
        <w:t>gt/gt</w:t>
      </w:r>
      <w:r w:rsidR="00F11578">
        <w:rPr>
          <w:lang w:val="en-US"/>
        </w:rPr>
        <w:t xml:space="preserve">) and their wild-type littermates were </w:t>
      </w:r>
      <w:r w:rsidR="00AD7B6E">
        <w:rPr>
          <w:lang w:val="en-US"/>
        </w:rPr>
        <w:t>subjected</w:t>
      </w:r>
      <w:r w:rsidR="00F11578">
        <w:rPr>
          <w:lang w:val="en-US"/>
        </w:rPr>
        <w:t xml:space="preserve"> to OIR model</w:t>
      </w:r>
      <w:r w:rsidR="00AD7B6E">
        <w:rPr>
          <w:lang w:val="en-US"/>
        </w:rPr>
        <w:t xml:space="preserve"> to</w:t>
      </w:r>
      <w:r w:rsidR="00F11578" w:rsidRPr="00D2121A">
        <w:rPr>
          <w:lang w:val="en-US"/>
        </w:rPr>
        <w:t xml:space="preserve"> </w:t>
      </w:r>
      <w:r w:rsidR="00AD7B6E">
        <w:rPr>
          <w:lang w:val="en-US"/>
        </w:rPr>
        <w:t>assess</w:t>
      </w:r>
      <w:r w:rsidR="00F11578" w:rsidRPr="00D2121A">
        <w:rPr>
          <w:lang w:val="en-US"/>
        </w:rPr>
        <w:t xml:space="preserve"> susceptibility to</w:t>
      </w:r>
      <w:r w:rsidR="00AD7B6E">
        <w:rPr>
          <w:lang w:val="en-US"/>
        </w:rPr>
        <w:t xml:space="preserve"> </w:t>
      </w:r>
      <w:r w:rsidR="001D31C0">
        <w:rPr>
          <w:lang w:val="en-US"/>
        </w:rPr>
        <w:t>retin</w:t>
      </w:r>
      <w:r w:rsidR="002C1ABB">
        <w:rPr>
          <w:lang w:val="en-US"/>
        </w:rPr>
        <w:t xml:space="preserve">ovascular </w:t>
      </w:r>
      <w:r w:rsidR="001D31C0">
        <w:rPr>
          <w:lang w:val="en-US"/>
        </w:rPr>
        <w:t>patholog</w:t>
      </w:r>
      <w:r w:rsidR="002C1ABB">
        <w:rPr>
          <w:lang w:val="en-US"/>
        </w:rPr>
        <w:t>y</w:t>
      </w:r>
      <w:r w:rsidR="00F11578" w:rsidRPr="00D2121A">
        <w:rPr>
          <w:lang w:val="en-US"/>
        </w:rPr>
        <w:t>.</w:t>
      </w:r>
      <w:r w:rsidR="00F11578">
        <w:rPr>
          <w:lang w:val="en-US"/>
        </w:rPr>
        <w:t xml:space="preserve"> </w:t>
      </w:r>
      <w:r w:rsidR="00AD7B6E">
        <w:rPr>
          <w:lang w:val="en-US"/>
        </w:rPr>
        <w:t xml:space="preserve">Retinal </w:t>
      </w:r>
      <w:r w:rsidR="002D7A84" w:rsidRPr="002D7A84">
        <w:rPr>
          <w:lang w:val="en-US"/>
        </w:rPr>
        <w:t>HIF1</w:t>
      </w:r>
      <w:r w:rsidR="002D7A84" w:rsidRPr="002D7A84">
        <w:t>α</w:t>
      </w:r>
      <w:r w:rsidR="002D7A84" w:rsidRPr="002D7A84">
        <w:rPr>
          <w:lang w:val="en-US"/>
        </w:rPr>
        <w:t xml:space="preserve"> expression levels</w:t>
      </w:r>
      <w:r w:rsidR="00900DA5">
        <w:rPr>
          <w:lang w:val="en-US"/>
        </w:rPr>
        <w:t xml:space="preserve"> and HIF target gene expression</w:t>
      </w:r>
      <w:r w:rsidR="002D7A84" w:rsidRPr="002D7A84">
        <w:rPr>
          <w:lang w:val="en-US"/>
        </w:rPr>
        <w:t xml:space="preserve"> were </w:t>
      </w:r>
      <w:r w:rsidR="00AD7B6E">
        <w:rPr>
          <w:lang w:val="en-US"/>
        </w:rPr>
        <w:t xml:space="preserve">measured and </w:t>
      </w:r>
      <w:r w:rsidR="002D7A84" w:rsidRPr="002D7A84">
        <w:rPr>
          <w:lang w:val="en-US"/>
        </w:rPr>
        <w:t xml:space="preserve">compared between </w:t>
      </w:r>
      <w:r w:rsidR="002D7A84">
        <w:rPr>
          <w:i/>
          <w:iCs/>
          <w:lang w:val="en-US"/>
        </w:rPr>
        <w:t>Hif-p4h-2</w:t>
      </w:r>
      <w:r w:rsidR="002D7A84" w:rsidRPr="002D7A84">
        <w:rPr>
          <w:vertAlign w:val="superscript"/>
          <w:lang w:val="en-US"/>
        </w:rPr>
        <w:t>gt/gt</w:t>
      </w:r>
      <w:r w:rsidR="002D7A84">
        <w:rPr>
          <w:lang w:val="en-US"/>
        </w:rPr>
        <w:t xml:space="preserve"> </w:t>
      </w:r>
      <w:r w:rsidR="002D7A84" w:rsidRPr="002D7A84">
        <w:rPr>
          <w:lang w:val="en-US"/>
        </w:rPr>
        <w:t>mice and wild</w:t>
      </w:r>
      <w:r w:rsidR="002D7A84" w:rsidRPr="002D7A84">
        <w:rPr>
          <w:lang w:val="en-US"/>
        </w:rPr>
        <w:noBreakHyphen/>
        <w:t>type littermates</w:t>
      </w:r>
      <w:r w:rsidR="004D34C3">
        <w:rPr>
          <w:lang w:val="en-US"/>
        </w:rPr>
        <w:t xml:space="preserve"> in different timepoints</w:t>
      </w:r>
      <w:r w:rsidR="001D31C0">
        <w:rPr>
          <w:lang w:val="en-US"/>
        </w:rPr>
        <w:t>.</w:t>
      </w:r>
      <w:r w:rsidR="00713F5D">
        <w:rPr>
          <w:lang w:val="en-US"/>
        </w:rPr>
        <w:t xml:space="preserve"> Serum insulin-like growth factor-1 (IGF-1) and erythropoietin (EPO)</w:t>
      </w:r>
      <w:r w:rsidR="002C1ABB">
        <w:rPr>
          <w:lang w:val="en-US"/>
        </w:rPr>
        <w:t xml:space="preserve"> levels</w:t>
      </w:r>
      <w:r w:rsidR="00713F5D">
        <w:rPr>
          <w:lang w:val="en-US"/>
        </w:rPr>
        <w:t xml:space="preserve"> were measured</w:t>
      </w:r>
      <w:r w:rsidR="00AD7B6E">
        <w:rPr>
          <w:lang w:val="en-US"/>
        </w:rPr>
        <w:t xml:space="preserve"> in normoxic and hyperoxic conditions</w:t>
      </w:r>
      <w:r w:rsidR="00713F5D">
        <w:rPr>
          <w:lang w:val="en-US"/>
        </w:rPr>
        <w:t>.</w:t>
      </w:r>
    </w:p>
    <w:p w14:paraId="5A847BE6" w14:textId="06B0D6ED" w:rsidR="00D2121A" w:rsidRPr="002D7A84" w:rsidRDefault="00D2121A" w:rsidP="00713F5D">
      <w:pPr>
        <w:jc w:val="both"/>
        <w:rPr>
          <w:lang w:val="en-US"/>
        </w:rPr>
      </w:pPr>
      <w:r w:rsidRPr="00D2121A">
        <w:rPr>
          <w:lang w:val="en-US"/>
        </w:rPr>
        <w:t>Results:</w:t>
      </w:r>
      <w:r w:rsidR="002D7A84">
        <w:rPr>
          <w:lang w:val="en-US"/>
        </w:rPr>
        <w:t xml:space="preserve"> </w:t>
      </w:r>
      <w:r w:rsidR="002D7A84">
        <w:rPr>
          <w:i/>
          <w:iCs/>
          <w:lang w:val="en-US"/>
        </w:rPr>
        <w:t>Hif-p4h-2</w:t>
      </w:r>
      <w:r w:rsidR="002D7A84" w:rsidRPr="002D7A84">
        <w:rPr>
          <w:vertAlign w:val="superscript"/>
          <w:lang w:val="en-US"/>
        </w:rPr>
        <w:t>gt/gt</w:t>
      </w:r>
      <w:r w:rsidR="002D7A84">
        <w:rPr>
          <w:lang w:val="en-US"/>
        </w:rPr>
        <w:t xml:space="preserve"> mice were protected against microvascular obliteration in Phase I</w:t>
      </w:r>
      <w:r w:rsidR="00713F5D">
        <w:rPr>
          <w:lang w:val="en-US"/>
        </w:rPr>
        <w:t>,</w:t>
      </w:r>
      <w:r w:rsidR="002D7A84">
        <w:rPr>
          <w:lang w:val="en-US"/>
        </w:rPr>
        <w:t xml:space="preserve"> followed by less neovascularization and </w:t>
      </w:r>
      <w:r w:rsidR="004D34C3">
        <w:rPr>
          <w:lang w:val="en-US"/>
        </w:rPr>
        <w:t xml:space="preserve">preserved </w:t>
      </w:r>
      <w:r w:rsidR="002D7A84">
        <w:rPr>
          <w:lang w:val="en-US"/>
        </w:rPr>
        <w:t xml:space="preserve">arterial </w:t>
      </w:r>
      <w:r w:rsidR="004D34C3">
        <w:rPr>
          <w:lang w:val="en-US"/>
        </w:rPr>
        <w:t>morphology</w:t>
      </w:r>
      <w:r w:rsidR="00713F5D">
        <w:rPr>
          <w:lang w:val="en-US"/>
        </w:rPr>
        <w:t xml:space="preserve"> in Phase II</w:t>
      </w:r>
      <w:r w:rsidR="00123A36">
        <w:rPr>
          <w:lang w:val="en-US"/>
        </w:rPr>
        <w:t xml:space="preserve"> of the OIR model</w:t>
      </w:r>
      <w:r w:rsidR="002D7A84">
        <w:rPr>
          <w:lang w:val="en-US"/>
        </w:rPr>
        <w:t xml:space="preserve">. </w:t>
      </w:r>
      <w:r w:rsidR="002D7A84">
        <w:rPr>
          <w:i/>
          <w:iCs/>
          <w:lang w:val="en-US"/>
        </w:rPr>
        <w:t>Hif-p4h-2</w:t>
      </w:r>
      <w:r w:rsidR="002D7A84" w:rsidRPr="002D7A84">
        <w:rPr>
          <w:vertAlign w:val="superscript"/>
          <w:lang w:val="en-US"/>
        </w:rPr>
        <w:t>gt/gt</w:t>
      </w:r>
      <w:r w:rsidR="002D7A84">
        <w:rPr>
          <w:lang w:val="en-US"/>
        </w:rPr>
        <w:t xml:space="preserve"> </w:t>
      </w:r>
      <w:r w:rsidR="004D34C3">
        <w:rPr>
          <w:lang w:val="en-US"/>
        </w:rPr>
        <w:t xml:space="preserve">mice </w:t>
      </w:r>
      <w:r w:rsidR="002D7A84">
        <w:rPr>
          <w:lang w:val="en-US"/>
        </w:rPr>
        <w:t xml:space="preserve">showed </w:t>
      </w:r>
      <w:r w:rsidR="004D34C3">
        <w:rPr>
          <w:lang w:val="en-US"/>
        </w:rPr>
        <w:t>3</w:t>
      </w:r>
      <w:r w:rsidR="001B26CF">
        <w:rPr>
          <w:lang w:val="en-US"/>
        </w:rPr>
        <w:t>–</w:t>
      </w:r>
      <w:r w:rsidR="004D34C3">
        <w:rPr>
          <w:lang w:val="en-US"/>
        </w:rPr>
        <w:t xml:space="preserve">fold </w:t>
      </w:r>
      <w:r w:rsidR="002D7A84">
        <w:rPr>
          <w:lang w:val="en-US"/>
        </w:rPr>
        <w:t xml:space="preserve">higher levels of </w:t>
      </w:r>
      <w:r w:rsidR="00900DA5">
        <w:rPr>
          <w:lang w:val="en-US"/>
        </w:rPr>
        <w:t xml:space="preserve">retinal </w:t>
      </w:r>
      <w:r w:rsidR="002D7A84">
        <w:rPr>
          <w:lang w:val="en-US"/>
        </w:rPr>
        <w:t>HIF1</w:t>
      </w:r>
      <w:r w:rsidR="002D7A84">
        <w:rPr>
          <w:rFonts w:cs="Times New Roman"/>
          <w:lang w:val="en-US"/>
        </w:rPr>
        <w:t>α</w:t>
      </w:r>
      <w:r w:rsidR="00713F5D">
        <w:rPr>
          <w:rFonts w:cs="Times New Roman"/>
          <w:lang w:val="en-US"/>
        </w:rPr>
        <w:t xml:space="preserve"> in hyperoxia</w:t>
      </w:r>
      <w:r w:rsidR="004D34C3">
        <w:rPr>
          <w:lang w:val="en-US"/>
        </w:rPr>
        <w:t xml:space="preserve"> in Phase I</w:t>
      </w:r>
      <w:r w:rsidR="00900DA5">
        <w:rPr>
          <w:lang w:val="en-US"/>
        </w:rPr>
        <w:t xml:space="preserve"> accompanied with lower expression of </w:t>
      </w:r>
      <w:r w:rsidR="00900DA5" w:rsidRPr="00900DA5">
        <w:rPr>
          <w:i/>
          <w:iCs/>
          <w:lang w:val="en-US"/>
        </w:rPr>
        <w:t>Hif-p4h-3</w:t>
      </w:r>
      <w:r w:rsidR="00900DA5">
        <w:rPr>
          <w:lang w:val="en-US"/>
        </w:rPr>
        <w:t xml:space="preserve"> in Phase II</w:t>
      </w:r>
      <w:r w:rsidR="004D34C3">
        <w:rPr>
          <w:lang w:val="en-US"/>
        </w:rPr>
        <w:t>.</w:t>
      </w:r>
      <w:r w:rsidR="00123A36">
        <w:rPr>
          <w:lang w:val="en-US"/>
        </w:rPr>
        <w:t xml:space="preserve"> In addition,</w:t>
      </w:r>
      <w:r w:rsidR="004D34C3">
        <w:rPr>
          <w:lang w:val="en-US"/>
        </w:rPr>
        <w:t xml:space="preserve"> </w:t>
      </w:r>
      <w:r w:rsidR="001D31C0">
        <w:rPr>
          <w:i/>
          <w:iCs/>
          <w:lang w:val="en-US"/>
        </w:rPr>
        <w:t>Hif-p4h-2</w:t>
      </w:r>
      <w:r w:rsidR="001D31C0" w:rsidRPr="002D7A84">
        <w:rPr>
          <w:vertAlign w:val="superscript"/>
          <w:lang w:val="en-US"/>
        </w:rPr>
        <w:t>gt/gt</w:t>
      </w:r>
      <w:r w:rsidR="001D31C0">
        <w:rPr>
          <w:lang w:val="en-US"/>
        </w:rPr>
        <w:t xml:space="preserve"> mice showed </w:t>
      </w:r>
      <w:r w:rsidR="002D7A84">
        <w:rPr>
          <w:lang w:val="en-US"/>
        </w:rPr>
        <w:t>2</w:t>
      </w:r>
      <w:r w:rsidR="001B26CF">
        <w:rPr>
          <w:lang w:val="en-US"/>
        </w:rPr>
        <w:t>–</w:t>
      </w:r>
      <w:r w:rsidR="002D7A84">
        <w:rPr>
          <w:lang w:val="en-US"/>
        </w:rPr>
        <w:t>3 fold higher levels of</w:t>
      </w:r>
      <w:r w:rsidR="00123A36">
        <w:rPr>
          <w:lang w:val="en-US"/>
        </w:rPr>
        <w:t xml:space="preserve"> serum</w:t>
      </w:r>
      <w:r w:rsidR="002D7A84">
        <w:rPr>
          <w:lang w:val="en-US"/>
        </w:rPr>
        <w:t xml:space="preserve"> EPO </w:t>
      </w:r>
      <w:r w:rsidR="00900DA5">
        <w:rPr>
          <w:lang w:val="en-US"/>
        </w:rPr>
        <w:t>throughout</w:t>
      </w:r>
      <w:r w:rsidR="002D7A84">
        <w:rPr>
          <w:lang w:val="en-US"/>
        </w:rPr>
        <w:t xml:space="preserve"> neonatal period </w:t>
      </w:r>
      <w:r w:rsidR="001D31C0">
        <w:rPr>
          <w:lang w:val="en-US"/>
        </w:rPr>
        <w:t>both in normoxi</w:t>
      </w:r>
      <w:r w:rsidR="00123A36">
        <w:rPr>
          <w:lang w:val="en-US"/>
        </w:rPr>
        <w:t>c</w:t>
      </w:r>
      <w:r w:rsidR="001D31C0">
        <w:rPr>
          <w:lang w:val="en-US"/>
        </w:rPr>
        <w:t xml:space="preserve"> and hyperoxi</w:t>
      </w:r>
      <w:r w:rsidR="00123A36">
        <w:rPr>
          <w:lang w:val="en-US"/>
        </w:rPr>
        <w:t>c conditions</w:t>
      </w:r>
      <w:r w:rsidR="002D7A84">
        <w:rPr>
          <w:lang w:val="en-US"/>
        </w:rPr>
        <w:t>. Although</w:t>
      </w:r>
      <w:r w:rsidR="00900DA5">
        <w:rPr>
          <w:lang w:val="en-US"/>
        </w:rPr>
        <w:t xml:space="preserve"> </w:t>
      </w:r>
      <w:r w:rsidR="00900DA5">
        <w:rPr>
          <w:i/>
          <w:iCs/>
          <w:lang w:val="en-US"/>
        </w:rPr>
        <w:t>Hif-p4h-2</w:t>
      </w:r>
      <w:r w:rsidR="00900DA5" w:rsidRPr="002D7A84">
        <w:rPr>
          <w:vertAlign w:val="superscript"/>
          <w:lang w:val="en-US"/>
        </w:rPr>
        <w:t>gt/gt</w:t>
      </w:r>
      <w:r w:rsidR="002D7A84">
        <w:rPr>
          <w:lang w:val="en-US"/>
        </w:rPr>
        <w:t xml:space="preserve"> </w:t>
      </w:r>
      <w:r w:rsidR="00900DA5">
        <w:rPr>
          <w:lang w:val="en-US"/>
        </w:rPr>
        <w:t xml:space="preserve">mice </w:t>
      </w:r>
      <w:r w:rsidR="00123A36">
        <w:rPr>
          <w:lang w:val="en-US"/>
        </w:rPr>
        <w:t>were</w:t>
      </w:r>
      <w:r w:rsidR="00900DA5">
        <w:rPr>
          <w:lang w:val="en-US"/>
        </w:rPr>
        <w:t xml:space="preserve"> </w:t>
      </w:r>
      <w:r w:rsidR="002D7A84">
        <w:rPr>
          <w:lang w:val="en-US"/>
        </w:rPr>
        <w:t>leaner, the weight difference persisted similar throughout the experiment.</w:t>
      </w:r>
    </w:p>
    <w:p w14:paraId="022E3D42" w14:textId="1B6ACE8F" w:rsidR="0092444D" w:rsidRPr="00D2121A" w:rsidRDefault="00D2121A" w:rsidP="001D31C0">
      <w:pPr>
        <w:jc w:val="both"/>
        <w:rPr>
          <w:lang w:val="en-US"/>
        </w:rPr>
      </w:pPr>
      <w:r w:rsidRPr="00D2121A">
        <w:rPr>
          <w:lang w:val="en-US"/>
        </w:rPr>
        <w:t>Conclusions:</w:t>
      </w:r>
      <w:r w:rsidR="0092444D">
        <w:rPr>
          <w:lang w:val="en-US"/>
        </w:rPr>
        <w:t xml:space="preserve"> </w:t>
      </w:r>
      <w:r w:rsidR="00AE2667">
        <w:rPr>
          <w:lang w:val="en-US"/>
        </w:rPr>
        <w:t>Partial deficiency of HIF-P4H-2 confers protection against hyperoxia-induced microvascular obliteration and mitigates subsequent pathological neovascularization in the OIR model. Early activation of the HIF pathway appears to enhance retinal resilience to hyperoxic injury, including the selective transcriptional response in retina and systemic increase in EPO</w:t>
      </w:r>
      <w:r w:rsidR="001D31C0">
        <w:rPr>
          <w:lang w:val="en-US"/>
        </w:rPr>
        <w:t xml:space="preserve"> levels without compromising postnatal weight gain</w:t>
      </w:r>
      <w:r w:rsidR="00AE2667">
        <w:rPr>
          <w:lang w:val="en-US"/>
        </w:rPr>
        <w:t xml:space="preserve">. </w:t>
      </w:r>
      <w:r w:rsidR="00713F5D">
        <w:rPr>
          <w:lang w:val="en-US"/>
        </w:rPr>
        <w:t>These findings support HIF-P4H-2 inhibition as a promising Phase I-targeted therapeutic strategy for ROP.</w:t>
      </w:r>
    </w:p>
    <w:sectPr w:rsidR="0092444D" w:rsidRPr="00D2121A">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21A"/>
    <w:rsid w:val="00123A36"/>
    <w:rsid w:val="001B26CF"/>
    <w:rsid w:val="001D31C0"/>
    <w:rsid w:val="002C1ABB"/>
    <w:rsid w:val="002D7A84"/>
    <w:rsid w:val="003357F7"/>
    <w:rsid w:val="00371BB1"/>
    <w:rsid w:val="004D34C3"/>
    <w:rsid w:val="005374A8"/>
    <w:rsid w:val="005859EC"/>
    <w:rsid w:val="00594AEC"/>
    <w:rsid w:val="0068664A"/>
    <w:rsid w:val="00690B27"/>
    <w:rsid w:val="00713F5D"/>
    <w:rsid w:val="00742AC8"/>
    <w:rsid w:val="00793E95"/>
    <w:rsid w:val="00900DA5"/>
    <w:rsid w:val="0092444D"/>
    <w:rsid w:val="009B0192"/>
    <w:rsid w:val="00AD7B6E"/>
    <w:rsid w:val="00AE2667"/>
    <w:rsid w:val="00D2121A"/>
    <w:rsid w:val="00E43DAE"/>
    <w:rsid w:val="00F11578"/>
    <w:rsid w:val="00FD6C36"/>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C18D6"/>
  <w15:chartTrackingRefBased/>
  <w15:docId w15:val="{B9784571-D053-4610-8A26-44CA11A3C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2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12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121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21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2121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2121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2121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2121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2121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2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12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121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21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2121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2121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2121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2121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2121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21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21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21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2121A"/>
    <w:pPr>
      <w:spacing w:before="160"/>
      <w:jc w:val="center"/>
    </w:pPr>
    <w:rPr>
      <w:i/>
      <w:iCs/>
      <w:color w:val="404040" w:themeColor="text1" w:themeTint="BF"/>
    </w:rPr>
  </w:style>
  <w:style w:type="character" w:customStyle="1" w:styleId="QuoteChar">
    <w:name w:val="Quote Char"/>
    <w:basedOn w:val="DefaultParagraphFont"/>
    <w:link w:val="Quote"/>
    <w:uiPriority w:val="29"/>
    <w:rsid w:val="00D2121A"/>
    <w:rPr>
      <w:i/>
      <w:iCs/>
      <w:color w:val="404040" w:themeColor="text1" w:themeTint="BF"/>
    </w:rPr>
  </w:style>
  <w:style w:type="paragraph" w:styleId="ListParagraph">
    <w:name w:val="List Paragraph"/>
    <w:basedOn w:val="Normal"/>
    <w:uiPriority w:val="34"/>
    <w:qFormat/>
    <w:rsid w:val="00D2121A"/>
    <w:pPr>
      <w:ind w:left="720"/>
      <w:contextualSpacing/>
    </w:pPr>
  </w:style>
  <w:style w:type="character" w:styleId="IntenseEmphasis">
    <w:name w:val="Intense Emphasis"/>
    <w:basedOn w:val="DefaultParagraphFont"/>
    <w:uiPriority w:val="21"/>
    <w:qFormat/>
    <w:rsid w:val="00D2121A"/>
    <w:rPr>
      <w:i/>
      <w:iCs/>
      <w:color w:val="0F4761" w:themeColor="accent1" w:themeShade="BF"/>
    </w:rPr>
  </w:style>
  <w:style w:type="paragraph" w:styleId="IntenseQuote">
    <w:name w:val="Intense Quote"/>
    <w:basedOn w:val="Normal"/>
    <w:next w:val="Normal"/>
    <w:link w:val="IntenseQuoteChar"/>
    <w:uiPriority w:val="30"/>
    <w:qFormat/>
    <w:rsid w:val="00D212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21A"/>
    <w:rPr>
      <w:i/>
      <w:iCs/>
      <w:color w:val="0F4761" w:themeColor="accent1" w:themeShade="BF"/>
    </w:rPr>
  </w:style>
  <w:style w:type="character" w:styleId="IntenseReference">
    <w:name w:val="Intense Reference"/>
    <w:basedOn w:val="DefaultParagraphFont"/>
    <w:uiPriority w:val="32"/>
    <w:qFormat/>
    <w:rsid w:val="00D212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1</Pages>
  <Words>283</Words>
  <Characters>2294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Oulu</Company>
  <LinksUpToDate>false</LinksUpToDate>
  <CharactersWithSpaces>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Samuli Sakko</dc:creator>
  <cp:keywords/>
  <dc:description/>
  <cp:lastModifiedBy>Samuli Sakko</cp:lastModifiedBy>
  <cp:revision>12</cp:revision>
  <dcterms:created xsi:type="dcterms:W3CDTF">2026-05-03T10:08:00Z</dcterms:created>
  <dcterms:modified xsi:type="dcterms:W3CDTF">2026-05-03T12:57:00Z</dcterms:modified>
</cp:coreProperties>
</file>