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7F7F7F"/>
          <w:sz w:val="20"/>
          <w:szCs w:val="20"/>
        </w:rPr>
        <w:t xml:space="preserve">FUSION Werkzeugkasten · deliberAIde</w:t>
      </w:r>
    </w:p>
    <w:p>
      <w:pPr>
        <w:pBdr>
          <w:bottom w:val="single" w:color="1F3864" w:sz="12" w:space="6"/>
        </w:pBdr>
        <w:spacing w:after="1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Wo brauchen wir kuratiertes Wissen – und wo kann die KI interpolieren?</w:t>
      </w:r>
    </w:p>
    <w:p>
      <w:pPr>
        <w:spacing w:after="240" w:line="276"/>
      </w:pPr>
      <w:r>
        <w:rPr>
          <w:rFonts w:ascii="Calibri" w:cs="Calibri" w:eastAsia="Calibri" w:hAnsi="Calibri"/>
          <w:color w:val="7F7F7F"/>
          <w:sz w:val="20"/>
          <w:szCs w:val="20"/>
        </w:rPr>
        <w:t xml:space="preserve">Analyse-Ergebnis und Rechercheliste · Stand: 14.07.2026 · Tobias Schmallenbach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1. Worum es geht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 Feedback vom 17.04. stand die Frage fünfmal im Raum: „An welchen Stellen braucht man die kuratierte Datenbank, und wo greift welche Information auf welche andere zurück?“ Diese Frage ist jetzt für jeden einzelnen Prozessschritt beantwortet.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Grundlage der Analyse waren alle 54 Dokumente unseres Projektordners sowie das Figma-Board „Business Logic“. Jeder Prozessschritt wurde gegen die Quellen geprüft – jeweils mit Argumenten für und gegen Kuratierung, einem Urteil und einer Gegenprüfung.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2. Das Leitprinzip</w:t>
      </w:r>
    </w:p>
    <w:p>
      <w:pPr>
        <w:pBdr>
          <w:left w:val="single" w:color="1F3864" w:sz="18" w:space="12"/>
        </w:pBdr>
        <w:spacing w:after="1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Kuratiere nur, was die KI weder zuverlässig erfragen noch ableiten kann – und wo ein Fehler rechtlich oder finanziell teuer ist. Alles andere macht die KI.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Abgesichert wird das nicht durch große Wissensdatenbanken, sondern durch ein einziges hartes Prinzip: Die KI schreibt immer nur „Vorschlag“ – ein Mensch bestätigt „Übernommen“ – nachgelagerte Schritte lesen ausschließlich Bestätigtes.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Ergebnis: Wir brauchen keine breite kuratierte Fachdatenbank, sondern wenige schmale, gepflegte Anker.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3. Der Prozess auf einen 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Prozessschritt</w:t>
            </w:r>
          </w:p>
        </w:tc>
        <w:tc>
          <w:tcPr>
            <w:tcW w:type="dxa" w:w="6426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Einordnung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· Zugang &amp; Moduswahl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Nur Speicher – keine Kuration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Anlass &amp; Ausgangslage</w:t>
            </w:r>
          </w:p>
        </w:tc>
        <w:tc>
          <w:tcPr>
            <w:tcW w:type="dxa" w:w="642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 erkennt Anlass; Anlass-Typen + Rechtsbezug fix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· Zweck &amp; Ziele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 formuliert; Zweck-Typologien + SMART-Regeln fix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 · Zielgruppe</w:t>
            </w:r>
          </w:p>
        </w:tc>
        <w:tc>
          <w:tcPr>
            <w:tcW w:type="dxa" w:w="642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 erzeugt Profil; Barriere-/Kanal-Matrix + Teilnahme-Recht fix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 · Rahmenbedingungen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 erhebt; Kostenbausteine + Format-Grenzwerte fix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 · Format &amp; Methode</w:t>
            </w:r>
          </w:p>
        </w:tc>
        <w:tc>
          <w:tcPr>
            <w:tcW w:type="dxa" w:w="642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Katalog + Filter fix; KI begründet und ranked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 · Organisation &amp; Kommunikation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Querschnitts-Checkliste fix; Texte/Kanäle KI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· Durchführung (fehlt bisher!)</w:t>
            </w:r>
          </w:p>
        </w:tc>
        <w:tc>
          <w:tcPr>
            <w:tcW w:type="dxa" w:w="642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Evergreen-Checkliste fix; Drehbuch KI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 · Evaluation &amp; Verstetigung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Indikatoren-Schema fix; Werte/Text KI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Werkzeugkasten &amp; Praxisplan</w:t>
            </w:r>
          </w:p>
        </w:tc>
        <w:tc>
          <w:tcPr>
            <w:tcW w:type="dxa" w:w="642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Vorlagen + Praxiswissen fix; Befüllung KI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 &amp; Export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Struktur + Pflichttexte fix; Prosa KI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Statistik &amp; PM</w:t>
            </w:r>
          </w:p>
        </w:tc>
        <w:tc>
          <w:tcPr>
            <w:tcW w:type="dxa" w:w="642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Nur Speicher – keine Kuration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4. Was wir bereits haben (nicht recherchieren – nur anschließen)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Formate-Katalog: Austauschformate-v2.xlsx – 113 Formate mit rund 20 Eigenschaften. Bleibt die Basis für alles rund um Formate.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Praxis-Tipps: Austauschformate_MethodenÜberblick_v2.pdf – zu ca. 35 Formaten echtes Praxiswissen (Spalte „Sonstiges“), dazu Kombinationsmöglichkeiten und reale Praxisbeispiele.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Fragenkatalog: „Anweisungen – Partizipationsplanertool“ mit Schritt 0–9 inklusive Verzweigungslogik.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Wissenschaft: 24-Studien-Report (08_Wissenschaftliches) – endet mit einer Kurz-Matrix Zielgruppe ↔ Format ↔ Kanäle ↔ Barrieren.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Typologien: Methodenbaukasten Modul 1 (8+8 Zwecke, Anlass-Typen) und die Agenten-Specs (Zielgruppen-Chips, Barrieren).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Beispielfälle: Forum SWF und Simulation 1 („Jugendtreffpunkt“).</w:t>
      </w:r>
    </w:p>
    <w:p>
      <w:pPr>
        <w:spacing w:after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5. Die Rechercheliste – was noch fehlt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106"/>
        <w:gridCol w:w="1700"/>
        <w:gridCol w:w="2800"/>
      </w:tblGrid>
      <w:tr>
        <w:trPr>
          <w:tblHeader/>
        </w:trPr>
        <w:tc>
          <w:tcPr>
            <w:tcW w:type="dxa" w:w="42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106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Was zu recherchieren ist</w:t>
            </w:r>
          </w:p>
        </w:tc>
        <w:tc>
          <w:tcPr>
            <w:tcW w:type="dxa" w:w="170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Aufwand</w:t>
            </w:r>
          </w:p>
        </w:tc>
        <w:tc>
          <w:tcPr>
            <w:tcW w:type="dxa" w:w="280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Warum die KI das nicht kann</w:t>
            </w:r>
          </w:p>
        </w:tc>
      </w:tr>
      <w:tr>
        <w:tc>
          <w:tcPr>
            <w:tcW w:type="dxa" w:w="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Kostenbausteine + Preisspannen: Moderation (Tagessatz), Raummiete, Catering p. P., Technik, Material, Dolmetscher/einfache Sprache, Kinderbetreuung, Öffentlichkeitsarbeit – plus Zuordnung, welche Bausteine bei welchem Format anfallen, und grober Personalaufwand.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2–4 Tage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Zahlen darf die KI nicht erfinden. Basis für die Überschlagsrechnung und die Plausibilitätsprüfung.</w:t>
            </w:r>
          </w:p>
        </w:tc>
      </w:tr>
      <w:tr>
        <w:tc>
          <w:tcPr>
            <w:tcW w:type="dxa" w:w="42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10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Recht-Flag je Format: „Pflichtformat ja/nein“ + Bundesland. Dazu die wenigen Teilnahme-Regeln (z. B. unter 16, Nicht-EU-Bürger bei formellen Verfahren).</w:t>
            </w:r>
          </w:p>
        </w:tc>
        <w:tc>
          <w:tcPr>
            <w:tcW w:type="dxa" w:w="17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einmalig, mit Rechtskenntnis</w:t>
            </w:r>
          </w:p>
        </w:tc>
        <w:tc>
          <w:tcPr>
            <w:tcW w:type="dxa" w:w="28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Rechtsfehler haften. Spalte „Rechtl. Verankerung“ existiert bereits – muss verlässlich werden.</w:t>
            </w:r>
          </w:p>
        </w:tc>
      </w:tr>
      <w:tr>
        <w:tc>
          <w:tcPr>
            <w:tcW w:type="dxa" w:w="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Zielgruppe → Barriere → Kanal-Matrix: aus dem 24-Studien-Report herausziehen. Dabei das Zielgruppen-Vokabular harmonisieren und marginalisierte Gruppen ergänzen (Armutsbetroffene, Migrationshintergrund, Behinderung).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Tag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Empirisches Forschungswissen, nicht schätzbar. Liefert zugleich die Grundlage für den Marketing-/Erreichbarkeitsplan.</w:t>
            </w:r>
          </w:p>
        </w:tc>
      </w:tr>
      <w:tr>
        <w:tc>
          <w:tcPr>
            <w:tcW w:type="dxa" w:w="42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10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Durchführungscheckliste: ca. 20–30 Prüfpunkte – Technik/Konnektivität, Foto-Einwilligung, Eskalation/Kapern der Veranstaltung, GEMA, Versicherung, Genehmigungen, Sondernutzung öffentlicher Raum.</w:t>
            </w:r>
          </w:p>
        </w:tc>
        <w:tc>
          <w:tcPr>
            <w:tcW w:type="dxa" w:w="17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 Tage + Erfahrungswissen</w:t>
            </w:r>
          </w:p>
        </w:tc>
        <w:tc>
          <w:tcPr>
            <w:tcW w:type="dxa" w:w="28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Seltene, aber teure Fehler. Die Phase fehlt bisher komplett.</w:t>
            </w:r>
          </w:p>
        </w:tc>
      </w:tr>
      <w:tr>
        <w:tc>
          <w:tcPr>
            <w:tcW w:type="dxa" w:w="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Querschnittscheckliste: konkrete Prüffragen zu Inklusion (Barrierefreiheit, einfache Sprache, Kinderbetreuung, Uhrzeit), Nachhaltigkeit (Anreise, Catering, Material) und Transparenz (Ergebnisverwendung, Rückmeldung).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 Tage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Fachliche Mindeststandards. Die Backend-Felder dafür existieren, sind aber inhaltsleer.</w:t>
            </w:r>
          </w:p>
        </w:tc>
      </w:tr>
      <w:tr>
        <w:tc>
          <w:tcPr>
            <w:tcW w:type="dxa" w:w="42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10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Zeitplan-Countdown-Muster: relative Meilensteine (Raum buchen − 8 Wochen, Einladungen − 6 Wochen, Technik-Check − 1 Tag).</w:t>
            </w:r>
          </w:p>
        </w:tc>
        <w:tc>
          <w:tcPr>
            <w:tcW w:type="dxa" w:w="17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Tag</w:t>
            </w:r>
          </w:p>
        </w:tc>
        <w:tc>
          <w:tcPr>
            <w:tcW w:type="dxa" w:w="28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Falsche Fristen sind teuer. Mindest-Vorlaufzeit je Format haben wir – die Zwischenschritte fehlen.</w:t>
            </w:r>
          </w:p>
        </w:tc>
      </w:tr>
      <w:tr>
        <w:tc>
          <w:tcPr>
            <w:tcW w:type="dxa" w:w="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Finanzierungsmuster je Format-Typ: wie sich die Finanzierung typischerweise zusammensetzt – aus der vorhandenen Spalte „Finanzierung“ zu 3–4 Mustern verdichten.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½ Tag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fertig – Rohdaten liegen im Katalog.</w:t>
            </w:r>
          </w:p>
        </w:tc>
      </w:tr>
      <w:tr>
        <w:tc>
          <w:tcPr>
            <w:tcW w:type="dxa" w:w="42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10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Drei weitere Beispiel-Projekte für die übrigen Anlass-Typen (formell, reaktiv/Konflikt, informell).</w:t>
            </w:r>
          </w:p>
        </w:tc>
        <w:tc>
          <w:tcPr>
            <w:tcW w:type="dxa" w:w="17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½ Tag (KI hilft)</w:t>
            </w:r>
          </w:p>
        </w:tc>
        <w:tc>
          <w:tcPr>
            <w:tcW w:type="dxa" w:w="28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Nutzer haben meist keine konkrete Vorstellung und müssen zu Ideen hingeführt werden – dafür braucht es echte Muster.</w:t>
            </w:r>
          </w:p>
        </w:tc>
      </w:tr>
      <w:tr>
        <w:tc>
          <w:tcPr>
            <w:tcW w:type="dxa" w:w="4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DSGVO-/Einwilligungs-Mustervorlagen für das Tool.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klein, einmal prüfen lassen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Fixer Rechtstext. Bewusst nur Muster – Sonderwünsche melden die Nutzer selbst.</w:t>
            </w:r>
          </w:p>
        </w:tc>
      </w:tr>
    </w:tbl>
    <w:p>
      <w:pPr>
        <w:spacing w:after="160"/>
      </w:pP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Bewusst NICHT vorab recherchieren: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Förderprogramme, Fristen und Beträge – die KI sucht live mit Quellenangabe, Datum und dem Vorbehalt „bitte beim Träger prüfen“. Nichts wird gespeichert, also kann nichts veralten.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Persona-Bibliothek – Personas sind projektspezifisch; die KI erzeugt sie im Dialog.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Reichweiten-Benchmarks – wissenschaftlich zu dünn. Die KI sagt ehrlich „Erfahrungswert unsicher“ statt einer Scheinzahl.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Marketing-Textbausteine, Agenda-Texte, Report-Prosa – alles generativ.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6. Getroffene 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26"/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Entscheidung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Recht &amp; Förderung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= „Pflichtformat ja/nein + Bundesland-Flag“. Alles Tiefere per belegpflichtigem Retrieval mit juristischem Vorbehalt – statt einer 16-Länder-Datenbank.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Budget-Erfassung</w:t>
            </w:r>
          </w:p>
        </w:tc>
        <w:tc>
          <w:tcPr>
            <w:tcW w:type="dxa" w:w="642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Dropdown-Kategorien (gering/mittel/hoch) statt EUR-Eingabe – dadurch keine Kostenrichtwert-Tabelle für die Klassifikation nötig. Für die Überschlagsrechnung brauchen wir Punkt 1 aber trotzdem.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SMART-Gate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Adaptives Reifegrad-Gate statt hartem Rücksprung bei Rot/Gelb. Grobes Leitziel ist früh erlaubt, geschärft wird später; die KI erklärt, warum ein Ziel noch unscharf ist. (Löst die Interview-Kritik „SMART zu früh“.)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Format-Praxiswissen</w:t>
            </w:r>
          </w:p>
        </w:tc>
        <w:tc>
          <w:tcPr>
            <w:tcW w:type="dxa" w:w="6426"/>
            <w:shd w:fill="F2F5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Keine neue Tabelle von Hand schreiben, sondern die vorhandenen Quellen als Nachschlagewerk anschließen (mit Quellenangabe, Bestätigung durch Menschen). Start mit den 45 Kernformaten.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Formate selbst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Der methodische Kern ist fix – die KI darf ein Format anpassen, aber nie neu erfinden. Die thematische Füllung ist KI-Aufgabe.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7. Probleme, die vorher gelöst werden müssen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Zielgruppen-Vokabular divergiert: Der Katalog nutzt „Alle / Stakeholder / Benachteiligte / Wahlberechtigte / Zufallsauswahl …“, der Zielgruppen-Agent dagegen „Bürger:innen / Jugendliche / Senior:innen …“. Solange beide nicht harmonisiert sind, kann Zielgruppe → Format nicht sauber matchen. Armutsbetroffene – unser eigener Use-Case mit dem Kreis Siegen-Wittgenstein – kommen in den Chips gar nicht vor.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Austauschformate-v2: Die Spalten „Haupt-Altersgruppe“ und „Spezifische Eignung“ sind verschoben bzw. fehlerhaft (z. B. Open Space → „6–13 Jahre, Grundschulkinder“; Mediation → „12–21 Jahre“). Vor Produktivbetrieb bereinigen – der Rest der Tabelle ist konsistent.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Die Phase „Durchführung“ fehlt im Prozessmodell – von Praktiker-Interview und Testworkshop übereinstimmend moniert („der wesentlichste Teil eigentlich“).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Zwei nicht zusammengeführte Datenmodelle (8-Bereiche-Domänenmodell vs. Backend-Projektmanagement) und ein dreifach kodiertes Status-Vokabular.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Versionsklarheit: Die Datei „Kuratierte Wissensbasis-v3“ trägt intern die Version „v4.0“.</w:t>
      </w:r>
    </w:p>
    <w:p>
      <w:pPr>
        <w:spacing w:after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8. Nächste Schritte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Owner je Recherche-Punkt festlegen – besonders Punkt 1 (Kosten) und Punkt 2 (Recht); das sind die einzigen wirklich aufwändigen.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Zielgruppen-Vokabular harmonisieren – blockiert aktuell das Matching.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Katalog-Spalten bereinigen.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Durchführung als eigene Phase in den Prozess einhängen (nach Formatausgestaltung, vor Evaluation).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Gesamtumfang der Recherche: rund 1,5–2 Wochen konzentrierte Arbeit. Alles übrige im Prozess leistet die KI auf Basis unserer vorhandenen Tabellen.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2026-07-15T14:23:10.102Z</dcterms:created>
  <dcterms:modified xsi:type="dcterms:W3CDTF">2026-07-15T14:23:10.103Z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