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E3A5F"/>
          <w:sz w:val="40"/>
          <w:szCs w:val="40"/>
        </w:rPr>
        <w:t xml:space="preserve">Commercial Insurance Policy Management System</w:t>
      </w:r>
    </w:p>
    <w:p>
      <w:pPr>
        <w:spacing w:before="0" w:after="80"/>
        <w:jc w:val="center"/>
      </w:pPr>
      <w:r>
        <w:rPr>
          <w:rFonts w:ascii="Arial" w:cs="Arial" w:eastAsia="Arial" w:hAnsi="Arial"/>
          <w:i/>
          <w:iCs/>
          <w:color w:val="2563EB"/>
          <w:sz w:val="28"/>
          <w:szCs w:val="28"/>
        </w:rPr>
        <w:t xml:space="preserve">Project Abstract</w:t>
      </w:r>
    </w:p>
    <w:p>
      <w:pPr>
        <w:pBdr>
          <w:bottom w:val="single" w:color="2563EB" w:sz="6" w:space="6"/>
        </w:pBdr>
        <w:spacing w:before="0" w:after="80"/>
        <w:jc w:val="center"/>
      </w:pPr>
      <w:r>
        <w:rPr>
          <w:rFonts w:ascii="Arial" w:cs="Arial" w:eastAsia="Arial" w:hAnsi="Arial"/>
          <w:color w:val="6B7280"/>
          <w:sz w:val="20"/>
          <w:szCs w:val="20"/>
        </w:rPr>
        <w:t xml:space="preserve">Tech Stack: Angular  |  Tailwind CSS  |  ASP.NET Core  |  SQL Server</w:t>
      </w:r>
    </w:p>
    <w:p>
      <w:pPr>
        <w:spacing w:before="24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1. Abstract</w:t>
      </w:r>
    </w:p>
    <w:p>
      <w:pPr>
        <w:spacing w:before="80" w:after="80"/>
        <w:jc w:val="both"/>
      </w:pPr>
      <w:r>
        <w:rPr>
          <w:rFonts w:ascii="Arial" w:cs="Arial" w:eastAsia="Arial" w:hAnsi="Arial"/>
          <w:sz w:val="22"/>
          <w:szCs w:val="22"/>
        </w:rPr>
        <w:t xml:space="preserve">The Commercial Insurance Policy Management System (CIPMS) is a full-stack web application designed to digitize and manage the complete lifecycle of commercial business insurance. The platform allows business owners to register their organization, explore available insurance products, compare coverage plans, receive premium quotes, purchase policies, and manage claims — all through a single integrated portal. The system also provides dedicated interfaces for Claims Officers to process settlements and for Administrators to oversee all platform operations. Built on Angular with Tailwind CSS for the frontend and ASP.NET Core with SQL Server for the backend, the application delivers a scalable, role-based, enterprise-grade solution for commercial insurance management.</w:t>
      </w:r>
    </w:p>
    <w:p>
      <w:pPr>
        <w:spacing w:before="12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2. Problem Statement</w:t>
      </w:r>
    </w:p>
    <w:p>
      <w:pPr>
        <w:spacing w:before="80" w:after="80"/>
        <w:jc w:val="both"/>
      </w:pPr>
      <w:r>
        <w:rPr>
          <w:rFonts w:ascii="Arial" w:cs="Arial" w:eastAsia="Arial" w:hAnsi="Arial"/>
          <w:sz w:val="22"/>
          <w:szCs w:val="22"/>
        </w:rPr>
        <w:t xml:space="preserve">Commercial insurance management is traditionally a manual, document-heavy process. Businesses face challenges in comparing plans, understanding premium pricing, and tracking policy or claim status. Insurance providers, on the other hand, struggle with fragmented workflows across sales, policy issuance, renewals, and claims processing. There is a clear need for a centralized digital platform that brings structure, transparency, and efficiency to the entire insurance lifecycle for both the business customer and the insurer.</w:t>
      </w:r>
    </w:p>
    <w:p>
      <w:pPr>
        <w:spacing w:before="12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3. Objectives</w:t>
      </w:r>
    </w:p>
    <w:p>
      <w:pPr>
        <w:pStyle w:val="ListParagraph"/>
        <w:numPr>
          <w:ilvl w:val="0"/>
          <w:numId w:val="2"/>
        </w:numPr>
        <w:spacing w:before="60" w:after="60"/>
      </w:pPr>
      <w:r>
        <w:rPr>
          <w:rFonts w:ascii="Arial" w:cs="Arial" w:eastAsia="Arial" w:hAnsi="Arial"/>
          <w:b/>
          <w:bCs/>
          <w:color w:val="1E3A5F"/>
          <w:sz w:val="22"/>
          <w:szCs w:val="22"/>
        </w:rPr>
        <w:t xml:space="preserve">Digitize the full policy lifecycle — </w:t>
      </w:r>
      <w:r>
        <w:rPr>
          <w:rFonts w:ascii="Arial" w:cs="Arial" w:eastAsia="Arial" w:hAnsi="Arial"/>
          <w:sz w:val="22"/>
          <w:szCs w:val="22"/>
        </w:rPr>
        <w:t xml:space="preserve">from quote generation to policy issuance, renewal, and claims settlement.</w:t>
      </w:r>
    </w:p>
    <w:p>
      <w:pPr>
        <w:pStyle w:val="ListParagraph"/>
        <w:numPr>
          <w:ilvl w:val="0"/>
          <w:numId w:val="2"/>
        </w:numPr>
        <w:spacing w:before="60" w:after="60"/>
      </w:pPr>
      <w:r>
        <w:rPr>
          <w:rFonts w:ascii="Arial" w:cs="Arial" w:eastAsia="Arial" w:hAnsi="Arial"/>
          <w:b/>
          <w:bCs/>
          <w:color w:val="1E3A5F"/>
          <w:sz w:val="22"/>
          <w:szCs w:val="22"/>
        </w:rPr>
        <w:t xml:space="preserve">Provide businesses with self-service access — </w:t>
      </w:r>
      <w:r>
        <w:rPr>
          <w:rFonts w:ascii="Arial" w:cs="Arial" w:eastAsia="Arial" w:hAnsi="Arial"/>
          <w:sz w:val="22"/>
          <w:szCs w:val="22"/>
        </w:rPr>
        <w:t xml:space="preserve">to browse insurance types, compare plans, and purchase coverage without manual intervention.</w:t>
      </w:r>
    </w:p>
    <w:p>
      <w:pPr>
        <w:pStyle w:val="ListParagraph"/>
        <w:numPr>
          <w:ilvl w:val="0"/>
          <w:numId w:val="2"/>
        </w:numPr>
        <w:spacing w:before="60" w:after="60"/>
      </w:pPr>
      <w:r>
        <w:rPr>
          <w:rFonts w:ascii="Arial" w:cs="Arial" w:eastAsia="Arial" w:hAnsi="Arial"/>
          <w:b/>
          <w:bCs/>
          <w:color w:val="1E3A5F"/>
          <w:sz w:val="22"/>
          <w:szCs w:val="22"/>
        </w:rPr>
        <w:t xml:space="preserve">Enable transparent premium calculation — </w:t>
      </w:r>
      <w:r>
        <w:rPr>
          <w:rFonts w:ascii="Arial" w:cs="Arial" w:eastAsia="Arial" w:hAnsi="Arial"/>
          <w:sz w:val="22"/>
          <w:szCs w:val="22"/>
        </w:rPr>
        <w:t xml:space="preserve">by computing quotes based on defined business risk parameters.</w:t>
      </w:r>
    </w:p>
    <w:p>
      <w:pPr>
        <w:pStyle w:val="ListParagraph"/>
        <w:numPr>
          <w:ilvl w:val="0"/>
          <w:numId w:val="2"/>
        </w:numPr>
        <w:spacing w:before="60" w:after="60"/>
      </w:pPr>
      <w:r>
        <w:rPr>
          <w:rFonts w:ascii="Arial" w:cs="Arial" w:eastAsia="Arial" w:hAnsi="Arial"/>
          <w:b/>
          <w:bCs/>
          <w:color w:val="1E3A5F"/>
          <w:sz w:val="22"/>
          <w:szCs w:val="22"/>
        </w:rPr>
        <w:t xml:space="preserve">Streamline claims management — </w:t>
      </w:r>
      <w:r>
        <w:rPr>
          <w:rFonts w:ascii="Arial" w:cs="Arial" w:eastAsia="Arial" w:hAnsi="Arial"/>
          <w:sz w:val="22"/>
          <w:szCs w:val="22"/>
        </w:rPr>
        <w:t xml:space="preserve">with a structured workflow for submission, officer review, and settlement.</w:t>
      </w:r>
    </w:p>
    <w:p>
      <w:pPr>
        <w:pStyle w:val="ListParagraph"/>
        <w:numPr>
          <w:ilvl w:val="0"/>
          <w:numId w:val="2"/>
        </w:numPr>
        <w:spacing w:before="60" w:after="60"/>
      </w:pPr>
      <w:r>
        <w:rPr>
          <w:rFonts w:ascii="Arial" w:cs="Arial" w:eastAsia="Arial" w:hAnsi="Arial"/>
          <w:b/>
          <w:bCs/>
          <w:color w:val="1E3A5F"/>
          <w:sz w:val="22"/>
          <w:szCs w:val="22"/>
        </w:rPr>
        <w:t xml:space="preserve">Deliver role-specific experiences — </w:t>
      </w:r>
      <w:r>
        <w:rPr>
          <w:rFonts w:ascii="Arial" w:cs="Arial" w:eastAsia="Arial" w:hAnsi="Arial"/>
          <w:sz w:val="22"/>
          <w:szCs w:val="22"/>
        </w:rPr>
        <w:t xml:space="preserve">for Customers, Claims Officers, and Administrators through role-based access control.</w:t>
      </w:r>
    </w:p>
    <w:p>
      <w:pPr>
        <w:pStyle w:val="ListParagraph"/>
        <w:numPr>
          <w:ilvl w:val="0"/>
          <w:numId w:val="2"/>
        </w:numPr>
        <w:spacing w:before="60" w:after="60"/>
      </w:pPr>
      <w:r>
        <w:rPr>
          <w:rFonts w:ascii="Arial" w:cs="Arial" w:eastAsia="Arial" w:hAnsi="Arial"/>
          <w:b/>
          <w:bCs/>
          <w:color w:val="1E3A5F"/>
          <w:sz w:val="22"/>
          <w:szCs w:val="22"/>
        </w:rPr>
        <w:t xml:space="preserve">Provide business intelligence — </w:t>
      </w:r>
      <w:r>
        <w:rPr>
          <w:rFonts w:ascii="Arial" w:cs="Arial" w:eastAsia="Arial" w:hAnsi="Arial"/>
          <w:sz w:val="22"/>
          <w:szCs w:val="22"/>
        </w:rPr>
        <w:t xml:space="preserve">to administrators through policy analytics and revenue reporting.</w:t>
      </w:r>
    </w:p>
    <w:p>
      <w:pPr>
        <w:spacing w:before="12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4. Scope of the System</w:t>
      </w:r>
    </w:p>
    <w:p>
      <w:pPr>
        <w:spacing w:before="80" w:after="80"/>
        <w:jc w:val="both"/>
      </w:pPr>
      <w:r>
        <w:rPr>
          <w:rFonts w:ascii="Arial" w:cs="Arial" w:eastAsia="Arial" w:hAnsi="Arial"/>
          <w:sz w:val="22"/>
          <w:szCs w:val="22"/>
        </w:rPr>
        <w:t xml:space="preserve">The system covers the following seven commercial insurance product types:</w:t>
      </w:r>
    </w:p>
    <w:p>
      <w:pPr>
        <w:pStyle w:val="ListParagraph"/>
        <w:numPr>
          <w:ilvl w:val="0"/>
          <w:numId w:val="2"/>
        </w:numPr>
        <w:spacing w:before="60" w:after="60"/>
      </w:pPr>
      <w:r>
        <w:rPr>
          <w:rFonts w:ascii="Arial" w:cs="Arial" w:eastAsia="Arial" w:hAnsi="Arial"/>
          <w:sz w:val="22"/>
          <w:szCs w:val="22"/>
        </w:rPr>
        <w:t xml:space="preserve">General Liability Insurance</w:t>
      </w:r>
    </w:p>
    <w:p>
      <w:pPr>
        <w:pStyle w:val="ListParagraph"/>
        <w:numPr>
          <w:ilvl w:val="0"/>
          <w:numId w:val="2"/>
        </w:numPr>
        <w:spacing w:before="60" w:after="60"/>
      </w:pPr>
      <w:r>
        <w:rPr>
          <w:rFonts w:ascii="Arial" w:cs="Arial" w:eastAsia="Arial" w:hAnsi="Arial"/>
          <w:sz w:val="22"/>
          <w:szCs w:val="22"/>
        </w:rPr>
        <w:t xml:space="preserve">Property Insurance</w:t>
      </w:r>
    </w:p>
    <w:p>
      <w:pPr>
        <w:pStyle w:val="ListParagraph"/>
        <w:numPr>
          <w:ilvl w:val="0"/>
          <w:numId w:val="2"/>
        </w:numPr>
        <w:spacing w:before="60" w:after="60"/>
      </w:pPr>
      <w:r>
        <w:rPr>
          <w:rFonts w:ascii="Arial" w:cs="Arial" w:eastAsia="Arial" w:hAnsi="Arial"/>
          <w:sz w:val="22"/>
          <w:szCs w:val="22"/>
        </w:rPr>
        <w:t xml:space="preserve">Professional Liability Insurance</w:t>
      </w:r>
    </w:p>
    <w:p>
      <w:pPr>
        <w:pStyle w:val="ListParagraph"/>
        <w:numPr>
          <w:ilvl w:val="0"/>
          <w:numId w:val="2"/>
        </w:numPr>
        <w:spacing w:before="60" w:after="60"/>
      </w:pPr>
      <w:r>
        <w:rPr>
          <w:rFonts w:ascii="Arial" w:cs="Arial" w:eastAsia="Arial" w:hAnsi="Arial"/>
          <w:sz w:val="22"/>
          <w:szCs w:val="22"/>
        </w:rPr>
        <w:t xml:space="preserve">Workers Compensation Insurance</w:t>
      </w:r>
    </w:p>
    <w:p>
      <w:pPr>
        <w:pStyle w:val="ListParagraph"/>
        <w:numPr>
          <w:ilvl w:val="0"/>
          <w:numId w:val="2"/>
        </w:numPr>
        <w:spacing w:before="60" w:after="60"/>
      </w:pPr>
      <w:r>
        <w:rPr>
          <w:rFonts w:ascii="Arial" w:cs="Arial" w:eastAsia="Arial" w:hAnsi="Arial"/>
          <w:sz w:val="22"/>
          <w:szCs w:val="22"/>
        </w:rPr>
        <w:t xml:space="preserve">Commercial Auto Insurance</w:t>
      </w:r>
    </w:p>
    <w:p>
      <w:pPr>
        <w:pStyle w:val="ListParagraph"/>
        <w:numPr>
          <w:ilvl w:val="0"/>
          <w:numId w:val="2"/>
        </w:numPr>
        <w:spacing w:before="60" w:after="60"/>
      </w:pPr>
      <w:r>
        <w:rPr>
          <w:rFonts w:ascii="Arial" w:cs="Arial" w:eastAsia="Arial" w:hAnsi="Arial"/>
          <w:sz w:val="22"/>
          <w:szCs w:val="22"/>
        </w:rPr>
        <w:t xml:space="preserve">Cyber Insurance</w:t>
      </w:r>
    </w:p>
    <w:p>
      <w:pPr>
        <w:pStyle w:val="ListParagraph"/>
        <w:numPr>
          <w:ilvl w:val="0"/>
          <w:numId w:val="2"/>
        </w:numPr>
        <w:spacing w:before="60" w:after="60"/>
      </w:pPr>
      <w:r>
        <w:rPr>
          <w:rFonts w:ascii="Arial" w:cs="Arial" w:eastAsia="Arial" w:hAnsi="Arial"/>
          <w:sz w:val="22"/>
          <w:szCs w:val="22"/>
        </w:rPr>
        <w:t xml:space="preserve">Business Interruption Insurance</w:t>
      </w:r>
    </w:p>
    <w:p>
      <w:pPr>
        <w:spacing w:before="80" w:after="80"/>
        <w:jc w:val="both"/>
      </w:pPr>
      <w:r>
        <w:rPr>
          <w:rFonts w:ascii="Arial" w:cs="Arial" w:eastAsia="Arial" w:hAnsi="Arial"/>
          <w:sz w:val="22"/>
          <w:szCs w:val="22"/>
        </w:rPr>
        <w:t xml:space="preserve">For each insurance type, three plan tiers are available: Basic, Standard, and Premium. The scope is limited to commercial (business-to-business) insurance products and does not include personal or individual insurance lines.</w:t>
      </w:r>
    </w:p>
    <w:p>
      <w:pPr>
        <w:spacing w:before="12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5. System Modules</w:t>
      </w:r>
    </w:p>
    <w:p>
      <w:pPr>
        <w:pStyle w:val="Heading2"/>
        <w:spacing w:before="260" w:after="120"/>
      </w:pPr>
      <w:r>
        <w:rPr>
          <w:rFonts w:ascii="Arial" w:cs="Arial" w:eastAsia="Arial" w:hAnsi="Arial"/>
          <w:b/>
          <w:bCs/>
          <w:color w:val="1E3A5F"/>
          <w:sz w:val="24"/>
          <w:szCs w:val="24"/>
        </w:rPr>
        <w:t xml:space="preserve">5.1  Business Registration &amp; Profile Management</w:t>
      </w:r>
    </w:p>
    <w:p>
      <w:pPr>
        <w:spacing w:before="80" w:after="80"/>
        <w:jc w:val="both"/>
      </w:pPr>
      <w:r>
        <w:rPr>
          <w:rFonts w:ascii="Arial" w:cs="Arial" w:eastAsia="Arial" w:hAnsi="Arial"/>
          <w:sz w:val="22"/>
          <w:szCs w:val="22"/>
        </w:rPr>
        <w:t xml:space="preserve">Business users can register on the platform by providing organizational details such as business name, type, industry, location, number of employees, and annual revenue. This profile serves as the foundation for risk assessment and premium calculation.</w:t>
      </w:r>
    </w:p>
    <w:p>
      <w:pPr>
        <w:pStyle w:val="Heading2"/>
        <w:spacing w:before="260" w:after="120"/>
      </w:pPr>
      <w:r>
        <w:rPr>
          <w:rFonts w:ascii="Arial" w:cs="Arial" w:eastAsia="Arial" w:hAnsi="Arial"/>
          <w:b/>
          <w:bCs/>
          <w:color w:val="1E3A5F"/>
          <w:sz w:val="24"/>
          <w:szCs w:val="24"/>
        </w:rPr>
        <w:t xml:space="preserve">5.2  Insurance Catalog &amp; Plan Comparison</w:t>
      </w:r>
    </w:p>
    <w:p>
      <w:pPr>
        <w:spacing w:before="80" w:after="80"/>
        <w:jc w:val="both"/>
      </w:pPr>
      <w:r>
        <w:rPr>
          <w:rFonts w:ascii="Arial" w:cs="Arial" w:eastAsia="Arial" w:hAnsi="Arial"/>
          <w:sz w:val="22"/>
          <w:szCs w:val="22"/>
        </w:rPr>
        <w:t xml:space="preserve">The platform presents all available insurance types with detailed descriptions. Users can compare the three coverage tiers — Basic, Standard, and Premium — side by side using a feature matrix that outlines coverage limits, inclusions, and exclusions for each plan.</w:t>
      </w:r>
    </w:p>
    <w:p>
      <w:pPr>
        <w:pStyle w:val="Heading2"/>
        <w:spacing w:before="260" w:after="120"/>
      </w:pPr>
      <w:r>
        <w:rPr>
          <w:rFonts w:ascii="Arial" w:cs="Arial" w:eastAsia="Arial" w:hAnsi="Arial"/>
          <w:b/>
          <w:bCs/>
          <w:color w:val="1E3A5F"/>
          <w:sz w:val="24"/>
          <w:szCs w:val="24"/>
        </w:rPr>
        <w:t xml:space="preserve">5.3  Risk-Based Premium Quote Engine</w:t>
      </w:r>
    </w:p>
    <w:p>
      <w:pPr>
        <w:spacing w:before="80" w:after="80"/>
        <w:jc w:val="both"/>
      </w:pPr>
      <w:r>
        <w:rPr>
          <w:rFonts w:ascii="Arial" w:cs="Arial" w:eastAsia="Arial" w:hAnsi="Arial"/>
          <w:sz w:val="22"/>
          <w:szCs w:val="22"/>
        </w:rPr>
        <w:t xml:space="preserve">When a user selects an insurance type and plan, the system generates a premium quote dynamically. The quote is calculated based on the business risk profile, incorporating factors such as industry type, employee count, revenue range, business age, and historical claims data. A risk score is computed and displayed to the user, giving transparency into how the premium is derived.</w:t>
      </w:r>
    </w:p>
    <w:p>
      <w:pPr>
        <w:pStyle w:val="Heading2"/>
        <w:spacing w:before="260" w:after="120"/>
      </w:pPr>
      <w:r>
        <w:rPr>
          <w:rFonts w:ascii="Arial" w:cs="Arial" w:eastAsia="Arial" w:hAnsi="Arial"/>
          <w:b/>
          <w:bCs/>
          <w:color w:val="1E3A5F"/>
          <w:sz w:val="24"/>
          <w:szCs w:val="24"/>
        </w:rPr>
        <w:t xml:space="preserve">5.4  Policy Purchase &amp; Issuance</w:t>
      </w:r>
    </w:p>
    <w:p>
      <w:pPr>
        <w:spacing w:before="80" w:after="80"/>
        <w:jc w:val="both"/>
      </w:pPr>
      <w:r>
        <w:rPr>
          <w:rFonts w:ascii="Arial" w:cs="Arial" w:eastAsia="Arial" w:hAnsi="Arial"/>
          <w:sz w:val="22"/>
          <w:szCs w:val="22"/>
        </w:rPr>
        <w:t xml:space="preserve">After reviewing the quote, the user proceeds to purchase the policy. The system records the policy with a unique identifier, sets the coverage start and end dates, and generates a policy summary. The purchased policy is immediately accessible from the user dashboard.</w:t>
      </w:r>
    </w:p>
    <w:p>
      <w:pPr>
        <w:pStyle w:val="Heading2"/>
        <w:spacing w:before="260" w:after="120"/>
      </w:pPr>
      <w:r>
        <w:rPr>
          <w:rFonts w:ascii="Arial" w:cs="Arial" w:eastAsia="Arial" w:hAnsi="Arial"/>
          <w:b/>
          <w:bCs/>
          <w:color w:val="1E3A5F"/>
          <w:sz w:val="24"/>
          <w:szCs w:val="24"/>
        </w:rPr>
        <w:t xml:space="preserve">5.5  Customer Dashboard &amp; Policy Tracking</w:t>
      </w:r>
    </w:p>
    <w:p>
      <w:pPr>
        <w:spacing w:before="80" w:after="80"/>
        <w:jc w:val="both"/>
      </w:pPr>
      <w:r>
        <w:rPr>
          <w:rFonts w:ascii="Arial" w:cs="Arial" w:eastAsia="Arial" w:hAnsi="Arial"/>
          <w:sz w:val="22"/>
          <w:szCs w:val="22"/>
        </w:rPr>
        <w:t xml:space="preserve">Customers have access to a personalized dashboard showing all active policies, upcoming renewal dates, payment history, and linked claims. A renewal alert is surfaced on the dashboard when a policy is approaching its expiry, and a one-click renewal flow allows users to extend or upgrade their plan.</w:t>
      </w:r>
    </w:p>
    <w:p>
      <w:pPr>
        <w:pStyle w:val="Heading2"/>
        <w:spacing w:before="260" w:after="120"/>
      </w:pPr>
      <w:r>
        <w:rPr>
          <w:rFonts w:ascii="Arial" w:cs="Arial" w:eastAsia="Arial" w:hAnsi="Arial"/>
          <w:b/>
          <w:bCs/>
          <w:color w:val="1E3A5F"/>
          <w:sz w:val="24"/>
          <w:szCs w:val="24"/>
        </w:rPr>
        <w:t xml:space="preserve">5.6  Claims Management</w:t>
      </w:r>
    </w:p>
    <w:p>
      <w:pPr>
        <w:spacing w:before="80" w:after="80"/>
        <w:jc w:val="both"/>
      </w:pPr>
      <w:r>
        <w:rPr>
          <w:rFonts w:ascii="Arial" w:cs="Arial" w:eastAsia="Arial" w:hAnsi="Arial"/>
          <w:sz w:val="22"/>
          <w:szCs w:val="22"/>
        </w:rPr>
        <w:t xml:space="preserve">Customers can file a claim against any active policy by providing incident details and supporting documentation. Each submitted claim is assigned to a Claims Officer for review. The system tracks claim status through defined stages: Submitted, Under Review, Approved, and Settled. Customers can monitor claim progress in real time from their dashboard.</w:t>
      </w:r>
    </w:p>
    <w:p>
      <w:pPr>
        <w:pStyle w:val="Heading2"/>
        <w:spacing w:before="260" w:after="120"/>
      </w:pPr>
      <w:r>
        <w:rPr>
          <w:rFonts w:ascii="Arial" w:cs="Arial" w:eastAsia="Arial" w:hAnsi="Arial"/>
          <w:b/>
          <w:bCs/>
          <w:color w:val="1E3A5F"/>
          <w:sz w:val="24"/>
          <w:szCs w:val="24"/>
        </w:rPr>
        <w:t xml:space="preserve">5.7  Claims Officer Portal</w:t>
      </w:r>
    </w:p>
    <w:p>
      <w:pPr>
        <w:spacing w:before="80" w:after="80"/>
        <w:jc w:val="both"/>
      </w:pPr>
      <w:r>
        <w:rPr>
          <w:rFonts w:ascii="Arial" w:cs="Arial" w:eastAsia="Arial" w:hAnsi="Arial"/>
          <w:sz w:val="22"/>
          <w:szCs w:val="22"/>
        </w:rPr>
        <w:t xml:space="preserve">Claims Officers have a dedicated review queue showing all assigned claims. They can examine claim details, request additional information, approve or reject claims, and record settlement amounts and notes. The officer workflow ensures accountability and traceability at every step.</w:t>
      </w:r>
    </w:p>
    <w:p>
      <w:pPr>
        <w:pStyle w:val="Heading2"/>
        <w:spacing w:before="260" w:after="120"/>
      </w:pPr>
      <w:r>
        <w:rPr>
          <w:rFonts w:ascii="Arial" w:cs="Arial" w:eastAsia="Arial" w:hAnsi="Arial"/>
          <w:b/>
          <w:bCs/>
          <w:color w:val="1E3A5F"/>
          <w:sz w:val="24"/>
          <w:szCs w:val="24"/>
        </w:rPr>
        <w:t xml:space="preserve">5.8  Automated Policy Renewal Notifications</w:t>
      </w:r>
    </w:p>
    <w:p>
      <w:pPr>
        <w:spacing w:before="80" w:after="80"/>
        <w:jc w:val="both"/>
      </w:pPr>
      <w:r>
        <w:rPr>
          <w:rFonts w:ascii="Arial" w:cs="Arial" w:eastAsia="Arial" w:hAnsi="Arial"/>
          <w:sz w:val="22"/>
          <w:szCs w:val="22"/>
        </w:rPr>
        <w:t xml:space="preserve">The system runs a scheduled background process that checks all active policies and sends automated email notifications to customers at 60 days, 30 days, and 7 days before policy expiry. This ensures that businesses are never caught with a lapsed policy due to oversight.</w:t>
      </w:r>
    </w:p>
    <w:p>
      <w:pPr>
        <w:pStyle w:val="Heading2"/>
        <w:spacing w:before="260" w:after="120"/>
      </w:pPr>
      <w:r>
        <w:rPr>
          <w:rFonts w:ascii="Arial" w:cs="Arial" w:eastAsia="Arial" w:hAnsi="Arial"/>
          <w:b/>
          <w:bCs/>
          <w:color w:val="1E3A5F"/>
          <w:sz w:val="24"/>
          <w:szCs w:val="24"/>
        </w:rPr>
        <w:t xml:space="preserve">5.9  Admin Control Panel</w:t>
      </w:r>
    </w:p>
    <w:p>
      <w:pPr>
        <w:spacing w:before="80" w:after="80"/>
        <w:jc w:val="both"/>
      </w:pPr>
      <w:r>
        <w:rPr>
          <w:rFonts w:ascii="Arial" w:cs="Arial" w:eastAsia="Arial" w:hAnsi="Arial"/>
          <w:sz w:val="22"/>
          <w:szCs w:val="22"/>
        </w:rPr>
        <w:t xml:space="preserve">Administrators have full visibility and control over the platform. The admin panel allows management of insurance types, plan configurations, registered users, issued policies, and claims. A reporting module provides analytics on active policies by type, monthly premium revenue, claims settlement ratios, and plan distribution.</w:t>
      </w:r>
    </w:p>
    <w:p>
      <w:pPr>
        <w:pStyle w:val="Heading2"/>
        <w:spacing w:before="260" w:after="120"/>
      </w:pPr>
      <w:r>
        <w:rPr>
          <w:rFonts w:ascii="Arial" w:cs="Arial" w:eastAsia="Arial" w:hAnsi="Arial"/>
          <w:b/>
          <w:bCs/>
          <w:color w:val="1E3A5F"/>
          <w:sz w:val="24"/>
          <w:szCs w:val="24"/>
        </w:rPr>
        <w:t xml:space="preserve">5.10  Role-Based Access Control</w:t>
      </w:r>
    </w:p>
    <w:p>
      <w:pPr>
        <w:spacing w:before="80" w:after="80"/>
        <w:jc w:val="both"/>
      </w:pPr>
      <w:r>
        <w:rPr>
          <w:rFonts w:ascii="Arial" w:cs="Arial" w:eastAsia="Arial" w:hAnsi="Arial"/>
          <w:sz w:val="22"/>
          <w:szCs w:val="22"/>
        </w:rPr>
        <w:t xml:space="preserve">The system implements three distinct user roles — Customer, Claims Officer, and Administrator — using ASP.NET Core Identity with JWT authentication. Each role is restricted to its designated modules and actions, ensuring data security and operational integrity.</w:t>
      </w:r>
    </w:p>
    <w:p>
      <w:pPr>
        <w:spacing w:before="120" w:after="0"/>
      </w:pPr>
      <w:r>
        <w:t xml:space="preserve"/>
      </w:r>
    </w:p>
    <w:p>
      <w:r>
        <w:br w:type="page"/>
      </w:r>
    </w:p>
    <w:p>
      <w:pPr>
        <w:pStyle w:val="Heading1"/>
        <w:pBdr>
          <w:bottom w:val="single" w:color="2563EB" w:sz="4" w:space="4"/>
        </w:pBdr>
        <w:spacing w:before="360" w:after="160"/>
      </w:pPr>
      <w:r>
        <w:rPr>
          <w:rFonts w:ascii="Arial" w:cs="Arial" w:eastAsia="Arial" w:hAnsi="Arial"/>
          <w:b/>
          <w:bCs/>
          <w:color w:val="1E3A5F"/>
          <w:sz w:val="28"/>
          <w:szCs w:val="28"/>
        </w:rPr>
        <w:t xml:space="preserve">6. Additional Features</w:t>
      </w:r>
    </w:p>
    <w:p>
      <w:pPr>
        <w:spacing w:before="80" w:after="80"/>
        <w:jc w:val="both"/>
      </w:pPr>
      <w:r>
        <w:rPr>
          <w:rFonts w:ascii="Arial" w:cs="Arial" w:eastAsia="Arial" w:hAnsi="Arial"/>
          <w:sz w:val="22"/>
          <w:szCs w:val="22"/>
        </w:rPr>
        <w:t xml:space="preserve">Beyond the core requirements, the following three features are included to enhance the practical utility and completeness of the application:</w:t>
      </w:r>
    </w:p>
    <w:p>
      <w:pPr>
        <w:pStyle w:val="Heading2"/>
        <w:spacing w:before="260" w:after="120"/>
      </w:pPr>
      <w:r>
        <w:rPr>
          <w:rFonts w:ascii="Arial" w:cs="Arial" w:eastAsia="Arial" w:hAnsi="Arial"/>
          <w:b/>
          <w:bCs/>
          <w:color w:val="1E3A5F"/>
          <w:sz w:val="24"/>
          <w:szCs w:val="24"/>
        </w:rPr>
        <w:t xml:space="preserve">6.1  Dynamic Risk Score with Visual Risk Meter</w:t>
      </w:r>
    </w:p>
    <w:p>
      <w:pPr>
        <w:spacing w:before="80" w:after="80"/>
        <w:jc w:val="both"/>
      </w:pPr>
      <w:r>
        <w:rPr>
          <w:rFonts w:ascii="Arial" w:cs="Arial" w:eastAsia="Arial" w:hAnsi="Arial"/>
          <w:sz w:val="22"/>
          <w:szCs w:val="22"/>
        </w:rPr>
        <w:t xml:space="preserve">A weighted risk scoring algorithm evaluates each business profile across multiple parameters and produces a numerical risk score. This score is displayed as a visual Risk Meter on the user dashboard (Low / Medium / High), giving customers a clear understanding of their risk classification. The score directly influences the premium quote, making the pricing logic transparent and data-driven.</w:t>
      </w:r>
    </w:p>
    <w:p>
      <w:pPr>
        <w:pStyle w:val="Heading2"/>
        <w:spacing w:before="260" w:after="120"/>
      </w:pPr>
      <w:r>
        <w:rPr>
          <w:rFonts w:ascii="Arial" w:cs="Arial" w:eastAsia="Arial" w:hAnsi="Arial"/>
          <w:b/>
          <w:bCs/>
          <w:color w:val="1E3A5F"/>
          <w:sz w:val="24"/>
          <w:szCs w:val="24"/>
        </w:rPr>
        <w:t xml:space="preserve">6.2  Automated Policy Renewal Reminder Service</w:t>
      </w:r>
    </w:p>
    <w:p>
      <w:pPr>
        <w:spacing w:before="80" w:after="80"/>
        <w:jc w:val="both"/>
      </w:pPr>
      <w:r>
        <w:rPr>
          <w:rFonts w:ascii="Arial" w:cs="Arial" w:eastAsia="Arial" w:hAnsi="Arial"/>
          <w:sz w:val="22"/>
          <w:szCs w:val="22"/>
        </w:rPr>
        <w:t xml:space="preserve">An ASP.NET Core background service (IHostedService) monitors all policy expiry dates daily and dispatches reminder emails at defined intervals before expiry. The customer dashboard also displays a prominently visible countdown notification for policies nearing renewal. A pre-filled renewal form allows customers to renew with minimal effort.</w:t>
      </w:r>
    </w:p>
    <w:p>
      <w:pPr>
        <w:pStyle w:val="Heading2"/>
        <w:spacing w:before="260" w:after="120"/>
      </w:pPr>
      <w:r>
        <w:rPr>
          <w:rFonts w:ascii="Arial" w:cs="Arial" w:eastAsia="Arial" w:hAnsi="Arial"/>
          <w:b/>
          <w:bCs/>
          <w:color w:val="1E3A5F"/>
          <w:sz w:val="24"/>
          <w:szCs w:val="24"/>
        </w:rPr>
        <w:t xml:space="preserve">6.3  Admin Analytics Dashboard</w:t>
      </w:r>
    </w:p>
    <w:p>
      <w:pPr>
        <w:spacing w:before="80" w:after="80"/>
        <w:jc w:val="both"/>
      </w:pPr>
      <w:r>
        <w:rPr>
          <w:rFonts w:ascii="Arial" w:cs="Arial" w:eastAsia="Arial" w:hAnsi="Arial"/>
          <w:sz w:val="22"/>
          <w:szCs w:val="22"/>
        </w:rPr>
        <w:t xml:space="preserve">A dedicated analytics section for administrators presents key business metrics through interactive charts: total active policies broken down by insurance type, monthly premium revenue trend, claim approval and rejection ratios, and plan tier distribution. The data is sourced directly from the SQL Server database through optimized query endpoints, providing an accurate view of platform performance.</w:t>
      </w:r>
    </w:p>
    <w:p>
      <w:pPr>
        <w:spacing w:before="12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E3A5F" w:sz="2"/>
              <w:left w:val="single" w:color="1E3A5F" w:sz="2"/>
              <w:bottom w:val="single" w:color="1E3A5F" w:sz="2"/>
              <w:right w:val="single" w:color="1E3A5F" w:sz="2"/>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3000"/>
            <w:tcBorders>
              <w:top w:val="single" w:color="1E3A5F" w:sz="2"/>
              <w:left w:val="single" w:color="1E3A5F" w:sz="2"/>
              <w:bottom w:val="single" w:color="1E3A5F" w:sz="2"/>
              <w:right w:val="single" w:color="1E3A5F" w:sz="2"/>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3960"/>
            <w:tcBorders>
              <w:top w:val="single" w:color="1E3A5F" w:sz="2"/>
              <w:left w:val="single" w:color="1E3A5F" w:sz="2"/>
              <w:bottom w:val="single" w:color="1E3A5F" w:sz="2"/>
              <w:right w:val="single" w:color="1E3A5F" w:sz="2"/>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Role in the System</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Frontend Framework</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Angular 17+</w:t>
            </w:r>
          </w:p>
        </w:tc>
        <w:tc>
          <w:tcPr>
            <w:tcW w:type="dxa" w:w="39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SPA architecture, routing, reactive forms, component-based 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1"/>
                <w:szCs w:val="21"/>
              </w:rPr>
              <w:t xml:space="preserve">UI Styling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Tailwind CSS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Utility-first responsive design and layout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Backend Framework</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ASP.NET Core 8 Web API</w:t>
            </w:r>
          </w:p>
        </w:tc>
        <w:tc>
          <w:tcPr>
            <w:tcW w:type="dxa" w:w="39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RESTful API, business logic, background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1"/>
                <w:szCs w:val="21"/>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SQL Server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Relational data storage, stored procedures, reporting views</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Authentication</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ASP.NET Core Identity + JWT</w:t>
            </w:r>
          </w:p>
        </w:tc>
        <w:tc>
          <w:tcPr>
            <w:tcW w:type="dxa" w:w="39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User management and role-based access control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1"/>
                <w:szCs w:val="21"/>
              </w:rPr>
              <w:t xml:space="preserve">Background Jobs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ASP.NET IHostedService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Scheduled renewal notification processing</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Email Service</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MailKit / SMTP</w:t>
            </w:r>
          </w:p>
        </w:tc>
        <w:tc>
          <w:tcPr>
            <w:tcW w:type="dxa" w:w="39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Automated policy renewal reminder emails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1"/>
                <w:szCs w:val="21"/>
              </w:rPr>
              <w:t xml:space="preserve">Data Visualization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ngx-charts / Chart.js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Analytics charts in the admin dashboard</w:t>
            </w:r>
          </w:p>
        </w:tc>
      </w:tr>
    </w:tbl>
    <w:p>
      <w:pPr>
        <w:spacing w:before="24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8.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3A5F" w:sz="2"/>
              <w:left w:val="single" w:color="1E3A5F" w:sz="2"/>
              <w:bottom w:val="single" w:color="1E3A5F" w:sz="2"/>
              <w:right w:val="single" w:color="1E3A5F" w:sz="2"/>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Role</w:t>
            </w:r>
          </w:p>
        </w:tc>
        <w:tc>
          <w:tcPr>
            <w:tcW w:type="dxa" w:w="7360"/>
            <w:tcBorders>
              <w:top w:val="single" w:color="1E3A5F" w:sz="2"/>
              <w:left w:val="single" w:color="1E3A5F" w:sz="2"/>
              <w:bottom w:val="single" w:color="1E3A5F" w:sz="2"/>
              <w:right w:val="single" w:color="1E3A5F" w:sz="2"/>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Access &amp; Responsibilities</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Customer (Business Owner)</w:t>
            </w:r>
          </w:p>
        </w:tc>
        <w:tc>
          <w:tcPr>
            <w:tcW w:type="dxa" w:w="7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Register, manage business profile, browse insurance products, compare plans, get quotes, purchase policies, submit and track claims, view renewal alerts.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1"/>
                <w:szCs w:val="21"/>
              </w:rPr>
              <w:t xml:space="preserve">Claims Officer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Review assigned claims, approve or reject claims, record settlement details, update claim status throughout the processing workflow.</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bCs/>
                <w:sz w:val="21"/>
                <w:szCs w:val="21"/>
              </w:rPr>
              <w:t xml:space="preserve">Administrator</w:t>
            </w:r>
          </w:p>
        </w:tc>
        <w:tc>
          <w:tcPr>
            <w:tcW w:type="dxa" w:w="7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rFonts w:ascii="Arial" w:cs="Arial" w:eastAsia="Arial" w:hAnsi="Arial"/>
                <w:b w:val="false"/>
                <w:bCs w:val="false"/>
                <w:sz w:val="21"/>
                <w:szCs w:val="21"/>
              </w:rPr>
              <w:t xml:space="preserve">Manage all users, insurance types, plans, policies, and claims. Access the analytics dashboard and generate platform reports.</w:t>
            </w:r>
          </w:p>
        </w:tc>
      </w:tr>
    </w:tbl>
    <w:p>
      <w:pPr>
        <w:spacing w:before="240" w:after="0"/>
      </w:pPr>
      <w:r>
        <w:t xml:space="preserve"/>
      </w:r>
    </w:p>
    <w:p>
      <w:pPr>
        <w:pStyle w:val="Heading1"/>
        <w:pBdr>
          <w:bottom w:val="single" w:color="2563EB" w:sz="4" w:space="4"/>
        </w:pBdr>
        <w:spacing w:before="360" w:after="160"/>
      </w:pPr>
      <w:r>
        <w:rPr>
          <w:rFonts w:ascii="Arial" w:cs="Arial" w:eastAsia="Arial" w:hAnsi="Arial"/>
          <w:b/>
          <w:bCs/>
          <w:color w:val="1E3A5F"/>
          <w:sz w:val="28"/>
          <w:szCs w:val="28"/>
        </w:rPr>
        <w:t xml:space="preserve">9. Expected Outcome</w:t>
      </w:r>
    </w:p>
    <w:p>
      <w:pPr>
        <w:spacing w:before="80" w:after="80"/>
        <w:jc w:val="both"/>
      </w:pPr>
      <w:r>
        <w:rPr>
          <w:rFonts w:ascii="Arial" w:cs="Arial" w:eastAsia="Arial" w:hAnsi="Arial"/>
          <w:sz w:val="22"/>
          <w:szCs w:val="22"/>
        </w:rPr>
        <w:t xml:space="preserve">Upon completion, the Commercial Insurance Policy Management System will provide a fully functional, end-to-end digital platform for commercial insurance operations. Businesses will be able to obtain coverage quickly and with full transparency into pricing and policy terms. Insurance operations including claims processing, policy renewals, and revenue reporting will be managed efficiently through structured digital workflows. The application will demonstrate practical application of full-stack development principles, background processing, role-based security, and data-driven UI design within the defined technology stack.</w:t>
      </w:r>
    </w:p>
    <w:p>
      <w:pPr>
        <w:spacing w:before="320" w:after="0"/>
      </w:pPr>
      <w:r>
        <w:t xml:space="preserve"/>
      </w:r>
    </w:p>
    <w:p>
      <w:pPr>
        <w:jc w:val="center"/>
      </w:pPr>
      <w:r>
        <w:rPr>
          <w:rFonts w:ascii="Arial" w:cs="Arial" w:eastAsia="Arial" w:hAnsi="Arial"/>
          <w:i/>
          <w:iCs/>
          <w:color w:val="9CA3AF"/>
          <w:sz w:val="20"/>
          <w:szCs w:val="20"/>
        </w:rPr>
        <w:t xml:space="preserve">— End of Abstract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2026-02-24T04:37:43.516Z</dcterms:created>
  <dcterms:modified xsi:type="dcterms:W3CDTF">2026-02-24T04:37:43.517Z</dcterms:modified>
</cp:coreProperties>
</file>

<file path=docProps/custom.xml><?xml version="1.0" encoding="utf-8"?>
<Properties xmlns="http://schemas.openxmlformats.org/officeDocument/2006/custom-properties" xmlns:vt="http://schemas.openxmlformats.org/officeDocument/2006/docPropsVTypes"/>
</file>