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after="200"/>
        <w:jc w:val="center"/>
      </w:pPr>
      <w:r>
        <w:rPr>
          <w:rFonts w:ascii="Calibri" w:hAnsi="Calibri"/>
          <w:b/>
          <w:color w:val="5B6573"/>
          <w:sz w:val="24"/>
        </w:rPr>
        <w:t>RESEARCH PROPOSAL</w:t>
      </w:r>
    </w:p>
    <w:p>
      <w:pPr>
        <w:spacing w:after="160"/>
        <w:jc w:val="center"/>
      </w:pPr>
      <w:r>
        <w:rPr>
          <w:rFonts w:ascii="Calibri" w:hAnsi="Calibri"/>
          <w:b/>
          <w:color w:val="1F4D78"/>
          <w:sz w:val="54"/>
        </w:rPr>
        <w:t>SemanticVerify-Fuzz</w:t>
      </w:r>
    </w:p>
    <w:p>
      <w:pPr>
        <w:spacing w:after="400"/>
        <w:jc w:val="center"/>
      </w:pPr>
      <w:r>
        <w:t>Resource-Centered Path-Sensitive Verification and Constrained Repair of API-Protocol Violations in LLM-Generated Fuzz Drivers</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232"/>
        <w:gridCol w:w="7128"/>
      </w:tblGrid>
      <w:tr>
        <w:trPr>
          <w:tblHeader w:val="true"/>
          <w:cantSplit/>
        </w:trPr>
        <w:tc>
          <w:tcPr>
            <w:tcW w:type="dxa" w:w="2232"/>
            <w:tcMar>
              <w:top w:w="80" w:type="dxa"/>
              <w:start w:w="120" w:type="dxa"/>
              <w:bottom w:w="80" w:type="dxa"/>
              <w:end w:w="120" w:type="dxa"/>
            </w:tcMar>
            <w:shd w:fill="F4F6F9"/>
            <w:vAlign w:val="center"/>
          </w:tcPr>
          <w:p>
            <w:pPr>
              <w:spacing w:after="0" w:line="240" w:lineRule="auto"/>
              <w:jc w:val="center"/>
            </w:pPr>
            <w:r>
              <w:rPr>
                <w:rFonts w:ascii="Calibri" w:hAnsi="Calibri"/>
                <w:b/>
                <w:color w:val="1F4D78"/>
                <w:sz w:val="20"/>
              </w:rPr>
              <w:t>Proposal field</w:t>
            </w:r>
          </w:p>
        </w:tc>
        <w:tc>
          <w:tcPr>
            <w:tcW w:type="dxa" w:w="7128"/>
            <w:tcMar>
              <w:top w:w="80" w:type="dxa"/>
              <w:start w:w="120" w:type="dxa"/>
              <w:bottom w:w="80" w:type="dxa"/>
              <w:end w:w="120" w:type="dxa"/>
            </w:tcMar>
            <w:shd w:fill="F4F6F9"/>
            <w:vAlign w:val="center"/>
          </w:tcPr>
          <w:p>
            <w:pPr>
              <w:spacing w:after="0" w:line="240" w:lineRule="auto"/>
              <w:jc w:val="center"/>
            </w:pPr>
            <w:r>
              <w:rPr>
                <w:rFonts w:ascii="Calibri" w:hAnsi="Calibri"/>
                <w:b/>
                <w:color w:val="1F4D78"/>
                <w:sz w:val="20"/>
              </w:rPr>
              <w:t>Locked specification</w:t>
            </w:r>
          </w:p>
        </w:tc>
      </w:tr>
      <w:tr>
        <w:trPr>
          <w:cantSplit/>
        </w:trPr>
        <w:tc>
          <w:tcPr>
            <w:tcW w:type="dxa" w:w="2232"/>
            <w:vAlign w:val="center"/>
          </w:tcPr>
          <w:p>
            <w:pPr>
              <w:spacing w:after="0" w:line="252" w:lineRule="auto"/>
              <w:jc w:val="left"/>
            </w:pPr>
            <w:r>
              <w:rPr>
                <w:rFonts w:ascii="Calibri" w:hAnsi="Calibri"/>
                <w:b/>
                <w:color w:val="1F4D78"/>
                <w:sz w:val="20"/>
              </w:rPr>
              <w:t>Domain</w:t>
            </w:r>
          </w:p>
        </w:tc>
        <w:tc>
          <w:tcPr>
            <w:tcW w:type="dxa" w:w="7128"/>
            <w:vAlign w:val="center"/>
          </w:tcPr>
          <w:p>
            <w:pPr>
              <w:spacing w:after="0" w:line="252" w:lineRule="auto"/>
              <w:jc w:val="left"/>
            </w:pPr>
            <w:r>
              <w:rPr>
                <w:rFonts w:ascii="Calibri" w:hAnsi="Calibri"/>
                <w:color w:val="1E293B"/>
                <w:sz w:val="20"/>
              </w:rPr>
              <w:t>Software Security, Static Analysis, and Fuzz Testing</w:t>
            </w:r>
          </w:p>
        </w:tc>
      </w:tr>
      <w:tr>
        <w:trPr>
          <w:cantSplit/>
        </w:trPr>
        <w:tc>
          <w:tcPr>
            <w:tcW w:type="dxa" w:w="2232"/>
            <w:vAlign w:val="center"/>
          </w:tcPr>
          <w:p>
            <w:pPr>
              <w:spacing w:after="0" w:line="252" w:lineRule="auto"/>
              <w:jc w:val="left"/>
            </w:pPr>
            <w:r>
              <w:rPr>
                <w:rFonts w:ascii="Calibri" w:hAnsi="Calibri"/>
                <w:b/>
                <w:color w:val="1F4D78"/>
                <w:sz w:val="20"/>
              </w:rPr>
              <w:t>Research role</w:t>
            </w:r>
          </w:p>
        </w:tc>
        <w:tc>
          <w:tcPr>
            <w:tcW w:type="dxa" w:w="7128"/>
            <w:vAlign w:val="center"/>
          </w:tcPr>
          <w:p>
            <w:pPr>
              <w:spacing w:after="0" w:line="252" w:lineRule="auto"/>
              <w:jc w:val="left"/>
            </w:pPr>
            <w:r>
              <w:rPr>
                <w:rFonts w:ascii="Calibri" w:hAnsi="Calibri"/>
                <w:color w:val="1E293B"/>
                <w:sz w:val="20"/>
              </w:rPr>
              <w:t>Two-stage system: verification first; constrained repair only after Gate V</w:t>
            </w:r>
          </w:p>
        </w:tc>
      </w:tr>
      <w:tr>
        <w:trPr>
          <w:cantSplit/>
        </w:trPr>
        <w:tc>
          <w:tcPr>
            <w:tcW w:type="dxa" w:w="2232"/>
            <w:vAlign w:val="center"/>
          </w:tcPr>
          <w:p>
            <w:pPr>
              <w:spacing w:after="0" w:line="252" w:lineRule="auto"/>
              <w:jc w:val="left"/>
            </w:pPr>
            <w:r>
              <w:rPr>
                <w:rFonts w:ascii="Calibri" w:hAnsi="Calibri"/>
                <w:b/>
                <w:color w:val="1F4D78"/>
                <w:sz w:val="20"/>
              </w:rPr>
              <w:t>Experimental design</w:t>
            </w:r>
          </w:p>
        </w:tc>
        <w:tc>
          <w:tcPr>
            <w:tcW w:type="dxa" w:w="7128"/>
            <w:vAlign w:val="center"/>
          </w:tcPr>
          <w:p>
            <w:pPr>
              <w:spacing w:after="0" w:line="252" w:lineRule="auto"/>
              <w:jc w:val="left"/>
            </w:pPr>
            <w:r>
              <w:rPr>
                <w:rFonts w:ascii="Calibri" w:hAnsi="Calibri"/>
                <w:color w:val="1E293B"/>
                <w:sz w:val="20"/>
              </w:rPr>
              <w:t>2 low-cost API models × 8 libraries × 10 scenarios × 5 attempts = 800</w:t>
            </w:r>
          </w:p>
        </w:tc>
      </w:tr>
      <w:tr>
        <w:trPr>
          <w:cantSplit/>
        </w:trPr>
        <w:tc>
          <w:tcPr>
            <w:tcW w:type="dxa" w:w="2232"/>
            <w:vAlign w:val="center"/>
          </w:tcPr>
          <w:p>
            <w:pPr>
              <w:spacing w:after="0" w:line="252" w:lineRule="auto"/>
              <w:jc w:val="left"/>
            </w:pPr>
            <w:r>
              <w:rPr>
                <w:rFonts w:ascii="Calibri" w:hAnsi="Calibri"/>
                <w:b/>
                <w:color w:val="1F4D78"/>
                <w:sz w:val="20"/>
              </w:rPr>
              <w:t>Data split</w:t>
            </w:r>
          </w:p>
        </w:tc>
        <w:tc>
          <w:tcPr>
            <w:tcW w:type="dxa" w:w="7128"/>
            <w:vAlign w:val="center"/>
          </w:tcPr>
          <w:p>
            <w:pPr>
              <w:spacing w:after="0" w:line="252" w:lineRule="auto"/>
              <w:jc w:val="left"/>
            </w:pPr>
            <w:r>
              <w:rPr>
                <w:rFonts w:ascii="Calibri" w:hAnsi="Calibri"/>
                <w:color w:val="1E293B"/>
                <w:sz w:val="20"/>
              </w:rPr>
              <w:t>zlib development; libpcap validation; 6 final held-out libraries</w:t>
            </w:r>
          </w:p>
        </w:tc>
      </w:tr>
      <w:tr>
        <w:trPr>
          <w:cantSplit/>
        </w:trPr>
        <w:tc>
          <w:tcPr>
            <w:tcW w:type="dxa" w:w="2232"/>
            <w:vAlign w:val="center"/>
          </w:tcPr>
          <w:p>
            <w:pPr>
              <w:spacing w:after="0" w:line="252" w:lineRule="auto"/>
              <w:jc w:val="left"/>
            </w:pPr>
            <w:r>
              <w:rPr>
                <w:rFonts w:ascii="Calibri" w:hAnsi="Calibri"/>
                <w:b/>
                <w:color w:val="1F4D78"/>
                <w:sz w:val="20"/>
              </w:rPr>
              <w:t>Revision</w:t>
            </w:r>
          </w:p>
        </w:tc>
        <w:tc>
          <w:tcPr>
            <w:tcW w:type="dxa" w:w="7128"/>
            <w:vAlign w:val="center"/>
          </w:tcPr>
          <w:p>
            <w:pPr>
              <w:spacing w:after="0" w:line="252" w:lineRule="auto"/>
              <w:jc w:val="left"/>
            </w:pPr>
            <w:r>
              <w:t>Fresh-start, verification-first, staged-repair version</w:t>
            </w:r>
          </w:p>
        </w:tc>
      </w:tr>
      <w:tr>
        <w:trPr>
          <w:cantSplit/>
        </w:trPr>
        <w:tc>
          <w:tcPr>
            <w:tcW w:type="dxa" w:w="2232"/>
            <w:vAlign w:val="center"/>
          </w:tcPr>
          <w:p>
            <w:pPr>
              <w:spacing w:after="0" w:line="252" w:lineRule="auto"/>
              <w:jc w:val="left"/>
            </w:pPr>
            <w:r>
              <w:rPr>
                <w:rFonts w:ascii="Calibri" w:hAnsi="Calibri"/>
                <w:b/>
                <w:color w:val="1F4D78"/>
                <w:sz w:val="20"/>
              </w:rPr>
              <w:t>Date</w:t>
            </w:r>
          </w:p>
        </w:tc>
        <w:tc>
          <w:tcPr>
            <w:tcW w:type="dxa" w:w="7128"/>
            <w:vAlign w:val="center"/>
          </w:tcPr>
          <w:p>
            <w:pPr>
              <w:spacing w:after="0" w:line="252" w:lineRule="auto"/>
              <w:jc w:val="left"/>
            </w:pPr>
            <w:r>
              <w:rPr>
                <w:rFonts w:ascii="Calibri" w:hAnsi="Calibri"/>
                <w:color w:val="1E293B"/>
                <w:sz w:val="20"/>
              </w:rPr>
              <w:t>5 August 2026</w:t>
            </w:r>
          </w:p>
        </w:tc>
      </w:tr>
    </w:tbl>
    <w:p>
      <w:pPr>
        <w:spacing w:after="40"/>
      </w:pPr>
    </w:p>
    <w:tbl>
      <w:tblPr>
        <w:tblW w:type="dxa" w:w="9360"/>
        <w:jc w:val="left"/>
        <w:tblLayout w:type="fixed"/>
        <w:tblLook w:firstColumn="1" w:firstRow="1" w:lastColumn="0" w:lastRow="0" w:noHBand="0" w:noVBand="1" w:val="04A0"/>
        <w:tblInd w:w="120" w:type="dxa"/>
        <w:tblBorders>
          <w:top w:val="single" w:sz="8" w:space="0" w:color="B7C9DE"/>
          <w:left w:val="single" w:sz="8" w:space="0" w:color="B7C9DE"/>
          <w:bottom w:val="single" w:sz="8" w:space="0" w:color="B7C9DE"/>
          <w:right w:val="single" w:sz="8" w:space="0" w:color="B7C9DE"/>
          <w:insideH w:val="single" w:sz="8" w:space="0" w:color="B7C9DE"/>
          <w:insideV w:val="single" w:sz="8" w:space="0" w:color="B7C9DE"/>
        </w:tblBorders>
      </w:tblPr>
      <w:tblGrid>
        <w:gridCol w:w="9360"/>
      </w:tblGrid>
      <w:tr>
        <w:trPr>
          <w:tblHeader w:val="true"/>
          <w:cantSplit/>
        </w:trPr>
        <w:tc>
          <w:tcPr>
            <w:tcW w:type="dxa" w:w="9360"/>
            <w:tcMar>
              <w:top w:w="80" w:type="dxa"/>
              <w:start w:w="120" w:type="dxa"/>
              <w:bottom w:w="80" w:type="dxa"/>
              <w:end w:w="120" w:type="dxa"/>
            </w:tcMar>
            <w:shd w:fill="E8EEF5"/>
            <w:vAlign w:val="center"/>
          </w:tcPr>
          <w:p>
            <w:pPr>
              <w:spacing w:after="0" w:line="283" w:lineRule="auto"/>
            </w:pPr>
            <w:r>
              <w:t>Claim boundary: API-protocol checking, lifecycle checking, auditing, and repair are not claimed as new. The testable contribution is a fuzz-driver-specific obligation analysis that propagates return- and ownership-conditioned states over analyzer-consistent Clang CFG paths and reports auditable MUST/MAY/UNKNOWN evidence. Repair is a secondary contribution evaluated only after Gate V freezes specifications, labels, analyzer code, metrics, and verification claims. Novelty remains conditional on baseline, ablation, and repair evidence.</w:t>
            </w:r>
          </w:p>
        </w:tc>
      </w:tr>
    </w:tbl>
    <w:p>
      <w:pPr>
        <w:spacing w:after="40"/>
      </w:pPr>
    </w:p>
    <w:p>
      <w:r>
        <w:br w:type="page"/>
      </w:r>
    </w:p>
    <w:p>
      <w:pPr>
        <w:pStyle w:val="Heading1"/>
        <w:keepNext/>
      </w:pPr>
      <w:r>
        <w:t>Abstract</w:t>
      </w:r>
    </w:p>
    <w:p>
      <w:pPr>
        <w:spacing w:before="0" w:after="120" w:line="300" w:lineRule="auto"/>
        <w:jc w:val="both"/>
      </w:pPr>
      <w:r>
        <w:rPr>
          <w:rFonts w:ascii="Calibri" w:hAnsi="Calibri"/>
          <w:i w:val="0"/>
          <w:color w:val="1E293B"/>
          <w:sz w:val="22"/>
        </w:rPr>
        <w:t>LLM-based fuzz-driver generation can produce source that compiles, reaches target APIs, and increases coverage while still violating stateful API protocols. QuartetFuzz has already established API Protocol Compliance as a harness-quality principle and implements an LLM-agent generate-check-fix workflow. This proposal therefore does not claim that protocol checking, lifecycle checking, post-hoc auditing, or repair is new. It tests a narrower contribution: whether an independent, explicit, and bounded resource-centered static analysis can first provide reproducible obligation-level detection and uncertainty-aware localization and, only after the verifier and gold labels are frozen, whether the resulting evidence can support constrained deterministic repair of confirmed defects in C-library fuzz drivers.</w:t>
      </w:r>
    </w:p>
    <w:p>
      <w:pPr>
        <w:spacing w:before="0" w:after="120" w:line="300" w:lineRule="auto"/>
        <w:jc w:val="both"/>
      </w:pPr>
      <w:r>
        <w:rPr>
          <w:rFonts w:ascii="Calibri" w:hAnsi="Calibri"/>
          <w:i w:val="0"/>
          <w:color w:val="1E293B"/>
          <w:sz w:val="22"/>
        </w:rPr>
        <w:t>SemanticVerify-Fuzz represents fuzz-driver-specific protocol obligations for initialization, return-dependent failure states, valid use, ordering, ownership, and cleanup. The first implementation is fixed as Clang LibTooling plus Clang CFG plus custom bounded resource-state propagation; SVF remains an optional later extension. The verdict contract has three base outcomes—VALID, VIOLATION, and UNKNOWN—with VIOLATION quantified as MUST or MAY, yielding four serialized labels. Unsupported semantics are never silently treated as valid, and raw CFG paths are evidence rather than independent statistical samples.</w:t>
      </w:r>
    </w:p>
    <w:p>
      <w:pPr>
        <w:spacing w:before="0" w:after="120" w:line="300" w:lineRule="auto"/>
        <w:jc w:val="both"/>
      </w:pPr>
      <w:r>
        <w:t>The experiment is frozen at eight libraries and 800 newly generated attempts: zlib for development, libpcap for validation, and curl, cJSON, libtiff, libvpx, c-ares, and lcms for final held-out evaluation. DeepSeek V4 Flash-0731 and Gemini 3.1 Flash-Lite each produce five attempts for each of ten frozen API/feature scenarios per library. All raw outputs are preserved. Stage A completes protocol specification, generation, compilation, blind annotation of up to 140 compilable drivers, verification, baselines, ablations, and held-out statistics. Gate V then freezes specifications, labels, analyzer code, thresholds, and verification claims. Stage B begins afterward and evaluates repair only on eligible confirmed natural defects: it requires at least 20 cases for a confirmatory comparison and uses a preregistered stratified cap of 40. Repair cannot feed back into Stage A. The study is a complete research restart and makes no universal claim about C correctness.</w:t>
      </w:r>
    </w:p>
    <w:tbl>
      <w:tblPr>
        <w:tblW w:type="dxa" w:w="9360"/>
        <w:jc w:val="left"/>
        <w:tblLayout w:type="fixed"/>
        <w:tblLook w:firstColumn="1" w:firstRow="1" w:lastColumn="0" w:lastRow="0" w:noHBand="0" w:noVBand="1" w:val="04A0"/>
        <w:tblInd w:w="120" w:type="dxa"/>
        <w:tblBorders>
          <w:top w:val="single" w:sz="8" w:space="0" w:color="B7C9DE"/>
          <w:left w:val="single" w:sz="8" w:space="0" w:color="B7C9DE"/>
          <w:bottom w:val="single" w:sz="8" w:space="0" w:color="B7C9DE"/>
          <w:right w:val="single" w:sz="8" w:space="0" w:color="B7C9DE"/>
          <w:insideH w:val="single" w:sz="8" w:space="0" w:color="B7C9DE"/>
          <w:insideV w:val="single" w:sz="8" w:space="0" w:color="B7C9DE"/>
        </w:tblBorders>
      </w:tblPr>
      <w:tblGrid>
        <w:gridCol w:w="9360"/>
      </w:tblGrid>
      <w:tr>
        <w:trPr>
          <w:tblHeader w:val="true"/>
          <w:cantSplit/>
        </w:trPr>
        <w:tc>
          <w:tcPr>
            <w:tcW w:type="dxa" w:w="9360"/>
            <w:tcMar>
              <w:top w:w="80" w:type="dxa"/>
              <w:start w:w="120" w:type="dxa"/>
              <w:bottom w:w="80" w:type="dxa"/>
              <w:end w:w="120" w:type="dxa"/>
            </w:tcMar>
            <w:shd w:fill="E8EEF5"/>
            <w:vAlign w:val="center"/>
          </w:tcPr>
          <w:p>
            <w:pPr>
              <w:spacing w:after="0" w:line="283" w:lineRule="auto"/>
            </w:pPr>
            <w:r>
              <w:rPr>
                <w:rFonts w:ascii="Calibri" w:hAnsi="Calibri"/>
                <w:b/>
                <w:color w:val="1F4D78"/>
                <w:sz w:val="21"/>
              </w:rPr>
              <w:t>Core research question: Can a generator-independent, bounded, resource-centered path-sensitive analysis first improve uncertainty-aware verification and localization of API-protocol violations in compilable C-library fuzz drivers and, after the verifier and gold labels are frozen, can its evidence support constrained repair without feeding back into verification?</w:t>
            </w:r>
          </w:p>
        </w:tc>
      </w:tr>
    </w:tbl>
    <w:p>
      <w:pPr>
        <w:spacing w:after="40"/>
      </w:pPr>
    </w:p>
    <w:p>
      <w:pPr>
        <w:pStyle w:val="Heading1"/>
        <w:keepNext/>
      </w:pPr>
      <w:r>
        <w:t>1. Background and Problem Statement</w:t>
      </w:r>
    </w:p>
    <w:p>
      <w:pPr>
        <w:spacing w:before="0" w:after="120" w:line="300" w:lineRule="auto"/>
        <w:jc w:val="both"/>
      </w:pPr>
      <w:r>
        <w:rPr>
          <w:rFonts w:ascii="Calibri" w:hAnsi="Calibri"/>
          <w:i w:val="0"/>
          <w:color w:val="1E293B"/>
          <w:sz w:val="22"/>
        </w:rPr>
        <w:t>A fuzz driver, or fuzz harness, converts fuzzer-controlled bytes into calls to a target library. It decides which APIs are reached, how objects are initialized and released, how return values affect later calls, and whether a reported failure originates in the library or in the harness. Build success is necessary but not sufficient: a driver may compile and execute while using an uninitialized handle, continuing after failed activation, releasing borrowed memory, omitting cleanup on an early return, or calling operations after close.</w:t>
      </w:r>
    </w:p>
    <w:p>
      <w:pPr>
        <w:spacing w:before="0" w:after="120" w:line="300" w:lineRule="auto"/>
        <w:jc w:val="both"/>
      </w:pPr>
      <w:r>
        <w:rPr>
          <w:rFonts w:ascii="Calibri" w:hAnsi="Calibri"/>
          <w:i w:val="0"/>
          <w:color w:val="1E293B"/>
          <w:sz w:val="22"/>
        </w:rPr>
        <w:t>Traditional fuzz-driver systems generate call sequences by reusing consumer code, mining tests, modelling object lifetimes, or learning API constraints [9]–[15]. Recent LLM-based systems add repository context, knowledge graphs, compilation feedback, or coverage-guided generation [3]–[8]. These systems primarily optimize synthesis, build success, reachability, or coverage. Their progress makes semantic auditing more, not less, important because more generated drivers can scale both useful testing and harness-induced error.</w:t>
      </w:r>
    </w:p>
    <w:p>
      <w:pPr>
        <w:spacing w:before="0" w:after="120" w:line="300" w:lineRule="auto"/>
        <w:jc w:val="both"/>
      </w:pPr>
      <w:r>
        <w:rPr>
          <w:rFonts w:ascii="Calibri" w:hAnsi="Calibri"/>
          <w:i w:val="0"/>
          <w:color w:val="1E293B"/>
          <w:sz w:val="22"/>
        </w:rPr>
        <w:t>QuartetFuzz is the closest work. It defines four harness-quality principles, including API Protocol Compliance (P2), and applies them in an autonomous generation and auditing workflow [1]. Its public artifact documents a P2 research agent, semantic self-review, call-graph tools, build validation, adversarial probes, and coverage measurement [2]. The paper also states that its mathematical properties are approximated by syntactic sub-checks, adversarial probes, call-graph reachability, and LLM fallback [1]. SemanticVerify-Fuzz therefore cannot be defended by repeating the labels protocol compliance, lifecycle, cleanup, auditing, or repair. Its defensible boundary is the explicit resource-state mechanism, normalized obligation-level evidence, three base outcomes with MUST/MAY violation quantification, a hard verification freeze, post-freeze constrained deterministic repair, and matched empirical design.</w:t>
      </w:r>
    </w:p>
    <w:p>
      <w:pPr>
        <w:spacing w:before="0" w:after="120" w:line="300" w:lineRule="auto"/>
        <w:jc w:val="both"/>
      </w:pPr>
      <w:r>
        <w:rPr>
          <w:rFonts w:ascii="Calibri" w:hAnsi="Calibri"/>
          <w:i w:val="0"/>
          <w:color w:val="1E293B"/>
          <w:sz w:val="22"/>
        </w:rPr>
        <w:t>The research problem is consequently specific: existing work does not yet establish, for arbitrary already-generated C-library fuzz drivers, whether a dedicated Clang-based resource-state analysis can distinguish return-conditioned success and failure states, merge equivalent paths into auditable protocol obligations, abstain on unsupported cases, and—after its evidence is frozen—support constrained repairs whose behavior-preservation gates are evaluated independently. This proposal treats both stages as empirical hypotheses rather than assumed novelty claims.</w:t>
      </w:r>
    </w:p>
    <w:p>
      <w:pPr>
        <w:pStyle w:val="Heading1"/>
        <w:keepNext/>
      </w:pPr>
      <w:r>
        <w:t>2. Literature Review and Research Gap</w:t>
      </w:r>
    </w:p>
    <w:p>
      <w:pPr>
        <w:pStyle w:val="Heading2"/>
        <w:keepNext/>
      </w:pPr>
      <w:r>
        <w:t>2.1 Automated fuzz-driver generation</w:t>
      </w:r>
    </w:p>
    <w:p>
      <w:pPr>
        <w:spacing w:before="0" w:after="120" w:line="300" w:lineRule="auto"/>
        <w:jc w:val="both"/>
      </w:pPr>
      <w:r>
        <w:rPr>
          <w:rFonts w:ascii="Calibri" w:hAnsi="Calibri"/>
          <w:i w:val="0"/>
          <w:color w:val="1E293B"/>
          <w:sz w:val="22"/>
        </w:rPr>
        <w:t>FUDGE extracts candidate fragments from consumer programs, while FuzzGen uses whole-system analysis of library consumers [9], [10]. GraphFuzz represents lifetime-aware data-flow graphs; HOPPER learns API constraints for interpretative library fuzzing; UTopia derives drivers from unit tests; RUBICK learns control-flow-sensitive automata; and APICraft combines control and data dependencies for closed-source SDKs [11]–[15]. These works establish that lifetime, automata, ordering, and constraint reasoning are not new. Their main research target is driver construction or sequence exploration, not selective classification of protocol-obligation instances in arbitrary generated source.</w:t>
      </w:r>
    </w:p>
    <w:p>
      <w:pPr>
        <w:pStyle w:val="Heading2"/>
        <w:keepNext/>
      </w:pPr>
      <w:r>
        <w:t>2.2 LLM-based generation and validation</w:t>
      </w:r>
    </w:p>
    <w:p>
      <w:pPr>
        <w:spacing w:before="0" w:after="120" w:line="300" w:lineRule="auto"/>
        <w:jc w:val="both"/>
      </w:pPr>
      <w:r>
        <w:rPr>
          <w:rFonts w:ascii="Calibri" w:hAnsi="Calibri"/>
          <w:i w:val="0"/>
          <w:color w:val="1E293B"/>
          <w:sz w:val="22"/>
        </w:rPr>
        <w:t>PromptFuzz combines prompt mutation with validation of erroneous generated programs [3]. CKGFuzzer uses a code knowledge graph and iterative compilation repair [4]. PromeFuzz combines source metadata, documentation, and usage knowledge [5]. OSS-Fuzz-Gen scales model-assisted target generation and evaluates compilation, execution, and coverage [6]. HarnessAgent retrieves context and invokes tools in a structured generation pipeline [7], while OGHarn uses compilation, execution, and coverage oracles for generated C API harnesses [8]. These validation signals remain essential, but none alone establishes that a stateful API protocol is satisfied on every analyzer-consistent success, failure, and cleanup path.</w:t>
      </w:r>
    </w:p>
    <w:p>
      <w:pPr>
        <w:pStyle w:val="Heading2"/>
        <w:keepNext/>
      </w:pPr>
      <w:r>
        <w:t>2.3 API misuse, typestate, and static analysis</w:t>
      </w:r>
    </w:p>
    <w:p>
      <w:pPr>
        <w:spacing w:before="0" w:after="120" w:line="300" w:lineRule="auto"/>
        <w:jc w:val="both"/>
      </w:pPr>
      <w:r>
        <w:rPr>
          <w:rFonts w:ascii="Calibri" w:hAnsi="Calibri"/>
          <w:i w:val="0"/>
          <w:color w:val="1E293B"/>
          <w:sz w:val="22"/>
        </w:rPr>
        <w:t>API misuse detection and typestate analysis predate LLM-generated code. Strom and Yemini introduced typestate as a state-refined notion of type [25]. SLAM and Static Driver Verifier demonstrated rule-directed checking of C clients against interface protocols [26], [27], while the Clang Static Analyzer provides path-sensitive symbolic analysis for C-family programs [24]. APISan mines likely usage patterns through semantic cross-checking [16], CarpetFuzz extracts documented constraints [17], and SVF provides LLVM value-flow infrastructure [18]. Contribution 1 therefore does not claim to invent finite-state protocol modelling; it adapts a provenance-controlled obligation contract to fuzz-driver structure, uncertainty, localization, and evaluation.</w:t>
      </w:r>
    </w:p>
    <w:p>
      <w:pPr>
        <w:pStyle w:val="Heading2"/>
        <w:keepNext/>
      </w:pPr>
      <w:r>
        <w:t>2.4 Evidence-based boundary from QuartetFuzz</w:t>
      </w:r>
    </w:p>
    <w:p>
      <w:pPr>
        <w:spacing w:before="0" w:after="120" w:line="300" w:lineRule="auto"/>
        <w:jc w:val="both"/>
      </w:pPr>
      <w:r>
        <w:rPr>
          <w:rFonts w:ascii="Calibri" w:hAnsi="Calibri"/>
          <w:i w:val="0"/>
          <w:color w:val="1E293B"/>
          <w:sz w:val="22"/>
        </w:rPr>
        <w:t>As of 2 August 2026, QuartetFuzz has a public paper, code, and dataset [1], [2]. The public artifact identifies `p2_agent.py` as an LLM-based API-protocol research stage and documents semantic self-review, call-graph queries, build execution, adversarial probes, and coverage tools. The paper explicitly describes the implemented properties as approximations rather than exact executions of the mathematical definitions. The following table therefore separates documented evidence from hypotheses that must be tested experimentally.</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224"/>
        <w:gridCol w:w="3384"/>
        <w:gridCol w:w="3096"/>
        <w:gridCol w:w="1656"/>
      </w:tblGrid>
      <w:tr>
        <w:trPr>
          <w:tblHeader w:val="true"/>
          <w:cantSplit/>
        </w:trPr>
        <w:tc>
          <w:tcPr>
            <w:tcW w:type="dxa" w:w="1224"/>
            <w:tcMar>
              <w:top w:w="80" w:type="dxa"/>
              <w:start w:w="120" w:type="dxa"/>
              <w:bottom w:w="80" w:type="dxa"/>
              <w:end w:w="120" w:type="dxa"/>
            </w:tcMar>
            <w:shd w:fill="F4F6F9"/>
            <w:vAlign w:val="center"/>
          </w:tcPr>
          <w:p>
            <w:pPr>
              <w:spacing w:after="0" w:line="240" w:lineRule="auto"/>
              <w:jc w:val="center"/>
            </w:pPr>
            <w:r>
              <w:rPr>
                <w:rFonts w:ascii="Calibri" w:hAnsi="Calibri"/>
                <w:b/>
                <w:color w:val="1F4D78"/>
                <w:sz w:val="15"/>
              </w:rPr>
              <w:t>Dimension</w:t>
            </w:r>
          </w:p>
        </w:tc>
        <w:tc>
          <w:tcPr>
            <w:tcW w:type="dxa" w:w="3384"/>
            <w:tcMar>
              <w:top w:w="80" w:type="dxa"/>
              <w:start w:w="120" w:type="dxa"/>
              <w:bottom w:w="80" w:type="dxa"/>
              <w:end w:w="120" w:type="dxa"/>
            </w:tcMar>
            <w:shd w:fill="F4F6F9"/>
            <w:vAlign w:val="center"/>
          </w:tcPr>
          <w:p>
            <w:pPr>
              <w:spacing w:after="0" w:line="240" w:lineRule="auto"/>
              <w:jc w:val="center"/>
            </w:pPr>
            <w:r>
              <w:rPr>
                <w:rFonts w:ascii="Calibri" w:hAnsi="Calibri"/>
                <w:b/>
                <w:color w:val="1F4D78"/>
                <w:sz w:val="15"/>
              </w:rPr>
              <w:t>QuartetFuzz public evidence</w:t>
            </w:r>
          </w:p>
        </w:tc>
        <w:tc>
          <w:tcPr>
            <w:tcW w:type="dxa" w:w="3096"/>
            <w:tcMar>
              <w:top w:w="80" w:type="dxa"/>
              <w:start w:w="120" w:type="dxa"/>
              <w:bottom w:w="80" w:type="dxa"/>
              <w:end w:w="120" w:type="dxa"/>
            </w:tcMar>
            <w:shd w:fill="F4F6F9"/>
            <w:vAlign w:val="center"/>
          </w:tcPr>
          <w:p>
            <w:pPr>
              <w:spacing w:after="0" w:line="240" w:lineRule="auto"/>
              <w:jc w:val="center"/>
            </w:pPr>
            <w:r>
              <w:rPr>
                <w:rFonts w:ascii="Calibri" w:hAnsi="Calibri"/>
                <w:b/>
                <w:color w:val="1F4D78"/>
                <w:sz w:val="15"/>
              </w:rPr>
              <w:t>SemanticVerify-Fuzz mechanism</w:t>
            </w:r>
          </w:p>
        </w:tc>
        <w:tc>
          <w:tcPr>
            <w:tcW w:type="dxa" w:w="1656"/>
            <w:tcMar>
              <w:top w:w="80" w:type="dxa"/>
              <w:start w:w="120" w:type="dxa"/>
              <w:bottom w:w="80" w:type="dxa"/>
              <w:end w:w="120" w:type="dxa"/>
            </w:tcMar>
            <w:shd w:fill="F4F6F9"/>
            <w:vAlign w:val="center"/>
          </w:tcPr>
          <w:p>
            <w:pPr>
              <w:spacing w:after="0" w:line="240" w:lineRule="auto"/>
              <w:jc w:val="center"/>
            </w:pPr>
            <w:r>
              <w:rPr>
                <w:rFonts w:ascii="Calibri" w:hAnsi="Calibri"/>
                <w:b/>
                <w:color w:val="1F4D78"/>
                <w:sz w:val="15"/>
              </w:rPr>
              <w:t>Planned test</w:t>
            </w:r>
          </w:p>
        </w:tc>
      </w:tr>
      <w:tr>
        <w:trPr>
          <w:cantSplit/>
        </w:trPr>
        <w:tc>
          <w:tcPr>
            <w:tcW w:type="dxa" w:w="1224"/>
            <w:vAlign w:val="center"/>
          </w:tcPr>
          <w:p>
            <w:pPr>
              <w:spacing w:after="0" w:line="252" w:lineRule="auto"/>
              <w:jc w:val="left"/>
            </w:pPr>
            <w:r>
              <w:rPr>
                <w:rFonts w:ascii="Calibri" w:hAnsi="Calibri"/>
                <w:color w:val="1E293B"/>
                <w:sz w:val="15"/>
              </w:rPr>
              <w:t>System role</w:t>
            </w:r>
          </w:p>
        </w:tc>
        <w:tc>
          <w:tcPr>
            <w:tcW w:type="dxa" w:w="3384"/>
            <w:vAlign w:val="center"/>
          </w:tcPr>
          <w:p>
            <w:pPr>
              <w:spacing w:after="0" w:line="252" w:lineRule="auto"/>
              <w:jc w:val="left"/>
            </w:pPr>
            <w:r>
              <w:rPr>
                <w:rFonts w:ascii="Calibri" w:hAnsi="Calibri"/>
                <w:color w:val="1E293B"/>
                <w:sz w:val="15"/>
              </w:rPr>
              <w:t>Autonomous generation and quality-auditing pipeline; P1–P4 are integrated quality gates [1], [2].</w:t>
            </w:r>
          </w:p>
        </w:tc>
        <w:tc>
          <w:tcPr>
            <w:tcW w:type="dxa" w:w="3096"/>
            <w:vAlign w:val="center"/>
          </w:tcPr>
          <w:p>
            <w:pPr>
              <w:spacing w:after="0" w:line="252" w:lineRule="auto"/>
              <w:jc w:val="left"/>
            </w:pPr>
            <w:r>
              <w:rPr>
                <w:rFonts w:ascii="Calibri" w:hAnsi="Calibri"/>
                <w:color w:val="1E293B"/>
                <w:sz w:val="15"/>
              </w:rPr>
              <w:t>Independent auditor for already-generated, compilable C-library drivers.</w:t>
            </w:r>
          </w:p>
        </w:tc>
        <w:tc>
          <w:tcPr>
            <w:tcW w:type="dxa" w:w="1656"/>
            <w:vAlign w:val="center"/>
          </w:tcPr>
          <w:p>
            <w:pPr>
              <w:spacing w:after="0" w:line="252" w:lineRule="auto"/>
              <w:jc w:val="left"/>
            </w:pPr>
            <w:r>
              <w:rPr>
                <w:rFonts w:ascii="Calibri" w:hAnsi="Calibri"/>
                <w:color w:val="1E293B"/>
                <w:sz w:val="15"/>
              </w:rPr>
              <w:t>Apply both to a predeclared shared C subset.</w:t>
            </w:r>
          </w:p>
        </w:tc>
      </w:tr>
      <w:tr>
        <w:trPr>
          <w:cantSplit/>
        </w:trPr>
        <w:tc>
          <w:tcPr>
            <w:tcW w:type="dxa" w:w="1224"/>
            <w:vAlign w:val="center"/>
          </w:tcPr>
          <w:p>
            <w:pPr>
              <w:spacing w:after="0" w:line="252" w:lineRule="auto"/>
              <w:jc w:val="left"/>
            </w:pPr>
            <w:r>
              <w:rPr>
                <w:rFonts w:ascii="Calibri" w:hAnsi="Calibri"/>
                <w:color w:val="1E293B"/>
                <w:sz w:val="15"/>
              </w:rPr>
              <w:t>Path handling</w:t>
            </w:r>
          </w:p>
        </w:tc>
        <w:tc>
          <w:tcPr>
            <w:tcW w:type="dxa" w:w="3384"/>
            <w:vAlign w:val="center"/>
          </w:tcPr>
          <w:p>
            <w:pPr>
              <w:spacing w:after="0" w:line="252" w:lineRule="auto"/>
              <w:jc w:val="left"/>
            </w:pPr>
            <w:r>
              <w:rPr>
                <w:rFonts w:ascii="Calibri" w:hAnsi="Calibri"/>
                <w:color w:val="1E293B"/>
                <w:sz w:val="15"/>
              </w:rPr>
              <w:t>Paper documents syntactic checks, adversarial probes, call-graph reachability, and LLM fallback; no dedicated resource-state fixed-point engine is documented [1], [2].</w:t>
            </w:r>
          </w:p>
        </w:tc>
        <w:tc>
          <w:tcPr>
            <w:tcW w:type="dxa" w:w="3096"/>
            <w:vAlign w:val="center"/>
          </w:tcPr>
          <w:p>
            <w:pPr>
              <w:spacing w:after="0" w:line="252" w:lineRule="auto"/>
              <w:jc w:val="left"/>
            </w:pPr>
            <w:r>
              <w:rPr>
                <w:rFonts w:ascii="Calibri" w:hAnsi="Calibri"/>
                <w:color w:val="1E293B"/>
                <w:sz w:val="15"/>
              </w:rPr>
              <w:t>Clang CFG propagation over analyzer-consistent branches with explicit merging and bounds.</w:t>
            </w:r>
          </w:p>
        </w:tc>
        <w:tc>
          <w:tcPr>
            <w:tcW w:type="dxa" w:w="1656"/>
            <w:vAlign w:val="center"/>
          </w:tcPr>
          <w:p>
            <w:pPr>
              <w:spacing w:after="0" w:line="252" w:lineRule="auto"/>
              <w:jc w:val="left"/>
            </w:pPr>
            <w:r>
              <w:rPr>
                <w:rFonts w:ascii="Calibri" w:hAnsi="Calibri"/>
                <w:color w:val="1E293B"/>
                <w:sz w:val="15"/>
              </w:rPr>
              <w:t>Compare matched findings and witness granularity.</w:t>
            </w:r>
          </w:p>
        </w:tc>
      </w:tr>
      <w:tr>
        <w:trPr>
          <w:cantSplit/>
        </w:trPr>
        <w:tc>
          <w:tcPr>
            <w:tcW w:type="dxa" w:w="1224"/>
            <w:vAlign w:val="center"/>
          </w:tcPr>
          <w:p>
            <w:pPr>
              <w:spacing w:after="0" w:line="252" w:lineRule="auto"/>
              <w:jc w:val="left"/>
            </w:pPr>
            <w:r>
              <w:rPr>
                <w:rFonts w:ascii="Calibri" w:hAnsi="Calibri"/>
                <w:color w:val="1E293B"/>
                <w:sz w:val="15"/>
              </w:rPr>
              <w:t>Return values</w:t>
            </w:r>
          </w:p>
        </w:tc>
        <w:tc>
          <w:tcPr>
            <w:tcW w:type="dxa" w:w="3384"/>
            <w:vAlign w:val="center"/>
          </w:tcPr>
          <w:p>
            <w:pPr>
              <w:spacing w:after="0" w:line="252" w:lineRule="auto"/>
              <w:jc w:val="left"/>
            </w:pPr>
            <w:r>
              <w:rPr>
                <w:rFonts w:ascii="Calibri" w:hAnsi="Calibri"/>
                <w:color w:val="1E293B"/>
                <w:sz w:val="15"/>
              </w:rPr>
              <w:t>P2 report includes return handling and semantic self-review [2].</w:t>
            </w:r>
          </w:p>
        </w:tc>
        <w:tc>
          <w:tcPr>
            <w:tcW w:type="dxa" w:w="3096"/>
            <w:vAlign w:val="center"/>
          </w:tcPr>
          <w:p>
            <w:pPr>
              <w:spacing w:after="0" w:line="252" w:lineRule="auto"/>
              <w:jc w:val="left"/>
            </w:pPr>
            <w:r>
              <w:rPr>
                <w:rFonts w:ascii="Calibri" w:hAnsi="Calibri"/>
                <w:color w:val="1E293B"/>
                <w:sz w:val="15"/>
              </w:rPr>
              <w:t>Return predicates refine resource states and transition outcomes.</w:t>
            </w:r>
          </w:p>
        </w:tc>
        <w:tc>
          <w:tcPr>
            <w:tcW w:type="dxa" w:w="1656"/>
            <w:vAlign w:val="center"/>
          </w:tcPr>
          <w:p>
            <w:pPr>
              <w:spacing w:after="0" w:line="252" w:lineRule="auto"/>
              <w:jc w:val="left"/>
            </w:pPr>
            <w:r>
              <w:rPr>
                <w:rFonts w:ascii="Calibri" w:hAnsi="Calibri"/>
                <w:color w:val="1E293B"/>
                <w:sz w:val="15"/>
              </w:rPr>
              <w:t>Ablate return-value refinement.</w:t>
            </w:r>
          </w:p>
        </w:tc>
      </w:tr>
      <w:tr>
        <w:trPr>
          <w:cantSplit/>
        </w:trPr>
        <w:tc>
          <w:tcPr>
            <w:tcW w:type="dxa" w:w="1224"/>
            <w:vAlign w:val="center"/>
          </w:tcPr>
          <w:p>
            <w:pPr>
              <w:spacing w:after="0" w:line="252" w:lineRule="auto"/>
              <w:jc w:val="left"/>
            </w:pPr>
            <w:r>
              <w:rPr>
                <w:rFonts w:ascii="Calibri" w:hAnsi="Calibri"/>
                <w:color w:val="1E293B"/>
                <w:sz w:val="15"/>
              </w:rPr>
              <w:t>Ownership</w:t>
            </w:r>
          </w:p>
        </w:tc>
        <w:tc>
          <w:tcPr>
            <w:tcW w:type="dxa" w:w="3384"/>
            <w:vAlign w:val="center"/>
          </w:tcPr>
          <w:p>
            <w:pPr>
              <w:spacing w:after="0" w:line="252" w:lineRule="auto"/>
              <w:jc w:val="left"/>
            </w:pPr>
            <w:r>
              <w:rPr>
                <w:rFonts w:ascii="Calibri" w:hAnsi="Calibri"/>
                <w:color w:val="1E293B"/>
                <w:sz w:val="15"/>
              </w:rPr>
              <w:t>Lifecycle/cleanup appear inside the broader P2 checklist [1], [2].</w:t>
            </w:r>
          </w:p>
        </w:tc>
        <w:tc>
          <w:tcPr>
            <w:tcW w:type="dxa" w:w="3096"/>
            <w:vAlign w:val="center"/>
          </w:tcPr>
          <w:p>
            <w:pPr>
              <w:spacing w:after="0" w:line="252" w:lineRule="auto"/>
              <w:jc w:val="left"/>
            </w:pPr>
            <w:r>
              <w:rPr>
                <w:rFonts w:ascii="Calibri" w:hAnsi="Calibri"/>
                <w:color w:val="1E293B"/>
                <w:sz w:val="15"/>
              </w:rPr>
              <w:t>Ownership effects are explicit obligation fields: create, borrow, transfer, release, reset.</w:t>
            </w:r>
          </w:p>
        </w:tc>
        <w:tc>
          <w:tcPr>
            <w:tcW w:type="dxa" w:w="1656"/>
            <w:vAlign w:val="center"/>
          </w:tcPr>
          <w:p>
            <w:pPr>
              <w:spacing w:after="0" w:line="252" w:lineRule="auto"/>
              <w:jc w:val="left"/>
            </w:pPr>
            <w:r>
              <w:rPr>
                <w:rFonts w:ascii="Calibri" w:hAnsi="Calibri"/>
                <w:color w:val="1E293B"/>
                <w:sz w:val="15"/>
              </w:rPr>
              <w:t>Report ownership-category precision and recall.</w:t>
            </w:r>
          </w:p>
        </w:tc>
      </w:tr>
      <w:tr>
        <w:trPr>
          <w:cantSplit/>
        </w:trPr>
        <w:tc>
          <w:tcPr>
            <w:tcW w:type="dxa" w:w="1224"/>
            <w:vAlign w:val="center"/>
          </w:tcPr>
          <w:p>
            <w:pPr>
              <w:spacing w:after="0" w:line="252" w:lineRule="auto"/>
              <w:jc w:val="left"/>
            </w:pPr>
            <w:r>
              <w:rPr>
                <w:rFonts w:ascii="Calibri" w:hAnsi="Calibri"/>
                <w:color w:val="1E293B"/>
                <w:sz w:val="15"/>
              </w:rPr>
              <w:t>Localization</w:t>
            </w:r>
          </w:p>
        </w:tc>
        <w:tc>
          <w:tcPr>
            <w:tcW w:type="dxa" w:w="3384"/>
            <w:vAlign w:val="center"/>
          </w:tcPr>
          <w:p>
            <w:pPr>
              <w:spacing w:after="0" w:line="252" w:lineRule="auto"/>
              <w:jc w:val="left"/>
            </w:pPr>
            <w:r>
              <w:rPr>
                <w:rFonts w:ascii="Calibri" w:hAnsi="Calibri"/>
                <w:color w:val="1E293B"/>
                <w:sz w:val="15"/>
              </w:rPr>
              <w:t>Artifact ties checks to reports, source evidence, and run results [2].</w:t>
            </w:r>
          </w:p>
        </w:tc>
        <w:tc>
          <w:tcPr>
            <w:tcW w:type="dxa" w:w="3096"/>
            <w:vAlign w:val="center"/>
          </w:tcPr>
          <w:p>
            <w:pPr>
              <w:spacing w:after="0" w:line="252" w:lineRule="auto"/>
              <w:jc w:val="left"/>
            </w:pPr>
            <w:r>
              <w:rPr>
                <w:rFonts w:ascii="Calibri" w:hAnsi="Calibri"/>
                <w:color w:val="1E293B"/>
                <w:sz w:val="15"/>
              </w:rPr>
              <w:t>Normalized obligation ID, program point, resource, observed/required states, branch predicates, and raw witness path.</w:t>
            </w:r>
          </w:p>
        </w:tc>
        <w:tc>
          <w:tcPr>
            <w:tcW w:type="dxa" w:w="1656"/>
            <w:vAlign w:val="center"/>
          </w:tcPr>
          <w:p>
            <w:pPr>
              <w:spacing w:after="0" w:line="252" w:lineRule="auto"/>
              <w:jc w:val="left"/>
            </w:pPr>
            <w:r>
              <w:rPr>
                <w:rFonts w:ascii="Calibri" w:hAnsi="Calibri"/>
                <w:color w:val="1E293B"/>
                <w:sz w:val="15"/>
              </w:rPr>
              <w:t>Blindly score localization fields.</w:t>
            </w:r>
          </w:p>
        </w:tc>
      </w:tr>
      <w:tr>
        <w:trPr>
          <w:cantSplit/>
        </w:trPr>
        <w:tc>
          <w:tcPr>
            <w:tcW w:type="dxa" w:w="1224"/>
            <w:vAlign w:val="center"/>
          </w:tcPr>
          <w:p>
            <w:pPr>
              <w:spacing w:after="0" w:line="252" w:lineRule="auto"/>
              <w:jc w:val="left"/>
            </w:pPr>
            <w:r>
              <w:rPr>
                <w:rFonts w:ascii="Calibri" w:hAnsi="Calibri"/>
                <w:color w:val="1E293B"/>
                <w:sz w:val="15"/>
              </w:rPr>
              <w:t>Uncertainty</w:t>
            </w:r>
          </w:p>
        </w:tc>
        <w:tc>
          <w:tcPr>
            <w:tcW w:type="dxa" w:w="3384"/>
            <w:vAlign w:val="center"/>
          </w:tcPr>
          <w:p>
            <w:pPr>
              <w:spacing w:after="0" w:line="252" w:lineRule="auto"/>
              <w:jc w:val="left"/>
            </w:pPr>
            <w:r>
              <w:rPr>
                <w:rFonts w:ascii="Calibri" w:hAnsi="Calibri"/>
                <w:color w:val="1E293B"/>
                <w:sz w:val="15"/>
              </w:rPr>
              <w:t>Static-analysis fallback can return unknown when call-graph data are missing [2].</w:t>
            </w:r>
          </w:p>
        </w:tc>
        <w:tc>
          <w:tcPr>
            <w:tcW w:type="dxa" w:w="3096"/>
            <w:vAlign w:val="center"/>
          </w:tcPr>
          <w:p>
            <w:pPr>
              <w:spacing w:after="0" w:line="252" w:lineRule="auto"/>
              <w:jc w:val="left"/>
            </w:pPr>
            <w:r>
              <w:rPr>
                <w:rFonts w:ascii="Calibri" w:hAnsi="Calibri"/>
                <w:color w:val="1E293B"/>
                <w:sz w:val="15"/>
              </w:rPr>
              <w:t>VALID/VIOLATION/UNKNOWN is the analyzer-wide verdict contract; violations are MUST/MAY.</w:t>
            </w:r>
          </w:p>
        </w:tc>
        <w:tc>
          <w:tcPr>
            <w:tcW w:type="dxa" w:w="1656"/>
            <w:vAlign w:val="center"/>
          </w:tcPr>
          <w:p>
            <w:pPr>
              <w:spacing w:after="0" w:line="252" w:lineRule="auto"/>
              <w:jc w:val="left"/>
            </w:pPr>
            <w:r>
              <w:rPr>
                <w:rFonts w:ascii="Calibri" w:hAnsi="Calibri"/>
                <w:color w:val="1E293B"/>
                <w:sz w:val="15"/>
              </w:rPr>
              <w:t>Report decision coverage and unknown causes.</w:t>
            </w:r>
          </w:p>
        </w:tc>
      </w:tr>
      <w:tr>
        <w:trPr>
          <w:cantSplit/>
        </w:trPr>
        <w:tc>
          <w:tcPr>
            <w:tcW w:type="dxa" w:w="1224"/>
            <w:vAlign w:val="center"/>
          </w:tcPr>
          <w:p>
            <w:pPr>
              <w:spacing w:after="0" w:line="252" w:lineRule="auto"/>
              <w:jc w:val="left"/>
            </w:pPr>
            <w:r>
              <w:rPr>
                <w:rFonts w:ascii="Calibri" w:hAnsi="Calibri"/>
                <w:color w:val="1E293B"/>
                <w:sz w:val="15"/>
              </w:rPr>
              <w:t>Repair</w:t>
            </w:r>
          </w:p>
        </w:tc>
        <w:tc>
          <w:tcPr>
            <w:tcW w:type="dxa" w:w="3384"/>
            <w:vAlign w:val="center"/>
          </w:tcPr>
          <w:p>
            <w:pPr>
              <w:spacing w:after="0" w:line="252" w:lineRule="auto"/>
              <w:jc w:val="left"/>
            </w:pPr>
            <w:r>
              <w:rPr>
                <w:rFonts w:ascii="Calibri" w:hAnsi="Calibri"/>
                <w:color w:val="1E293B"/>
                <w:sz w:val="15"/>
              </w:rPr>
              <w:t>LLM generate-check-fix and semantic self-review [1], [2].</w:t>
            </w:r>
          </w:p>
        </w:tc>
        <w:tc>
          <w:tcPr>
            <w:tcW w:type="dxa" w:w="3096"/>
            <w:vAlign w:val="center"/>
          </w:tcPr>
          <w:p>
            <w:pPr>
              <w:spacing w:after="0" w:line="252" w:lineRule="auto"/>
              <w:jc w:val="left"/>
            </w:pPr>
            <w:r>
              <w:rPr>
                <w:rFonts w:ascii="Calibri" w:hAnsi="Calibri"/>
                <w:color w:val="1E293B"/>
                <w:sz w:val="15"/>
              </w:rPr>
              <w:t>Post-Gate-V evidence-selected deterministic templates with five mandatory acceptance gates and no backflow.</w:t>
            </w:r>
          </w:p>
        </w:tc>
        <w:tc>
          <w:tcPr>
            <w:tcW w:type="dxa" w:w="1656"/>
            <w:vAlign w:val="center"/>
          </w:tcPr>
          <w:p>
            <w:pPr>
              <w:spacing w:after="0" w:line="252" w:lineRule="auto"/>
              <w:jc w:val="left"/>
            </w:pPr>
            <w:r>
              <w:rPr>
                <w:rFonts w:ascii="Calibri" w:hAnsi="Calibri"/>
                <w:color w:val="1E293B"/>
                <w:sz w:val="15"/>
              </w:rPr>
              <w:t>After Gate V, compare no repair, generic LLM, feedback LLM, and deterministic repair on the capped eligible set.</w:t>
            </w:r>
          </w:p>
        </w:tc>
      </w:tr>
      <w:tr>
        <w:trPr>
          <w:cantSplit/>
        </w:trPr>
        <w:tc>
          <w:tcPr>
            <w:tcW w:type="dxa" w:w="1224"/>
            <w:vAlign w:val="center"/>
          </w:tcPr>
          <w:p>
            <w:pPr>
              <w:spacing w:after="0" w:line="252" w:lineRule="auto"/>
              <w:jc w:val="left"/>
            </w:pPr>
            <w:r>
              <w:rPr>
                <w:rFonts w:ascii="Calibri" w:hAnsi="Calibri"/>
                <w:color w:val="1E293B"/>
                <w:sz w:val="15"/>
              </w:rPr>
              <w:t>Evaluation target</w:t>
            </w:r>
          </w:p>
        </w:tc>
        <w:tc>
          <w:tcPr>
            <w:tcW w:type="dxa" w:w="3384"/>
            <w:vAlign w:val="center"/>
          </w:tcPr>
          <w:p>
            <w:pPr>
              <w:spacing w:after="0" w:line="252" w:lineRule="auto"/>
              <w:jc w:val="left"/>
            </w:pPr>
            <w:r>
              <w:rPr>
                <w:rFonts w:ascii="Calibri" w:hAnsi="Calibri"/>
                <w:color w:val="1E293B"/>
                <w:sz w:val="15"/>
              </w:rPr>
              <w:t>Generated and production harnesses across multiple languages/projects [1].</w:t>
            </w:r>
          </w:p>
        </w:tc>
        <w:tc>
          <w:tcPr>
            <w:tcW w:type="dxa" w:w="3096"/>
            <w:vAlign w:val="center"/>
          </w:tcPr>
          <w:p>
            <w:pPr>
              <w:spacing w:after="0" w:line="252" w:lineRule="auto"/>
              <w:jc w:val="left"/>
            </w:pPr>
            <w:r>
              <w:rPr>
                <w:rFonts w:ascii="Calibri" w:hAnsi="Calibri"/>
                <w:color w:val="1E293B"/>
                <w:sz w:val="15"/>
              </w:rPr>
              <w:t>Two-model corpus over eight pinned C libraries with obligation-level gold labels.</w:t>
            </w:r>
          </w:p>
        </w:tc>
        <w:tc>
          <w:tcPr>
            <w:tcW w:type="dxa" w:w="1656"/>
            <w:vAlign w:val="center"/>
          </w:tcPr>
          <w:p>
            <w:pPr>
              <w:spacing w:after="0" w:line="252" w:lineRule="auto"/>
              <w:jc w:val="left"/>
            </w:pPr>
            <w:r>
              <w:rPr>
                <w:rFonts w:ascii="Calibri" w:hAnsi="Calibri"/>
                <w:color w:val="1E293B"/>
                <w:sz w:val="15"/>
              </w:rPr>
              <w:t>Report only within the shared supported scope.</w:t>
            </w:r>
          </w:p>
        </w:tc>
      </w:tr>
    </w:tbl>
    <w:p>
      <w:pPr>
        <w:spacing w:after="40"/>
      </w:pPr>
    </w:p>
    <w:p>
      <w:pPr>
        <w:spacing w:before="0" w:after="120" w:line="300" w:lineRule="auto"/>
        <w:jc w:val="both"/>
      </w:pPr>
      <w:r>
        <w:rPr>
          <w:rFonts w:ascii="Calibri" w:hAnsi="Calibri"/>
          <w:b/>
          <w:color w:val="1E293B"/>
          <w:sz w:val="22"/>
        </w:rPr>
        <w:t>QuartetFuzz baseline normalization rule. The public repository will be pinned by commit before comparison. First, its obligation-discovery output will be normalized into the frozen resource/rule/program-point inventory without using SemanticVerify-Fuzz verdicts. Second, its verdict/localization output will be scored on the same frozen driver subset and gold inventory. The documented P2 and SystemCheck stages must run unchanged; commit, models, prompts, tools, turn budget, parser, failures, latency, and cost are logged. If the artifact cannot audit arbitrary supplied drivers faithfully, the reproducibility failure is reported and the comparison remains qualitative—no ad hoc imitation and no numerical superiority claim.</w:t>
      </w:r>
    </w:p>
    <w:p>
      <w:pPr>
        <w:pStyle w:val="Heading2"/>
        <w:keepNext/>
      </w:pPr>
      <w:r>
        <w:t>2.5 Novelty position and exact research gap</w:t>
      </w:r>
    </w:p>
    <w:tbl>
      <w:tblPr>
        <w:tblW w:type="dxa" w:w="9360"/>
        <w:jc w:val="left"/>
        <w:tblLayout w:type="fixed"/>
        <w:tblLook w:firstColumn="1" w:firstRow="1" w:lastColumn="0" w:lastRow="0" w:noHBand="0" w:noVBand="1" w:val="04A0"/>
        <w:tblInd w:w="120" w:type="dxa"/>
        <w:tblBorders>
          <w:top w:val="single" w:sz="8" w:space="0" w:color="B7C9DE"/>
          <w:left w:val="single" w:sz="8" w:space="0" w:color="B7C9DE"/>
          <w:bottom w:val="single" w:sz="8" w:space="0" w:color="B7C9DE"/>
          <w:right w:val="single" w:sz="8" w:space="0" w:color="B7C9DE"/>
          <w:insideH w:val="single" w:sz="8" w:space="0" w:color="B7C9DE"/>
          <w:insideV w:val="single" w:sz="8" w:space="0" w:color="B7C9DE"/>
        </w:tblBorders>
      </w:tblPr>
      <w:tblGrid>
        <w:gridCol w:w="9360"/>
      </w:tblGrid>
      <w:tr>
        <w:trPr>
          <w:tblHeader w:val="true"/>
          <w:cantSplit/>
        </w:trPr>
        <w:tc>
          <w:tcPr>
            <w:tcW w:type="dxa" w:w="9360"/>
            <w:tcMar>
              <w:top w:w="80" w:type="dxa"/>
              <w:start w:w="120" w:type="dxa"/>
              <w:bottom w:w="80" w:type="dxa"/>
              <w:end w:w="120" w:type="dxa"/>
            </w:tcMar>
            <w:shd w:fill="E8EEF5"/>
            <w:vAlign w:val="center"/>
          </w:tcPr>
          <w:p>
            <w:pPr>
              <w:spacing w:after="0" w:line="283" w:lineRule="auto"/>
            </w:pPr>
            <w:r>
              <w:rPr>
                <w:rFonts w:ascii="Calibri" w:hAnsi="Calibri"/>
                <w:b/>
                <w:color w:val="1F4D78"/>
                <w:sz w:val="21"/>
              </w:rPr>
              <w:t>Gap statement: The unresolved gap is not general API-protocol checking. It is the lack of an independently evaluated, fuzz-driver-specific obligation method that propagates resource states over analyzer-consistent paths, expresses uncertainty explicitly, localizes normalized evidence, and then—behind a no-backflow verification freeze—tests deterministic repairs against compile, defect-removal, no-new-defect, reachability, and input-dependency gates.</w:t>
            </w:r>
          </w:p>
        </w:tc>
      </w:tr>
    </w:tbl>
    <w:p>
      <w:pPr>
        <w:spacing w:after="40"/>
      </w:pPr>
    </w:p>
    <w:p>
      <w:pPr>
        <w:jc w:val="both"/>
      </w:pPr>
      <w:r>
        <w:rPr>
          <w:b/>
        </w:rPr>
        <w:t xml:space="preserve">Established overlap. </w:t>
      </w:r>
      <w:r>
        <w:t>QuartetFuzz already defines API Protocol Compliance, checks initialization, parameter construction, lifecycle, return handling, cleanup, co-call constraints, and prerequisite state, audits existing harnesses, and applies a generate-check-fix process. General typestate, path-sensitive analysis, ownership analysis, and program repair also predate this project. These elements are motivation and prior art, not novelty claims.</w:t>
      </w:r>
    </w:p>
    <w:p>
      <w:pPr>
        <w:jc w:val="both"/>
      </w:pPr>
      <w:r>
        <w:rPr>
          <w:b/>
        </w:rPr>
        <w:t>Proposed differentiator. Stage A implements a dedicated resource-state engine rather than an LLM semantic checklist: return predicates and ownership events refine abstract states on analyzer-consistent CFG branches; equivalent paths are merged into normalized protocol-obligation instances; and every eligible instance receives VALID, VIOLATION-MUST, VIOLATION-MAY, or UNKNOWN with a reproducible witness. After Gate V freezes all verification artifacts, Stage B selects repair candidates deterministically from frozen evidence and screens them with explicit behavior-preservation gates.</w:t>
      </w:r>
    </w:p>
    <w:p>
      <w:pPr>
        <w:jc w:val="both"/>
      </w:pPr>
      <w:r>
        <w:rPr>
          <w:b/>
        </w:rPr>
        <w:t>Evidence requirement and falsification rule. These differences are hypotheses, not presumed superiority. Stage A uses same-driver comparison with the pinned QuartetFuzz P2 artifact, a controlled LLM reviewer, and matched ablations. Stage B is separately evaluated after Gate V. If faithful QuartetFuzz execution is impossible, no numerical superiority claim is made. If a mechanism or repair fails its preregistered comparison, the corresponding claim is withdrawn or narrowed; repair outcomes cannot alter the frozen verification claims.</w:t>
      </w:r>
    </w:p>
    <w:p>
      <w:pPr>
        <w:pStyle w:val="Heading1"/>
        <w:keepNext/>
      </w:pPr>
      <w:r>
        <w:t>3. Research Aim, Objectives, and Claim Boundary</w:t>
      </w:r>
    </w:p>
    <w:p>
      <w:pPr>
        <w:spacing w:before="0" w:after="120" w:line="300" w:lineRule="auto"/>
        <w:jc w:val="both"/>
      </w:pPr>
      <w:r>
        <w:rPr>
          <w:rFonts w:ascii="Calibri" w:hAnsi="Calibri"/>
          <w:i w:val="0"/>
          <w:color w:val="1E293B"/>
          <w:sz w:val="22"/>
        </w:rPr>
        <w:t>The aim is to design and evaluate a generator-independent, resource-centered, path-sensitive static auditor for API-protocol violations in compilable C-library fuzz drivers and then, only after the verifier and gold evidence are frozen, evaluate an evidence-guided constrained repair method for confirmed violations.</w:t>
      </w:r>
    </w:p>
    <w:p>
      <w:pPr>
        <w:spacing w:after="80" w:line="290" w:lineRule="auto"/>
        <w:ind w:left="540" w:hanging="279"/>
        <w:numPr>
          <w:ilvl w:val="0"/>
          <w:numId w:val="11"/>
        </w:numPr>
      </w:pPr>
      <w:r>
        <w:rPr>
          <w:rFonts w:ascii="Calibri" w:hAnsi="Calibri"/>
          <w:color w:val="1E293B"/>
          <w:sz w:val="22"/>
        </w:rPr>
        <w:t>Define a fuzz-driver-specific protocol-obligation representation for initialization, failure states, valid use, ordering, ownership, and cleanup.</w:t>
      </w:r>
    </w:p>
    <w:p>
      <w:pPr>
        <w:spacing w:after="80" w:line="290" w:lineRule="auto"/>
        <w:ind w:left="540" w:hanging="279"/>
        <w:numPr>
          <w:ilvl w:val="0"/>
          <w:numId w:val="11"/>
        </w:numPr>
      </w:pPr>
      <w:r>
        <w:rPr>
          <w:rFonts w:ascii="Calibri" w:hAnsi="Calibri"/>
          <w:color w:val="1E293B"/>
          <w:sz w:val="22"/>
        </w:rPr>
        <w:t>Implement a bounded Clang-based verifier that produces VALID, VIOLATION, or UNKNOWN outcomes and classifies violations as MUST or MAY.</w:t>
      </w:r>
    </w:p>
    <w:p>
      <w:pPr>
        <w:spacing w:after="80" w:line="290" w:lineRule="auto"/>
        <w:ind w:left="540" w:hanging="279"/>
        <w:numPr>
          <w:ilvl w:val="0"/>
          <w:numId w:val="11"/>
        </w:numPr>
      </w:pPr>
      <w:r>
        <w:rPr>
          <w:rFonts w:ascii="Calibri" w:hAnsi="Calibri"/>
          <w:color w:val="1E293B"/>
          <w:sz w:val="22"/>
        </w:rPr>
        <w:t>Normalize equivalent CFG paths into obligation instances and produce reproducible evidence at obligation, defect, and driver levels.</w:t>
      </w:r>
    </w:p>
    <w:p>
      <w:pPr>
        <w:spacing w:after="80" w:line="290" w:lineRule="auto"/>
        <w:ind w:left="540" w:hanging="279"/>
        <w:numPr>
          <w:ilvl w:val="0"/>
          <w:numId w:val="11"/>
        </w:numPr>
      </w:pPr>
      <w:r>
        <w:rPr>
          <w:rFonts w:ascii="Calibri" w:hAnsi="Calibri"/>
          <w:color w:val="1E293B"/>
          <w:sz w:val="22"/>
        </w:rPr>
        <w:t>After Gate V, implement the preregistered evidence-selected deterministic repair templates and enforce the same formal acceptance and relative-minimality rules for every repair condition.</w:t>
      </w:r>
    </w:p>
    <w:p>
      <w:pPr>
        <w:spacing w:after="80" w:line="290" w:lineRule="auto"/>
        <w:ind w:left="540" w:hanging="279"/>
        <w:numPr>
          <w:ilvl w:val="0"/>
          <w:numId w:val="11"/>
        </w:numPr>
      </w:pPr>
      <w:r>
        <w:rPr>
          <w:rFonts w:ascii="Calibri" w:hAnsi="Calibri"/>
          <w:color w:val="1E293B"/>
          <w:sz w:val="22"/>
        </w:rPr>
        <w:t>Evaluate natural defect prevalence, verification accuracy, path-sensitivity value, post-freeze repair effectiveness, and analysis-engine transferability under a frozen two-model, eight-library, two-stage design.</w:t>
      </w:r>
    </w:p>
    <w:p>
      <w:pPr>
        <w:pStyle w:val="Heading2"/>
        <w:keepNext/>
      </w:pPr>
      <w:r>
        <w:t>3.1 Included scope</w:t>
      </w:r>
    </w:p>
    <w:p>
      <w:pPr>
        <w:spacing w:after="80" w:line="290" w:lineRule="auto"/>
        <w:ind w:left="540" w:hanging="279"/>
        <w:numPr>
          <w:ilvl w:val="0"/>
          <w:numId w:val="10"/>
        </w:numPr>
      </w:pPr>
      <w:r>
        <w:rPr>
          <w:rFonts w:ascii="Calibri" w:hAnsi="Calibri"/>
          <w:color w:val="1E293B"/>
          <w:sz w:val="22"/>
        </w:rPr>
        <w:t>C libraries and C-compatible fuzz drivers, including `.c` or restricted `.cc` wrappers that use C-style handles and functions.</w:t>
      </w:r>
    </w:p>
    <w:p>
      <w:pPr>
        <w:spacing w:after="80" w:line="290" w:lineRule="auto"/>
        <w:ind w:left="540" w:hanging="279"/>
        <w:numPr>
          <w:ilvl w:val="0"/>
          <w:numId w:val="10"/>
        </w:numPr>
      </w:pPr>
      <w:r>
        <w:rPr>
          <w:rFonts w:ascii="Calibri" w:hAnsi="Calibri"/>
          <w:color w:val="1E293B"/>
          <w:sz w:val="22"/>
        </w:rPr>
        <w:t>Direct calls, common handle patterns, local and simple field aliases, branch-sensitive return checks, early returns, cleanup labels, and bounded loops.</w:t>
      </w:r>
    </w:p>
    <w:p>
      <w:pPr>
        <w:spacing w:after="80" w:line="290" w:lineRule="auto"/>
        <w:ind w:left="540" w:hanging="279"/>
        <w:numPr>
          <w:ilvl w:val="0"/>
          <w:numId w:val="10"/>
        </w:numPr>
      </w:pPr>
      <w:r>
        <w:rPr>
          <w:rFonts w:ascii="Calibri" w:hAnsi="Calibri"/>
          <w:color w:val="1E293B"/>
          <w:sz w:val="22"/>
        </w:rPr>
        <w:t>Protocol defects supported by explicit, provenance-controlled evidence.</w:t>
      </w:r>
    </w:p>
    <w:p>
      <w:pPr>
        <w:spacing w:after="80" w:line="290" w:lineRule="auto"/>
        <w:ind w:left="540" w:hanging="279"/>
        <w:numPr>
          <w:ilvl w:val="0"/>
          <w:numId w:val="10"/>
        </w:numPr>
      </w:pPr>
      <w:r>
        <w:rPr>
          <w:rFonts w:ascii="Calibri" w:hAnsi="Calibri"/>
          <w:color w:val="1E293B"/>
          <w:sz w:val="22"/>
        </w:rPr>
        <w:t>Intraprocedural analysis with documented summaries for simple, side-effect-bounded helper functions.</w:t>
      </w:r>
    </w:p>
    <w:p>
      <w:pPr>
        <w:pStyle w:val="Heading2"/>
        <w:keepNext/>
      </w:pPr>
      <w:r>
        <w:t>3.2 Excluded claims</w:t>
      </w:r>
    </w:p>
    <w:p>
      <w:pPr>
        <w:spacing w:after="80" w:line="290" w:lineRule="auto"/>
        <w:ind w:left="540" w:hanging="279"/>
        <w:numPr>
          <w:ilvl w:val="0"/>
          <w:numId w:val="10"/>
        </w:numPr>
      </w:pPr>
      <w:r>
        <w:rPr>
          <w:rFonts w:ascii="Calibri" w:hAnsi="Calibri"/>
          <w:color w:val="1E293B"/>
          <w:sz w:val="22"/>
        </w:rPr>
        <w:t>No claim of a new general typestate theory or a complete protocol model for arbitrary software.</w:t>
      </w:r>
    </w:p>
    <w:p>
      <w:pPr>
        <w:spacing w:after="80" w:line="290" w:lineRule="auto"/>
        <w:ind w:left="540" w:hanging="279"/>
        <w:numPr>
          <w:ilvl w:val="0"/>
          <w:numId w:val="10"/>
        </w:numPr>
      </w:pPr>
      <w:r>
        <w:rPr>
          <w:rFonts w:ascii="Calibri" w:hAnsi="Calibri"/>
          <w:color w:val="1E293B"/>
          <w:sz w:val="22"/>
        </w:rPr>
        <w:t>No claim of sound and complete C/C++ verification, general symbolic path feasibility, unrestricted pointer analysis, virtual dispatch, templates, exceptions, RAII, or concurrency.</w:t>
      </w:r>
    </w:p>
    <w:p>
      <w:pPr>
        <w:spacing w:after="80" w:line="290" w:lineRule="auto"/>
        <w:ind w:left="540" w:hanging="279"/>
        <w:numPr>
          <w:ilvl w:val="0"/>
          <w:numId w:val="10"/>
        </w:numPr>
      </w:pPr>
      <w:r>
        <w:rPr>
          <w:rFonts w:ascii="Calibri" w:hAnsi="Calibri"/>
          <w:color w:val="1E293B"/>
          <w:sz w:val="22"/>
        </w:rPr>
        <w:t>No claim that sanitizers are equivalent protocol detectors; they provide complementary runtime evidence only.</w:t>
      </w:r>
    </w:p>
    <w:p>
      <w:pPr>
        <w:spacing w:after="80" w:line="290" w:lineRule="auto"/>
        <w:ind w:left="540" w:hanging="279"/>
        <w:numPr>
          <w:ilvl w:val="0"/>
          <w:numId w:val="10"/>
        </w:numPr>
      </w:pPr>
      <w:r>
        <w:rPr>
          <w:rFonts w:ascii="Calibri" w:hAnsi="Calibri"/>
          <w:color w:val="1E293B"/>
          <w:sz w:val="22"/>
        </w:rPr>
        <w:t>No claim of specification-free cross-library generalization. RQ5 concerns transferability of the analysis engine when a new frozen library-specific specification is supplied.</w:t>
      </w:r>
    </w:p>
    <w:p>
      <w:pPr>
        <w:spacing w:after="80" w:line="290" w:lineRule="auto"/>
        <w:ind w:left="540" w:hanging="279"/>
        <w:numPr>
          <w:ilvl w:val="0"/>
          <w:numId w:val="10"/>
        </w:numPr>
      </w:pPr>
      <w:r>
        <w:rPr>
          <w:rFonts w:ascii="Calibri" w:hAnsi="Calibri"/>
          <w:color w:val="1E293B"/>
          <w:sz w:val="22"/>
        </w:rPr>
        <w:t>No claim that a returned patch is globally minimal among all correct programs; minimality is relative to the declared deterministic candidate set and lexicographic objective.</w:t>
      </w:r>
    </w:p>
    <w:p>
      <w:pPr>
        <w:pStyle w:val="Heading1"/>
        <w:keepNext/>
      </w:pPr>
      <w:r>
        <w:t>4. Core Definitions and Formal Semantics</w:t>
      </w:r>
    </w:p>
    <w:p>
      <w:pPr>
        <w:pStyle w:val="Heading2"/>
        <w:keepNext/>
      </w:pPr>
      <w:r>
        <w:t>4.1 Fuzz-driver-specific protocol obligation</w:t>
      </w:r>
    </w:p>
    <w:p>
      <w:pPr>
        <w:spacing w:before="0" w:after="120" w:line="300" w:lineRule="auto"/>
        <w:jc w:val="both"/>
      </w:pPr>
      <w:r>
        <w:rPr>
          <w:rFonts w:ascii="Calibri" w:hAnsi="Calibri"/>
          <w:i w:val="0"/>
          <w:color w:val="1E293B"/>
          <w:sz w:val="22"/>
        </w:rPr>
        <w:t>A protocol specification for a resource type is represented as P = (S, s₀, A, δ, F, Ω), where S is a finite set of abstract resource states; s₀ is the initial state; A is the set of API and branch events; δ is a return- and ownership-conditioned transition relation; F is the set of permitted exit states; and Ω is the set of protocol obligations. This is an engineering representation, not a new finite-state formalism.</w:t>
      </w:r>
    </w:p>
    <w:p>
      <w:pPr>
        <w:spacing w:before="0" w:after="120" w:line="300" w:lineRule="auto"/>
        <w:jc w:val="both"/>
      </w:pPr>
      <w:r>
        <w:rPr>
          <w:rFonts w:ascii="Calibri" w:hAnsi="Calibri"/>
          <w:i w:val="0"/>
          <w:color w:val="1E293B"/>
          <w:sz w:val="22"/>
        </w:rPr>
        <w:t>Each obligation q ∈ Ω records: resource kind; triggering event or function exit; required pre-state or exit condition; permitted transitions; return predicate; ownership effect; cleanup responsibility; defect category; severity; source evidence; specification author; creation and freeze dates; library revision; and content digests. This makes the contribution specific to fuzz-driver auditing and independently reviewable.</w:t>
      </w:r>
    </w:p>
    <w:p>
      <w:pPr>
        <w:pStyle w:val="Heading2"/>
        <w:keepNext/>
      </w:pPr>
      <w:r>
        <w:t>4.2 Evaluation unit and path normalization</w:t>
      </w:r>
    </w:p>
    <w:p>
      <w:pPr>
        <w:spacing w:before="0" w:after="120" w:line="300" w:lineRule="auto"/>
        <w:jc w:val="both"/>
      </w:pPr>
      <w:r>
        <w:rPr>
          <w:rFonts w:ascii="Calibri" w:hAnsi="Calibri"/>
          <w:i w:val="0"/>
          <w:color w:val="1E293B"/>
          <w:sz w:val="22"/>
        </w:rPr>
        <w:t>The primary unit is a normalized protocol-obligation instance O = ⟨driver, resource, rule, program point or exit, abstract context⟩. A call site may instantiate more than one obligation, and one defect may involve more than one call site. Raw CFG paths are retained as evidence only. Paths are merged when they reach the same obligation instance with the same abstract resource identity, required condition, observed state set, and relevant branch predicate class. This prevents duplicate evidence from being counted as independent samples.</w:t>
      </w:r>
    </w:p>
    <w:p>
      <w:pPr>
        <w:spacing w:before="0" w:after="120" w:line="300" w:lineRule="auto"/>
        <w:jc w:val="both"/>
      </w:pPr>
      <w:r>
        <w:rPr>
          <w:rFonts w:ascii="Calibri" w:hAnsi="Calibri"/>
          <w:i w:val="0"/>
          <w:color w:val="1E293B"/>
          <w:sz w:val="22"/>
        </w:rPr>
        <w:t>Results will be reported at three levels: (1) obligation level, the primary detector unit; (2) adjudicated defect level, after merging obligation instances that represent the same root cause; and (3) driver level, whether a driver contains at least one confirmed defect. Call-site and raw path counts remain localization descriptors, not denominators for independent statistical tests.</w:t>
      </w:r>
    </w:p>
    <w:p>
      <w:pPr>
        <w:pStyle w:val="Heading2"/>
        <w:keepNext/>
      </w:pPr>
      <w:r>
        <w:t>4.3 Three base outcomes and violation quantifiers</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088"/>
        <w:gridCol w:w="7272"/>
      </w:tblGrid>
      <w:tr>
        <w:trPr>
          <w:tblHeader w:val="true"/>
          <w:cantSplit/>
        </w:trPr>
        <w:tc>
          <w:tcPr>
            <w:tcW w:type="dxa" w:w="2088"/>
            <w:tcMar>
              <w:top w:w="80" w:type="dxa"/>
              <w:start w:w="120" w:type="dxa"/>
              <w:bottom w:w="80" w:type="dxa"/>
              <w:end w:w="120" w:type="dxa"/>
            </w:tcMar>
            <w:shd w:fill="F4F6F9"/>
            <w:vAlign w:val="center"/>
          </w:tcPr>
          <w:p>
            <w:pPr>
              <w:spacing w:after="0" w:line="240" w:lineRule="auto"/>
              <w:jc w:val="center"/>
            </w:pPr>
            <w:r>
              <w:rPr>
                <w:rFonts w:ascii="Calibri" w:hAnsi="Calibri"/>
                <w:b/>
                <w:color w:val="1F4D78"/>
                <w:sz w:val="18"/>
              </w:rPr>
              <w:t>Outcome</w:t>
            </w:r>
          </w:p>
        </w:tc>
        <w:tc>
          <w:tcPr>
            <w:tcW w:type="dxa" w:w="7272"/>
            <w:tcMar>
              <w:top w:w="80" w:type="dxa"/>
              <w:start w:w="120" w:type="dxa"/>
              <w:bottom w:w="80" w:type="dxa"/>
              <w:end w:w="120" w:type="dxa"/>
            </w:tcMar>
            <w:shd w:fill="F4F6F9"/>
            <w:vAlign w:val="center"/>
          </w:tcPr>
          <w:p>
            <w:pPr>
              <w:spacing w:after="0" w:line="240" w:lineRule="auto"/>
              <w:jc w:val="center"/>
            </w:pPr>
            <w:r>
              <w:rPr>
                <w:rFonts w:ascii="Calibri" w:hAnsi="Calibri"/>
                <w:b/>
                <w:color w:val="1F4D78"/>
                <w:sz w:val="18"/>
              </w:rPr>
              <w:t>Operational meaning</w:t>
            </w:r>
          </w:p>
        </w:tc>
      </w:tr>
      <w:tr>
        <w:trPr>
          <w:cantSplit/>
        </w:trPr>
        <w:tc>
          <w:tcPr>
            <w:tcW w:type="dxa" w:w="2088"/>
            <w:vAlign w:val="center"/>
          </w:tcPr>
          <w:p>
            <w:pPr>
              <w:spacing w:after="0" w:line="252" w:lineRule="auto"/>
              <w:jc w:val="left"/>
            </w:pPr>
            <w:r>
              <w:rPr>
                <w:rFonts w:ascii="Calibri" w:hAnsi="Calibri"/>
                <w:color w:val="1E293B"/>
                <w:sz w:val="18"/>
              </w:rPr>
              <w:t>VALID</w:t>
            </w:r>
          </w:p>
        </w:tc>
        <w:tc>
          <w:tcPr>
            <w:tcW w:type="dxa" w:w="7272"/>
            <w:vAlign w:val="center"/>
          </w:tcPr>
          <w:p>
            <w:pPr>
              <w:spacing w:after="0" w:line="252" w:lineRule="auto"/>
              <w:jc w:val="left"/>
            </w:pPr>
            <w:r>
              <w:rPr>
                <w:rFonts w:ascii="Calibri" w:hAnsi="Calibri"/>
                <w:color w:val="1E293B"/>
                <w:sz w:val="18"/>
              </w:rPr>
              <w:t>All analyzer-consistent abstract states reaching the obligation satisfy its required condition within the declared analysis bounds.</w:t>
            </w:r>
          </w:p>
        </w:tc>
      </w:tr>
      <w:tr>
        <w:trPr>
          <w:cantSplit/>
        </w:trPr>
        <w:tc>
          <w:tcPr>
            <w:tcW w:type="dxa" w:w="2088"/>
            <w:vAlign w:val="center"/>
          </w:tcPr>
          <w:p>
            <w:pPr>
              <w:spacing w:after="0" w:line="252" w:lineRule="auto"/>
              <w:jc w:val="left"/>
            </w:pPr>
            <w:r>
              <w:rPr>
                <w:rFonts w:ascii="Calibri" w:hAnsi="Calibri"/>
                <w:color w:val="1E293B"/>
                <w:sz w:val="18"/>
              </w:rPr>
              <w:t>VIOLATION—MUST</w:t>
            </w:r>
          </w:p>
        </w:tc>
        <w:tc>
          <w:tcPr>
            <w:tcW w:type="dxa" w:w="7272"/>
            <w:vAlign w:val="center"/>
          </w:tcPr>
          <w:p>
            <w:pPr>
              <w:spacing w:after="0" w:line="252" w:lineRule="auto"/>
              <w:jc w:val="left"/>
            </w:pPr>
            <w:r>
              <w:rPr>
                <w:rFonts w:ascii="Calibri" w:hAnsi="Calibri"/>
                <w:color w:val="1E293B"/>
                <w:sz w:val="18"/>
              </w:rPr>
              <w:t>Every analyzer-consistent abstract state reaching the obligation violates the required condition, or every relevant exit violates a cleanup obligation.</w:t>
            </w:r>
          </w:p>
        </w:tc>
      </w:tr>
      <w:tr>
        <w:trPr>
          <w:cantSplit/>
        </w:trPr>
        <w:tc>
          <w:tcPr>
            <w:tcW w:type="dxa" w:w="2088"/>
            <w:vAlign w:val="center"/>
          </w:tcPr>
          <w:p>
            <w:pPr>
              <w:spacing w:after="0" w:line="252" w:lineRule="auto"/>
              <w:jc w:val="left"/>
            </w:pPr>
            <w:r>
              <w:rPr>
                <w:rFonts w:ascii="Calibri" w:hAnsi="Calibri"/>
                <w:color w:val="1E293B"/>
                <w:sz w:val="18"/>
              </w:rPr>
              <w:t>VIOLATION—MAY</w:t>
            </w:r>
          </w:p>
        </w:tc>
        <w:tc>
          <w:tcPr>
            <w:tcW w:type="dxa" w:w="7272"/>
            <w:vAlign w:val="center"/>
          </w:tcPr>
          <w:p>
            <w:pPr>
              <w:spacing w:after="0" w:line="252" w:lineRule="auto"/>
              <w:jc w:val="left"/>
            </w:pPr>
            <w:r>
              <w:rPr>
                <w:rFonts w:ascii="Calibri" w:hAnsi="Calibri"/>
                <w:color w:val="1E293B"/>
                <w:sz w:val="18"/>
              </w:rPr>
              <w:t>At least one analyzer-consistent state violates the obligation and at least one does not, or bounded merging prevents a MUST conclusion while retaining a concrete abstract witness.</w:t>
            </w:r>
          </w:p>
        </w:tc>
      </w:tr>
      <w:tr>
        <w:trPr>
          <w:cantSplit/>
        </w:trPr>
        <w:tc>
          <w:tcPr>
            <w:tcW w:type="dxa" w:w="2088"/>
            <w:vAlign w:val="center"/>
          </w:tcPr>
          <w:p>
            <w:pPr>
              <w:spacing w:after="0" w:line="252" w:lineRule="auto"/>
              <w:jc w:val="left"/>
            </w:pPr>
            <w:r>
              <w:rPr>
                <w:rFonts w:ascii="Calibri" w:hAnsi="Calibri"/>
                <w:color w:val="1E293B"/>
                <w:sz w:val="18"/>
              </w:rPr>
              <w:t>UNKNOWN</w:t>
            </w:r>
          </w:p>
        </w:tc>
        <w:tc>
          <w:tcPr>
            <w:tcW w:type="dxa" w:w="7272"/>
            <w:vAlign w:val="center"/>
          </w:tcPr>
          <w:p>
            <w:pPr>
              <w:spacing w:after="0" w:line="252" w:lineRule="auto"/>
              <w:jc w:val="left"/>
            </w:pPr>
            <w:r>
              <w:rPr>
                <w:rFonts w:ascii="Calibri" w:hAnsi="Calibri"/>
                <w:color w:val="1E293B"/>
                <w:sz w:val="18"/>
              </w:rPr>
              <w:t>The analyzer cannot justify VALID or VIOLATION because of unsupported semantics, unresolved aliasing/indirect calls, state-cap exhaustion, missing evidence, or an out-of-model interaction.</w:t>
            </w:r>
          </w:p>
        </w:tc>
      </w:tr>
    </w:tbl>
    <w:p>
      <w:pPr>
        <w:spacing w:after="40"/>
      </w:pPr>
    </w:p>
    <w:p>
      <w:pPr>
        <w:spacing w:before="0" w:after="120" w:line="300" w:lineRule="auto"/>
        <w:jc w:val="both"/>
      </w:pPr>
      <w:r>
        <w:rPr>
          <w:rFonts w:ascii="Calibri" w:hAnsi="Calibri"/>
          <w:i w:val="0"/>
          <w:color w:val="1E293B"/>
          <w:sz w:val="22"/>
        </w:rPr>
        <w:t>Eligibility is recorded separately as in-scope or out-of-scope. Out-of-scope instances receive no validity verdict. The three base outcomes are VALID, VIOLATION, and UNKNOWN; VIOLATION is then quantified as MUST or MAY. UNKNOWN is a first-class abstention and is never converted to VALID. For the primary accuracy endpoint, a prediction of UNKNOWN on an eligible gold instance is scored as incorrect, while decision coverage and unknown causes are also reported separately.</w:t>
      </w:r>
    </w:p>
    <w:p>
      <w:pPr>
        <w:pStyle w:val="Heading2"/>
        <w:keepNext/>
      </w:pPr>
      <w:r>
        <w:t>4.4 Soundness and completeness boundary</w:t>
      </w:r>
    </w:p>
    <w:p>
      <w:pPr>
        <w:spacing w:before="0" w:after="120" w:line="300" w:lineRule="auto"/>
        <w:jc w:val="both"/>
      </w:pPr>
      <w:r>
        <w:rPr>
          <w:rFonts w:ascii="Calibri" w:hAnsi="Calibri"/>
          <w:i w:val="0"/>
          <w:color w:val="1E293B"/>
          <w:sz w:val="22"/>
        </w:rPr>
        <w:t>SemanticVerify-Fuzz will not make an unqualified soundness or completeness claim. Within a frozen bounded semantics, MUST and MAY describe the analyzer's abstract states, not all concrete executions of C. A VALID result means valid under the implemented model and specification. A VIOLATION means that the abstract witness satisfies the declared MUST or MAY criterion. UNKNOWN records inability to decide. Empirical precision and recall are measured against blinded human labels on in-scope obligation instances and are accompanied by decision coverage and unsupported-case rates.</w:t>
      </w:r>
    </w:p>
    <w:p>
      <w:pPr>
        <w:pStyle w:val="Heading1"/>
        <w:keepNext/>
      </w:pPr>
      <w:r>
        <w:t>5. Research Questions</w:t>
      </w:r>
    </w:p>
    <w:p>
      <w:pPr>
        <w:pStyle w:val="Heading2"/>
        <w:keepNext/>
      </w:pPr>
      <w:r>
        <w:t>RQ1 — Natural defect prevalence</w:t>
      </w:r>
    </w:p>
    <w:p>
      <w:pPr>
        <w:spacing w:before="0" w:after="120" w:line="300" w:lineRule="auto"/>
        <w:jc w:val="both"/>
      </w:pPr>
      <w:r>
        <w:rPr>
          <w:rFonts w:ascii="Calibri" w:hAnsi="Calibri"/>
          <w:i/>
          <w:color w:val="1E293B"/>
          <w:sz w:val="22"/>
        </w:rPr>
        <w:t>How frequently do API-protocol defects occur in compilable LLM-generated C-library fuzz drivers, and how are they distributed by defect category, library, and model?</w:t>
      </w:r>
    </w:p>
    <w:p>
      <w:pPr>
        <w:spacing w:before="0" w:after="120" w:line="300" w:lineRule="auto"/>
        <w:jc w:val="both"/>
      </w:pPr>
      <w:r>
        <w:rPr>
          <w:rFonts w:ascii="Calibri" w:hAnsi="Calibri"/>
          <w:b/>
          <w:color w:val="1E293B"/>
          <w:sz w:val="22"/>
        </w:rPr>
        <w:t>Primary evidence:</w:t>
      </w:r>
      <w:r>
        <w:rPr>
          <w:rFonts w:ascii="Calibri" w:hAnsi="Calibri"/>
          <w:i w:val="0"/>
          <w:color w:val="1E293B"/>
          <w:sz w:val="22"/>
        </w:rPr>
        <w:t xml:space="preserve"> Compilation rate over all attempts; defective-driver rate; defects per driver; category distributions; exact intervals.</w:t>
      </w:r>
    </w:p>
    <w:p>
      <w:pPr>
        <w:pStyle w:val="Heading2"/>
        <w:keepNext/>
      </w:pPr>
      <w:r>
        <w:t>RQ2 — Verification accuracy and uncertainty</w:t>
      </w:r>
    </w:p>
    <w:p>
      <w:pPr>
        <w:spacing w:before="0" w:after="120" w:line="300" w:lineRule="auto"/>
        <w:jc w:val="both"/>
      </w:pPr>
      <w:r>
        <w:rPr>
          <w:rFonts w:ascii="Calibri" w:hAnsi="Calibri"/>
          <w:i/>
          <w:color w:val="1E293B"/>
          <w:sz w:val="22"/>
        </w:rPr>
        <w:t>How accurately does SemanticVerify-Fuzz classify normalized protocol-obligation instances, and how often and why does it return UNKNOWN?</w:t>
      </w:r>
    </w:p>
    <w:p>
      <w:pPr>
        <w:spacing w:before="0" w:after="120" w:line="300" w:lineRule="auto"/>
        <w:jc w:val="both"/>
      </w:pPr>
      <w:r>
        <w:rPr>
          <w:rFonts w:ascii="Calibri" w:hAnsi="Calibri"/>
          <w:b/>
          <w:color w:val="1E293B"/>
          <w:sz w:val="22"/>
        </w:rPr>
        <w:t>Primary confirmatory endpoint: held-out library-macro, obligation-level F1 for VALID versus VIOLATION, with UNKNOWN scored as an incorrect prediction. The full system is paired against the path-insensitive verifier by driver-cluster bootstrap. Precision (minimum usability guard 0.80), decision coverage (minimum guard 0.75), micro-F1, MCC, MUST/MAY strata, defect/driver metrics, and unknown causes are reported as supporting evidence.</w:t>
      </w:r>
    </w:p>
    <w:p>
      <w:pPr>
        <w:pStyle w:val="Heading2"/>
        <w:keepNext/>
      </w:pPr>
      <w:r>
        <w:t>RQ3 — Value of resource-centered path sensitivity</w:t>
      </w:r>
    </w:p>
    <w:p>
      <w:pPr>
        <w:spacing w:before="0" w:after="120" w:line="300" w:lineRule="auto"/>
        <w:jc w:val="both"/>
      </w:pPr>
      <w:r>
        <w:rPr>
          <w:rFonts w:ascii="Calibri" w:hAnsi="Calibri"/>
          <w:i/>
          <w:color w:val="1E293B"/>
          <w:sz w:val="22"/>
        </w:rPr>
        <w:t>What accuracy and localization value is attributable to path-sensitive state propagation, return-value refinement, failure-path analysis, and ownership tracking?</w:t>
      </w:r>
    </w:p>
    <w:p>
      <w:pPr>
        <w:spacing w:before="0" w:after="120" w:line="300" w:lineRule="auto"/>
        <w:jc w:val="both"/>
      </w:pPr>
      <w:r>
        <w:rPr>
          <w:rFonts w:ascii="Calibri" w:hAnsi="Calibri"/>
          <w:b/>
          <w:color w:val="1E293B"/>
          <w:sz w:val="22"/>
        </w:rPr>
        <w:t>Primary evidence:</w:t>
      </w:r>
      <w:r>
        <w:rPr>
          <w:rFonts w:ascii="Calibri" w:hAnsi="Calibri"/>
          <w:i w:val="0"/>
          <w:color w:val="1E293B"/>
          <w:sz w:val="22"/>
        </w:rPr>
        <w:t xml:space="preserve"> Matched ablations; paired error analysis; incremental true detections and false alarms.</w:t>
      </w:r>
    </w:p>
    <w:p>
      <w:pPr>
        <w:pStyle w:val="Heading2"/>
        <w:keepNext/>
      </w:pPr>
      <w:r>
        <w:t>RQ4 — Constrained repair effectiveness</w:t>
      </w:r>
    </w:p>
    <w:p>
      <w:pPr>
        <w:spacing w:before="0" w:after="120" w:line="300" w:lineRule="auto"/>
        <w:jc w:val="both"/>
      </w:pPr>
      <w:r>
        <w:rPr>
          <w:rFonts w:ascii="Calibri" w:hAnsi="Calibri"/>
          <w:i/>
          <w:color w:val="1E293B"/>
          <w:sz w:val="22"/>
        </w:rPr>
        <w:t>After Gate V, can evidence-guided deterministic repair eliminate confirmed natural defects while satisfying compile, safety, target-reachability, and fuzz-input-dependency constraints?</w:t>
      </w:r>
    </w:p>
    <w:p>
      <w:pPr>
        <w:spacing w:before="0" w:after="120" w:line="300" w:lineRule="auto"/>
        <w:jc w:val="both"/>
      </w:pPr>
      <w:r>
        <w:rPr>
          <w:rFonts w:ascii="Calibri" w:hAnsi="Calibri"/>
          <w:b/>
          <w:color w:val="1E293B"/>
          <w:sz w:val="22"/>
        </w:rPr>
        <w:t>Primary evidence: Five-gate acceptance and minimality on all eligible confirmed defects, subject to a preregistered stratified cap of 40; confirmatory repair comparison requires at least 20 eligible defects, otherwise RQ4 is descriptive. Independent review, new-defect rate, behavior measures, and matched repair baselines are reported.</w:t>
      </w:r>
    </w:p>
    <w:p>
      <w:pPr>
        <w:pStyle w:val="Heading2"/>
        <w:keepNext/>
      </w:pPr>
      <w:r>
        <w:t>RQ5 — Analysis-engine transferability</w:t>
      </w:r>
    </w:p>
    <w:p>
      <w:pPr>
        <w:spacing w:before="0" w:after="120" w:line="300" w:lineRule="auto"/>
        <w:jc w:val="both"/>
      </w:pPr>
      <w:r>
        <w:rPr>
          <w:rFonts w:ascii="Calibri" w:hAnsi="Calibri"/>
          <w:i/>
          <w:color w:val="1E293B"/>
          <w:sz w:val="22"/>
        </w:rPr>
        <w:t>How well does the frozen analysis engine transfer across protocol-diverse C libraries when only new provenance-controlled library specifications are supplied?</w:t>
      </w:r>
    </w:p>
    <w:p>
      <w:pPr>
        <w:spacing w:before="0" w:after="120" w:line="300" w:lineRule="auto"/>
        <w:jc w:val="both"/>
      </w:pPr>
      <w:r>
        <w:rPr>
          <w:rFonts w:ascii="Calibri" w:hAnsi="Calibri"/>
          <w:b/>
          <w:color w:val="1E293B"/>
          <w:sz w:val="22"/>
        </w:rPr>
        <w:t>Primary evidence:</w:t>
      </w:r>
      <w:r>
        <w:rPr>
          <w:rFonts w:ascii="Calibri" w:hAnsi="Calibri"/>
          <w:i w:val="0"/>
          <w:color w:val="1E293B"/>
          <w:sz w:val="22"/>
        </w:rPr>
        <w:t xml:space="preserve"> Per-library accuracy and unknown rate; macro/micro results; specification effort; no held-out engine tuning.</w:t>
      </w:r>
    </w:p>
    <w:p>
      <w:pPr>
        <w:pStyle w:val="Heading1"/>
        <w:keepNext/>
      </w:pPr>
      <w:r>
        <w:t>6. Proposed Contributions</w:t>
      </w:r>
    </w:p>
    <w:p>
      <w:pPr>
        <w:pStyle w:val="Heading2"/>
        <w:keepNext/>
      </w:pPr>
      <w:r>
        <w:t>C1. Fuzz-driver-specific protocol-obligation representation</w:t>
      </w:r>
    </w:p>
    <w:p>
      <w:pPr>
        <w:spacing w:before="0" w:after="120" w:line="300" w:lineRule="auto"/>
        <w:jc w:val="both"/>
      </w:pPr>
      <w:r>
        <w:t>A provenance-controlled representation that makes resource identity, required and observed states, return predicate, ownership effect, cleanup responsibility, program point, evidence source, analyzer-consistent witness, and outcome explicit for C-library fuzz drivers. This is a supporting task-specific formalization and evaluation contract; finite-state protocol modelling itself is not claimed as new.</w:t>
      </w:r>
    </w:p>
    <w:p>
      <w:pPr>
        <w:pStyle w:val="Heading2"/>
        <w:keepNext/>
      </w:pPr>
      <w:r>
        <w:t>C2. Resource-centered path-sensitive protocol verification</w:t>
      </w:r>
    </w:p>
    <w:p>
      <w:pPr>
        <w:spacing w:before="0" w:after="120" w:line="300" w:lineRule="auto"/>
        <w:jc w:val="both"/>
      </w:pPr>
      <w:r>
        <w:t>The primary technical contribution: a generator-independent Clang-based algorithm that propagates return- and ownership-conditioned resource states over bounded analyzer-consistent branches, merges equivalent paths, returns VALID, VIOLATION-MUST, VIOLATION-MAY, or UNKNOWN, and produces reproducible obligation-level witnesses. Its contribution is contingent on the matched ablations and same-driver baseline evidence specified in RQ2 and RQ3.</w:t>
      </w:r>
    </w:p>
    <w:p>
      <w:pPr>
        <w:pStyle w:val="Heading2"/>
        <w:keepNext/>
      </w:pPr>
      <w:r>
        <w:t>C3. Evidence-guided constrained deterministic repair</w:t>
      </w:r>
    </w:p>
    <w:p>
      <w:pPr>
        <w:spacing w:before="0" w:after="120" w:line="300" w:lineRule="auto"/>
        <w:jc w:val="both"/>
      </w:pPr>
      <w:r>
        <w:t>A secondary, explicitly post-freeze contribution: a declared set of witness-guided transformations selected deterministically from frozen Stage A evidence and accepted only when compilation, confirmed-defect removal, no-new-defect, target-API reachability, and fuzz-input dependency conditions all hold. Repair in general is not claimed as new, and repair outputs cannot revise the verifier or its claims.</w:t>
      </w:r>
    </w:p>
    <w:p>
      <w:pPr>
        <w:pStyle w:val="Heading2"/>
        <w:keepNext/>
      </w:pPr>
      <w:r>
        <w:t>C4. Blindly annotated cross-library empirical evaluation</w:t>
      </w:r>
    </w:p>
    <w:p>
      <w:pPr>
        <w:spacing w:before="0" w:after="120" w:line="300" w:lineRule="auto"/>
        <w:jc w:val="both"/>
      </w:pPr>
      <w:r>
        <w:t>An empirical contribution: a frozen two-low-cost-model, eight-library, 800-attempt design with ten scenarios per library, complete output preservation, up to 140 blindly dual-annotated drivers, natural/mutation separation, normalized QuartetFuzz and controlled-LLM comparisons, mechanism ablations, driver-cluster statistics, and an explicit Gate V separating verification from repair.</w:t>
      </w:r>
    </w:p>
    <w:p>
      <w:pPr>
        <w:pStyle w:val="Heading1"/>
        <w:keepNext/>
      </w:pPr>
      <w:r>
        <w:t>7. Methodology</w:t>
      </w:r>
    </w:p>
    <w:p>
      <w:pPr>
        <w:keepNext/>
        <w:jc w:val="center"/>
      </w:pPr>
      <w:r>
        <w:drawing>
          <wp:inline xmlns:a="http://schemas.openxmlformats.org/drawingml/2006/main" xmlns:pic="http://schemas.openxmlformats.org/drawingml/2006/picture">
            <wp:extent cx="5897880" cy="3457990"/>
            <wp:docPr id="1" name="Picture 1" descr="Three-stage SemanticVerify-Fuzz architecture showing evidence and freeze control, resource-centered verification with VALID, VIOLATION, and UNKNOWN outcomes, constrained repair, and blind RQ1–RQ5 evaluation." title="SemanticVerify-Fuzz supervisor-aligned architecture"/>
            <wp:cNvGraphicFramePr>
              <a:graphicFrameLocks noChangeAspect="1"/>
            </wp:cNvGraphicFramePr>
            <a:graphic>
              <a:graphicData uri="http://schemas.openxmlformats.org/drawingml/2006/picture">
                <pic:pic>
                  <pic:nvPicPr>
                    <pic:cNvPr id="0" name="semanticverify_fuzz_supervisor_aligned_architecture.png"/>
                    <pic:cNvPicPr/>
                  </pic:nvPicPr>
                  <pic:blipFill>
                    <a:blip r:embed="rId11"/>
                    <a:stretch>
                      <a:fillRect/>
                    </a:stretch>
                  </pic:blipFill>
                  <pic:spPr>
                    <a:xfrm>
                      <a:off x="0" y="0"/>
                      <a:ext cx="5897880" cy="3457990"/>
                    </a:xfrm>
                    <a:prstGeom prst="rect"/>
                  </pic:spPr>
                </pic:pic>
              </a:graphicData>
            </a:graphic>
          </wp:inline>
        </w:drawing>
      </w:r>
    </w:p>
    <w:p>
      <w:pPr>
        <w:spacing w:after="160"/>
        <w:jc w:val="center"/>
      </w:pPr>
      <w:r>
        <w:rPr>
          <w:rFonts w:ascii="Calibri" w:hAnsi="Calibri"/>
          <w:i/>
          <w:color w:val="5B6573"/>
          <w:sz w:val="19"/>
        </w:rPr>
        <w:t>Figure 1. Verification-first SemanticVerify-Fuzz architecture with a no-backflow freeze before repair.</w:t>
      </w:r>
    </w:p>
    <w:p>
      <w:pPr>
        <w:pStyle w:val="Heading2"/>
        <w:keepNext/>
      </w:pPr>
      <w:r>
        <w:t>7.1 Mandatory two-stage architecture and fixed implementation</w:t>
      </w:r>
    </w:p>
    <w:p>
      <w:pPr>
        <w:spacing w:after="80" w:line="290" w:lineRule="auto"/>
        <w:ind w:left="540" w:hanging="279"/>
        <w:numPr>
          <w:ilvl w:val="0"/>
          <w:numId w:val="12"/>
        </w:numPr>
      </w:pPr>
      <w:r>
        <w:rPr>
          <w:rFonts w:ascii="Calibri" w:hAnsi="Calibri"/>
          <w:color w:val="1E293B"/>
          <w:sz w:val="22"/>
        </w:rPr>
        <w:t>Stage A—verification first. Freeze protocol evidence and generation scenarios; generate and compile the 800-attempt corpus; create blind gold labels; implement and freeze the bounded verifier; and complete baselines, ablations, held-out analysis, and RQ1–RQ3/RQ5 statistics. No repair implementation, repair prompt, or repair output may be exposed to this stage.</w:t>
      </w:r>
    </w:p>
    <w:p>
      <w:pPr>
        <w:spacing w:after="80" w:line="290" w:lineRule="auto"/>
        <w:ind w:left="540" w:hanging="279"/>
        <w:numPr>
          <w:ilvl w:val="0"/>
          <w:numId w:val="12"/>
        </w:numPr>
      </w:pPr>
      <w:r>
        <w:rPr>
          <w:rFonts w:ascii="Calibri" w:hAnsi="Calibri"/>
          <w:color w:val="1E293B"/>
          <w:sz w:val="22"/>
        </w:rPr>
        <w:t>Gate V—verification freeze. Protocol files, raw corpus, gold inventory and labels, analyzer code/configuration, UNKNOWN policy, primary metrics, baseline mappings, ablation results, and verification claims are versioned and locked. The gate is irreversible for the primary analysis; later discoveries appear only as secondary sensitivity analyses.</w:t>
      </w:r>
    </w:p>
    <w:p>
      <w:pPr>
        <w:spacing w:after="80" w:line="290" w:lineRule="auto"/>
        <w:ind w:left="540" w:hanging="279"/>
        <w:numPr>
          <w:ilvl w:val="0"/>
          <w:numId w:val="12"/>
        </w:numPr>
      </w:pPr>
      <w:r>
        <w:rPr>
          <w:rFonts w:ascii="Calibri" w:hAnsi="Calibri"/>
          <w:color w:val="1E293B"/>
          <w:sz w:val="22"/>
        </w:rPr>
        <w:t>Stage B—repair second. Only after Gate V, evaluate preregistered deterministic transformations and LLM repair baselines on eligible confirmed natural defects. Repair evidence is one-way: no patch, execution result, or reviewer decision may change Stage A artifacts or conclusions.</w:t>
      </w:r>
    </w:p>
    <w:p>
      <w:pPr>
        <w:spacing w:after="80" w:line="290" w:lineRule="auto"/>
        <w:ind w:left="540" w:hanging="279"/>
        <w:numPr>
          <w:ilvl w:val="0"/>
          <w:numId w:val="12"/>
        </w:numPr>
      </w:pPr>
      <w:r>
        <w:rPr>
          <w:rFonts w:ascii="Calibri" w:hAnsi="Calibri"/>
          <w:color w:val="1E293B"/>
          <w:sz w:val="22"/>
        </w:rPr>
        <w:t>Fixed implementation. Clang LibTooling resolves source locations, direct calls, declarations, types, and expressions [21]; Clang CFG supplies intraprocedural blocks, branches, returns, and cleanup flow [22]; a custom extractor binds protocol events to resources, return variables, predicates, and ownership; and a bounded data-flow engine propagates abstract resource states, refines conditions, merges equivalent states, and records witness predecessors.</w:t>
      </w:r>
    </w:p>
    <w:p>
      <w:pPr>
        <w:spacing w:after="80" w:line="290" w:lineRule="auto"/>
        <w:ind w:left="540" w:hanging="279"/>
        <w:numPr>
          <w:ilvl w:val="0"/>
          <w:numId w:val="12"/>
        </w:numPr>
      </w:pPr>
      <w:r>
        <w:rPr>
          <w:rFonts w:ascii="Calibri" w:hAnsi="Calibri"/>
          <w:color w:val="1E293B"/>
          <w:sz w:val="22"/>
        </w:rPr>
        <w:t>The verdict layer instantiates normalized obligations and emits VALID, VIOLATION—MUST, VIOLATION—MAY, or UNKNOWN with limitation codes. Its output and mapping code are frozen at Gate V.</w:t>
      </w:r>
    </w:p>
    <w:p>
      <w:pPr>
        <w:spacing w:after="80" w:line="290" w:lineRule="auto"/>
        <w:ind w:left="540" w:hanging="279"/>
        <w:numPr>
          <w:ilvl w:val="0"/>
          <w:numId w:val="12"/>
        </w:numPr>
      </w:pPr>
      <w:r>
        <w:rPr>
          <w:rFonts w:ascii="Calibri" w:hAnsi="Calibri"/>
          <w:color w:val="1E293B"/>
          <w:sz w:val="22"/>
        </w:rPr>
        <w:t>The post-freeze repair layer selects only preregistered deterministic templates from frozen violation evidence and sends each candidate through the five mandatory acceptance gates.</w:t>
      </w:r>
    </w:p>
    <w:p>
      <w:pPr>
        <w:spacing w:before="0" w:after="120" w:line="300" w:lineRule="auto"/>
        <w:jc w:val="both"/>
      </w:pPr>
      <w:r>
        <w:rPr>
          <w:rFonts w:ascii="Calibri" w:hAnsi="Calibri"/>
          <w:i w:val="0"/>
          <w:color w:val="1E293B"/>
          <w:sz w:val="22"/>
        </w:rPr>
        <w:t>Alias handling is intentionally bounded to direct variables, assignments, address-taking, simple pointer copies, and selected field paths. Helper functions receive explicit summaries only when their relevant effects can be reviewed. Loops use a finite state-set fixpoint with widening/subsumption and a configuration cap frozen after zlib development. State-cap exhaustion, unresolved function pointers, unsupported side effects, and other unmodelled behavior yield UNKNOWN. SVF may later be evaluated as an optional extension for value-flow or points-to information, but it is not a dependency of the first implementation and cannot be introduced during held-out testing.</w:t>
      </w:r>
    </w:p>
    <w:p>
      <w:pPr>
        <w:pStyle w:val="Heading2"/>
        <w:keepNext/>
      </w:pPr>
      <w:r>
        <w:t>7.2 Defect taxonomy</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080"/>
        <w:gridCol w:w="8280"/>
      </w:tblGrid>
      <w:tr>
        <w:trPr>
          <w:tblHeader w:val="true"/>
          <w:cantSplit/>
        </w:trPr>
        <w:tc>
          <w:tcPr>
            <w:tcW w:type="dxa" w:w="1080"/>
            <w:tcMar>
              <w:top w:w="80" w:type="dxa"/>
              <w:start w:w="120" w:type="dxa"/>
              <w:bottom w:w="80" w:type="dxa"/>
              <w:end w:w="120" w:type="dxa"/>
            </w:tcMar>
            <w:shd w:fill="F4F6F9"/>
            <w:vAlign w:val="center"/>
          </w:tcPr>
          <w:p>
            <w:pPr>
              <w:spacing w:after="0" w:line="240" w:lineRule="auto"/>
              <w:jc w:val="center"/>
            </w:pPr>
            <w:r>
              <w:rPr>
                <w:rFonts w:ascii="Calibri" w:hAnsi="Calibri"/>
                <w:b/>
                <w:color w:val="1F4D78"/>
                <w:sz w:val="18"/>
              </w:rPr>
              <w:t>Code</w:t>
            </w:r>
          </w:p>
        </w:tc>
        <w:tc>
          <w:tcPr>
            <w:tcW w:type="dxa" w:w="8280"/>
            <w:tcMar>
              <w:top w:w="80" w:type="dxa"/>
              <w:start w:w="120" w:type="dxa"/>
              <w:bottom w:w="80" w:type="dxa"/>
              <w:end w:w="120" w:type="dxa"/>
            </w:tcMar>
            <w:shd w:fill="F4F6F9"/>
            <w:vAlign w:val="center"/>
          </w:tcPr>
          <w:p>
            <w:pPr>
              <w:spacing w:after="0" w:line="240" w:lineRule="auto"/>
              <w:jc w:val="center"/>
            </w:pPr>
            <w:r>
              <w:rPr>
                <w:rFonts w:ascii="Calibri" w:hAnsi="Calibri"/>
                <w:b/>
                <w:color w:val="1F4D78"/>
                <w:sz w:val="18"/>
              </w:rPr>
              <w:t>Protocol-defect definition</w:t>
            </w:r>
          </w:p>
        </w:tc>
      </w:tr>
      <w:tr>
        <w:trPr>
          <w:cantSplit/>
        </w:trPr>
        <w:tc>
          <w:tcPr>
            <w:tcW w:type="dxa" w:w="1080"/>
            <w:vAlign w:val="center"/>
          </w:tcPr>
          <w:p>
            <w:pPr>
              <w:spacing w:after="0" w:line="252" w:lineRule="auto"/>
              <w:jc w:val="center"/>
            </w:pPr>
            <w:r>
              <w:rPr>
                <w:rFonts w:ascii="Calibri" w:hAnsi="Calibri"/>
                <w:color w:val="1E293B"/>
                <w:sz w:val="18"/>
              </w:rPr>
              <w:t>D1</w:t>
            </w:r>
          </w:p>
        </w:tc>
        <w:tc>
          <w:tcPr>
            <w:tcW w:type="dxa" w:w="8280"/>
            <w:vAlign w:val="center"/>
          </w:tcPr>
          <w:p>
            <w:pPr>
              <w:spacing w:after="0" w:line="252" w:lineRule="auto"/>
              <w:jc w:val="left"/>
            </w:pPr>
            <w:r>
              <w:rPr>
                <w:rFonts w:ascii="Calibri" w:hAnsi="Calibri"/>
                <w:color w:val="1E293B"/>
                <w:sz w:val="18"/>
              </w:rPr>
              <w:t>Use before successful initialization</w:t>
            </w:r>
          </w:p>
        </w:tc>
      </w:tr>
      <w:tr>
        <w:trPr>
          <w:cantSplit/>
        </w:trPr>
        <w:tc>
          <w:tcPr>
            <w:tcW w:type="dxa" w:w="1080"/>
            <w:vAlign w:val="center"/>
          </w:tcPr>
          <w:p>
            <w:pPr>
              <w:spacing w:after="0" w:line="252" w:lineRule="auto"/>
              <w:jc w:val="center"/>
            </w:pPr>
            <w:r>
              <w:rPr>
                <w:rFonts w:ascii="Calibri" w:hAnsi="Calibri"/>
                <w:color w:val="1E293B"/>
                <w:sz w:val="18"/>
              </w:rPr>
              <w:t>D2</w:t>
            </w:r>
          </w:p>
        </w:tc>
        <w:tc>
          <w:tcPr>
            <w:tcW w:type="dxa" w:w="8280"/>
            <w:vAlign w:val="center"/>
          </w:tcPr>
          <w:p>
            <w:pPr>
              <w:spacing w:after="0" w:line="252" w:lineRule="auto"/>
              <w:jc w:val="left"/>
            </w:pPr>
            <w:r>
              <w:rPr>
                <w:rFonts w:ascii="Calibri" w:hAnsi="Calibri"/>
                <w:color w:val="1E293B"/>
                <w:sz w:val="18"/>
              </w:rPr>
              <w:t>Use after failed initialization or activation</w:t>
            </w:r>
          </w:p>
        </w:tc>
      </w:tr>
      <w:tr>
        <w:trPr>
          <w:cantSplit/>
        </w:trPr>
        <w:tc>
          <w:tcPr>
            <w:tcW w:type="dxa" w:w="1080"/>
            <w:vAlign w:val="center"/>
          </w:tcPr>
          <w:p>
            <w:pPr>
              <w:spacing w:after="0" w:line="252" w:lineRule="auto"/>
              <w:jc w:val="center"/>
            </w:pPr>
            <w:r>
              <w:rPr>
                <w:rFonts w:ascii="Calibri" w:hAnsi="Calibri"/>
                <w:color w:val="1E293B"/>
                <w:sz w:val="18"/>
              </w:rPr>
              <w:t>D3</w:t>
            </w:r>
          </w:p>
        </w:tc>
        <w:tc>
          <w:tcPr>
            <w:tcW w:type="dxa" w:w="8280"/>
            <w:vAlign w:val="center"/>
          </w:tcPr>
          <w:p>
            <w:pPr>
              <w:spacing w:after="0" w:line="252" w:lineRule="auto"/>
              <w:jc w:val="left"/>
            </w:pPr>
            <w:r>
              <w:rPr>
                <w:rFonts w:ascii="Calibri" w:hAnsi="Calibri"/>
                <w:color w:val="1E293B"/>
                <w:sz w:val="18"/>
              </w:rPr>
              <w:t>Use after close, destroy, end, or release</w:t>
            </w:r>
          </w:p>
        </w:tc>
      </w:tr>
      <w:tr>
        <w:trPr>
          <w:cantSplit/>
        </w:trPr>
        <w:tc>
          <w:tcPr>
            <w:tcW w:type="dxa" w:w="1080"/>
            <w:vAlign w:val="center"/>
          </w:tcPr>
          <w:p>
            <w:pPr>
              <w:spacing w:after="0" w:line="252" w:lineRule="auto"/>
              <w:jc w:val="center"/>
            </w:pPr>
            <w:r>
              <w:rPr>
                <w:rFonts w:ascii="Calibri" w:hAnsi="Calibri"/>
                <w:color w:val="1E293B"/>
                <w:sz w:val="18"/>
              </w:rPr>
              <w:t>D4</w:t>
            </w:r>
          </w:p>
        </w:tc>
        <w:tc>
          <w:tcPr>
            <w:tcW w:type="dxa" w:w="8280"/>
            <w:vAlign w:val="center"/>
          </w:tcPr>
          <w:p>
            <w:pPr>
              <w:spacing w:after="0" w:line="252" w:lineRule="auto"/>
              <w:jc w:val="left"/>
            </w:pPr>
            <w:r>
              <w:rPr>
                <w:rFonts w:ascii="Calibri" w:hAnsi="Calibri"/>
                <w:color w:val="1E293B"/>
                <w:sz w:val="18"/>
              </w:rPr>
              <w:t>Double close, destroy, end, or release</w:t>
            </w:r>
          </w:p>
        </w:tc>
      </w:tr>
      <w:tr>
        <w:trPr>
          <w:cantSplit/>
        </w:trPr>
        <w:tc>
          <w:tcPr>
            <w:tcW w:type="dxa" w:w="1080"/>
            <w:vAlign w:val="center"/>
          </w:tcPr>
          <w:p>
            <w:pPr>
              <w:spacing w:after="0" w:line="252" w:lineRule="auto"/>
              <w:jc w:val="center"/>
            </w:pPr>
            <w:r>
              <w:rPr>
                <w:rFonts w:ascii="Calibri" w:hAnsi="Calibri"/>
                <w:color w:val="1E293B"/>
                <w:sz w:val="18"/>
              </w:rPr>
              <w:t>D5</w:t>
            </w:r>
          </w:p>
        </w:tc>
        <w:tc>
          <w:tcPr>
            <w:tcW w:type="dxa" w:w="8280"/>
            <w:vAlign w:val="center"/>
          </w:tcPr>
          <w:p>
            <w:pPr>
              <w:spacing w:after="0" w:line="252" w:lineRule="auto"/>
              <w:jc w:val="left"/>
            </w:pPr>
            <w:r>
              <w:rPr>
                <w:rFonts w:ascii="Calibri" w:hAnsi="Calibri"/>
                <w:color w:val="1E293B"/>
                <w:sz w:val="18"/>
              </w:rPr>
              <w:t>Missing cleanup on a success or failure exit</w:t>
            </w:r>
          </w:p>
        </w:tc>
      </w:tr>
      <w:tr>
        <w:trPr>
          <w:cantSplit/>
        </w:trPr>
        <w:tc>
          <w:tcPr>
            <w:tcW w:type="dxa" w:w="1080"/>
            <w:vAlign w:val="center"/>
          </w:tcPr>
          <w:p>
            <w:pPr>
              <w:spacing w:after="0" w:line="252" w:lineRule="auto"/>
              <w:jc w:val="center"/>
            </w:pPr>
            <w:r>
              <w:rPr>
                <w:rFonts w:ascii="Calibri" w:hAnsi="Calibri"/>
                <w:color w:val="1E293B"/>
                <w:sz w:val="18"/>
              </w:rPr>
              <w:t>D6</w:t>
            </w:r>
          </w:p>
        </w:tc>
        <w:tc>
          <w:tcPr>
            <w:tcW w:type="dxa" w:w="8280"/>
            <w:vAlign w:val="center"/>
          </w:tcPr>
          <w:p>
            <w:pPr>
              <w:spacing w:after="0" w:line="252" w:lineRule="auto"/>
              <w:jc w:val="left"/>
            </w:pPr>
            <w:r>
              <w:rPr>
                <w:rFonts w:ascii="Calibri" w:hAnsi="Calibri"/>
                <w:color w:val="1E293B"/>
                <w:sz w:val="18"/>
              </w:rPr>
              <w:t>Invalid API call ordering or missing prerequisite call</w:t>
            </w:r>
          </w:p>
        </w:tc>
      </w:tr>
      <w:tr>
        <w:trPr>
          <w:cantSplit/>
        </w:trPr>
        <w:tc>
          <w:tcPr>
            <w:tcW w:type="dxa" w:w="1080"/>
            <w:vAlign w:val="center"/>
          </w:tcPr>
          <w:p>
            <w:pPr>
              <w:spacing w:after="0" w:line="252" w:lineRule="auto"/>
              <w:jc w:val="center"/>
            </w:pPr>
            <w:r>
              <w:rPr>
                <w:rFonts w:ascii="Calibri" w:hAnsi="Calibri"/>
                <w:color w:val="1E293B"/>
                <w:sz w:val="18"/>
              </w:rPr>
              <w:t>D7</w:t>
            </w:r>
          </w:p>
        </w:tc>
        <w:tc>
          <w:tcPr>
            <w:tcW w:type="dxa" w:w="8280"/>
            <w:vAlign w:val="center"/>
          </w:tcPr>
          <w:p>
            <w:pPr>
              <w:spacing w:after="0" w:line="252" w:lineRule="auto"/>
              <w:jc w:val="left"/>
            </w:pPr>
            <w:r>
              <w:rPr>
                <w:rFonts w:ascii="Calibri" w:hAnsi="Calibri"/>
                <w:color w:val="1E293B"/>
                <w:sz w:val="18"/>
              </w:rPr>
              <w:t>Ownership misuse: freeing borrowed data, failing transferred ownership, or wrong owner</w:t>
            </w:r>
          </w:p>
        </w:tc>
      </w:tr>
      <w:tr>
        <w:trPr>
          <w:cantSplit/>
        </w:trPr>
        <w:tc>
          <w:tcPr>
            <w:tcW w:type="dxa" w:w="1080"/>
            <w:vAlign w:val="center"/>
          </w:tcPr>
          <w:p>
            <w:pPr>
              <w:spacing w:after="0" w:line="252" w:lineRule="auto"/>
              <w:jc w:val="center"/>
            </w:pPr>
            <w:r>
              <w:rPr>
                <w:rFonts w:ascii="Calibri" w:hAnsi="Calibri"/>
                <w:color w:val="1E293B"/>
                <w:sz w:val="18"/>
              </w:rPr>
              <w:t>D8</w:t>
            </w:r>
          </w:p>
        </w:tc>
        <w:tc>
          <w:tcPr>
            <w:tcW w:type="dxa" w:w="8280"/>
            <w:vAlign w:val="center"/>
          </w:tcPr>
          <w:p>
            <w:pPr>
              <w:spacing w:after="0" w:line="252" w:lineRule="auto"/>
              <w:jc w:val="left"/>
            </w:pPr>
            <w:r>
              <w:rPr>
                <w:rFonts w:ascii="Calibri" w:hAnsi="Calibri"/>
                <w:color w:val="1E293B"/>
                <w:sz w:val="18"/>
              </w:rPr>
              <w:t>Conditionally invalid cleanup or cleanup under the wrong state/return condition</w:t>
            </w:r>
          </w:p>
        </w:tc>
      </w:tr>
    </w:tbl>
    <w:p>
      <w:pPr>
        <w:spacing w:after="40"/>
      </w:pPr>
    </w:p>
    <w:p>
      <w:pPr>
        <w:spacing w:before="0" w:after="120" w:line="300" w:lineRule="auto"/>
        <w:jc w:val="both"/>
      </w:pPr>
      <w:r>
        <w:rPr>
          <w:rFonts w:ascii="Calibri" w:hAnsi="Calibri"/>
          <w:i w:val="0"/>
          <w:color w:val="1E293B"/>
          <w:sz w:val="22"/>
        </w:rPr>
        <w:t>Buffer overflows, arbitrary semantic mistakes, security-boundary violations, entry-point adequacy, and general vulnerability detection are excluded unless the observed problem is directly entailed by one of the frozen protocol obligations.</w:t>
      </w:r>
    </w:p>
    <w:p>
      <w:pPr>
        <w:pStyle w:val="Heading2"/>
        <w:keepNext/>
      </w:pPr>
      <w:r>
        <w:t>7.3 Protocol-specification creation and leakage control</w:t>
      </w:r>
    </w:p>
    <w:p>
      <w:pPr>
        <w:spacing w:before="0" w:after="120" w:line="300" w:lineRule="auto"/>
        <w:jc w:val="both"/>
      </w:pPr>
      <w:r>
        <w:rPr>
          <w:rFonts w:ascii="Calibri" w:hAnsi="Calibri"/>
          <w:i w:val="0"/>
          <w:color w:val="1E293B"/>
          <w:sz w:val="22"/>
        </w:rPr>
        <w:t>Each library is pinned to an exact source revision. Specification authors may use only an approved evidence set: official API documentation, public headers, the pinned implementation source, pinned upstream tests, and explicitly logged accepted usage examples. Every evidence item receives a path or URL, retrieval date, quoted or paraphrased rationale, and content digest. Each rule records its author, reviewer, creation date, revision, and freeze date.</w:t>
      </w:r>
    </w:p>
    <w:p>
      <w:pPr>
        <w:spacing w:after="80" w:line="290" w:lineRule="auto"/>
        <w:ind w:left="540" w:hanging="279"/>
        <w:numPr>
          <w:ilvl w:val="0"/>
          <w:numId w:val="10"/>
        </w:numPr>
      </w:pPr>
      <w:r>
        <w:rPr>
          <w:rFonts w:ascii="Calibri" w:hAnsi="Calibri"/>
          <w:color w:val="1E293B"/>
          <w:sz w:val="22"/>
        </w:rPr>
        <w:t>Allowed: pinned official documentation, headers, source, tests, and predeclared upstream examples.</w:t>
      </w:r>
    </w:p>
    <w:p>
      <w:pPr>
        <w:spacing w:after="80" w:line="290" w:lineRule="auto"/>
        <w:ind w:left="540" w:hanging="279"/>
        <w:numPr>
          <w:ilvl w:val="0"/>
          <w:numId w:val="10"/>
        </w:numPr>
      </w:pPr>
      <w:r>
        <w:rPr>
          <w:rFonts w:ascii="Calibri" w:hAnsi="Calibri"/>
          <w:color w:val="1E293B"/>
          <w:sz w:val="22"/>
        </w:rPr>
        <w:t>Prohibited before specification freeze: generated experimental drivers, manual gold labels, analyzer output, repair output, defect-triggering mutations, and post hoc issue searches prompted by observed failures.</w:t>
      </w:r>
    </w:p>
    <w:p>
      <w:pPr>
        <w:spacing w:after="80" w:line="290" w:lineRule="auto"/>
        <w:ind w:left="540" w:hanging="279"/>
        <w:numPr>
          <w:ilvl w:val="0"/>
          <w:numId w:val="10"/>
        </w:numPr>
      </w:pPr>
      <w:r>
        <w:rPr>
          <w:rFonts w:ascii="Calibri" w:hAnsi="Calibri"/>
          <w:color w:val="1E293B"/>
          <w:sz w:val="22"/>
        </w:rPr>
        <w:t>Held-out protocol files are frozen before the corresponding generated drivers are opened or annotated.</w:t>
      </w:r>
    </w:p>
    <w:p>
      <w:pPr>
        <w:spacing w:after="80" w:line="290" w:lineRule="auto"/>
        <w:ind w:left="540" w:hanging="279"/>
        <w:numPr>
          <w:ilvl w:val="0"/>
          <w:numId w:val="10"/>
        </w:numPr>
      </w:pPr>
      <w:r>
        <w:rPr>
          <w:rFonts w:ascii="Calibri" w:hAnsi="Calibri"/>
          <w:color w:val="1E293B"/>
          <w:sz w:val="22"/>
        </w:rPr>
        <w:t>A second reviewer checks evidence completeness, transition consistency, ownership effects, terminal states, and unsupported conditions before freeze.</w:t>
      </w:r>
    </w:p>
    <w:p>
      <w:pPr>
        <w:spacing w:after="80" w:line="290" w:lineRule="auto"/>
        <w:ind w:left="540" w:hanging="279"/>
        <w:numPr>
          <w:ilvl w:val="0"/>
          <w:numId w:val="10"/>
        </w:numPr>
      </w:pPr>
      <w:r>
        <w:rPr>
          <w:rFonts w:ascii="Calibri" w:hAnsi="Calibri"/>
          <w:color w:val="1E293B"/>
          <w:sz w:val="22"/>
        </w:rPr>
        <w:t>Specification defects and analyzer defects are coded separately. If a wrong or incomplete specification causes an error, the result is attributed to specification error and the original held-out result remains frozen; corrected results are secondary sensitivity analysis only.</w:t>
      </w:r>
    </w:p>
    <w:p>
      <w:pPr>
        <w:pStyle w:val="Heading2"/>
        <w:keepNext/>
      </w:pPr>
      <w:r>
        <w:t>7.4 Frozen libraries and development–validation–held-out roles</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080"/>
        <w:gridCol w:w="1584"/>
        <w:gridCol w:w="3528"/>
        <w:gridCol w:w="3168"/>
      </w:tblGrid>
      <w:tr>
        <w:trPr>
          <w:tblHeader w:val="true"/>
          <w:cantSplit/>
        </w:trPr>
        <w:tc>
          <w:tcPr>
            <w:tcW w:type="dxa" w:w="1080"/>
            <w:tcMar>
              <w:top w:w="80" w:type="dxa"/>
              <w:start w:w="120" w:type="dxa"/>
              <w:bottom w:w="80" w:type="dxa"/>
              <w:end w:w="120" w:type="dxa"/>
            </w:tcMar>
            <w:shd w:fill="F4F6F9"/>
            <w:vAlign w:val="center"/>
          </w:tcPr>
          <w:p>
            <w:pPr>
              <w:spacing w:after="0" w:line="240" w:lineRule="auto"/>
              <w:jc w:val="center"/>
            </w:pPr>
            <w:r>
              <w:rPr>
                <w:rFonts w:ascii="Calibri" w:hAnsi="Calibri"/>
                <w:b/>
                <w:color w:val="1F4D78"/>
                <w:sz w:val="16"/>
              </w:rPr>
              <w:t>Library</w:t>
            </w:r>
          </w:p>
        </w:tc>
        <w:tc>
          <w:tcPr>
            <w:tcW w:type="dxa" w:w="1584"/>
            <w:tcMar>
              <w:top w:w="80" w:type="dxa"/>
              <w:start w:w="120" w:type="dxa"/>
              <w:bottom w:w="80" w:type="dxa"/>
              <w:end w:w="120" w:type="dxa"/>
            </w:tcMar>
            <w:shd w:fill="F4F6F9"/>
            <w:vAlign w:val="center"/>
          </w:tcPr>
          <w:p>
            <w:pPr>
              <w:spacing w:after="0" w:line="240" w:lineRule="auto"/>
              <w:jc w:val="center"/>
            </w:pPr>
            <w:r>
              <w:rPr>
                <w:rFonts w:ascii="Calibri" w:hAnsi="Calibri"/>
                <w:b/>
                <w:color w:val="1F4D78"/>
                <w:sz w:val="16"/>
              </w:rPr>
              <w:t>Role</w:t>
            </w:r>
          </w:p>
        </w:tc>
        <w:tc>
          <w:tcPr>
            <w:tcW w:type="dxa" w:w="3528"/>
            <w:tcMar>
              <w:top w:w="80" w:type="dxa"/>
              <w:start w:w="120" w:type="dxa"/>
              <w:bottom w:w="80" w:type="dxa"/>
              <w:end w:w="120" w:type="dxa"/>
            </w:tcMar>
            <w:shd w:fill="F4F6F9"/>
            <w:vAlign w:val="center"/>
          </w:tcPr>
          <w:p>
            <w:pPr>
              <w:spacing w:after="0" w:line="240" w:lineRule="auto"/>
              <w:jc w:val="center"/>
            </w:pPr>
            <w:r>
              <w:rPr>
                <w:rFonts w:ascii="Calibri" w:hAnsi="Calibri"/>
                <w:b/>
                <w:color w:val="1F4D78"/>
                <w:sz w:val="16"/>
              </w:rPr>
              <w:t>Protocol coverage</w:t>
            </w:r>
          </w:p>
        </w:tc>
        <w:tc>
          <w:tcPr>
            <w:tcW w:type="dxa" w:w="3168"/>
            <w:tcMar>
              <w:top w:w="80" w:type="dxa"/>
              <w:start w:w="120" w:type="dxa"/>
              <w:bottom w:w="80" w:type="dxa"/>
              <w:end w:w="120" w:type="dxa"/>
            </w:tcMar>
            <w:shd w:fill="F4F6F9"/>
            <w:vAlign w:val="center"/>
          </w:tcPr>
          <w:p>
            <w:pPr>
              <w:spacing w:after="0" w:line="240" w:lineRule="auto"/>
              <w:jc w:val="center"/>
            </w:pPr>
            <w:r>
              <w:rPr>
                <w:rFonts w:ascii="Calibri" w:hAnsi="Calibri"/>
                <w:b/>
                <w:color w:val="1F4D78"/>
                <w:sz w:val="16"/>
              </w:rPr>
              <w:t>Use rule</w:t>
            </w:r>
          </w:p>
        </w:tc>
      </w:tr>
      <w:tr>
        <w:trPr>
          <w:cantSplit/>
        </w:trPr>
        <w:tc>
          <w:tcPr>
            <w:tcW w:type="dxa" w:w="1080"/>
            <w:vAlign w:val="center"/>
          </w:tcPr>
          <w:p>
            <w:pPr>
              <w:spacing w:after="0" w:line="252" w:lineRule="auto"/>
              <w:jc w:val="left"/>
            </w:pPr>
            <w:r>
              <w:rPr>
                <w:rFonts w:ascii="Calibri" w:hAnsi="Calibri"/>
                <w:color w:val="1E293B"/>
                <w:sz w:val="16"/>
              </w:rPr>
              <w:t>zlib</w:t>
            </w:r>
          </w:p>
        </w:tc>
        <w:tc>
          <w:tcPr>
            <w:tcW w:type="dxa" w:w="1584"/>
            <w:vAlign w:val="center"/>
          </w:tcPr>
          <w:p>
            <w:pPr>
              <w:spacing w:after="0" w:line="252" w:lineRule="auto"/>
              <w:jc w:val="left"/>
            </w:pPr>
            <w:r>
              <w:rPr>
                <w:rFonts w:ascii="Calibri" w:hAnsi="Calibri"/>
                <w:color w:val="1E293B"/>
                <w:sz w:val="16"/>
              </w:rPr>
              <w:t>Development</w:t>
            </w:r>
          </w:p>
        </w:tc>
        <w:tc>
          <w:tcPr>
            <w:tcW w:type="dxa" w:w="3528"/>
            <w:vAlign w:val="center"/>
          </w:tcPr>
          <w:p>
            <w:pPr>
              <w:spacing w:after="0" w:line="252" w:lineRule="auto"/>
              <w:jc w:val="left"/>
            </w:pPr>
            <w:r>
              <w:rPr>
                <w:rFonts w:ascii="Calibri" w:hAnsi="Calibri"/>
                <w:color w:val="1E293B"/>
                <w:sz w:val="16"/>
              </w:rPr>
              <w:t>Stream initialization, return states, reset/end cleanup</w:t>
            </w:r>
          </w:p>
        </w:tc>
        <w:tc>
          <w:tcPr>
            <w:tcW w:type="dxa" w:w="3168"/>
            <w:vAlign w:val="center"/>
          </w:tcPr>
          <w:p>
            <w:pPr>
              <w:spacing w:after="0" w:line="252" w:lineRule="auto"/>
              <w:jc w:val="left"/>
            </w:pPr>
            <w:r>
              <w:rPr>
                <w:rFonts w:ascii="Calibri" w:hAnsi="Calibri"/>
                <w:color w:val="1E293B"/>
                <w:sz w:val="16"/>
              </w:rPr>
              <w:t>Used for rule/schema/engine development; excluded from primary confirmatory accuracy.</w:t>
            </w:r>
          </w:p>
        </w:tc>
      </w:tr>
      <w:tr>
        <w:trPr>
          <w:cantSplit/>
        </w:trPr>
        <w:tc>
          <w:tcPr>
            <w:tcW w:type="dxa" w:w="1080"/>
            <w:vAlign w:val="center"/>
          </w:tcPr>
          <w:p>
            <w:pPr>
              <w:spacing w:after="0" w:line="252" w:lineRule="auto"/>
              <w:jc w:val="left"/>
            </w:pPr>
            <w:r>
              <w:rPr>
                <w:rFonts w:ascii="Calibri" w:hAnsi="Calibri"/>
                <w:color w:val="1E293B"/>
                <w:sz w:val="16"/>
              </w:rPr>
              <w:t>libpcap</w:t>
            </w:r>
          </w:p>
        </w:tc>
        <w:tc>
          <w:tcPr>
            <w:tcW w:type="dxa" w:w="1584"/>
            <w:vAlign w:val="center"/>
          </w:tcPr>
          <w:p>
            <w:pPr>
              <w:spacing w:after="0" w:line="252" w:lineRule="auto"/>
              <w:jc w:val="left"/>
            </w:pPr>
            <w:r>
              <w:rPr>
                <w:rFonts w:ascii="Calibri" w:hAnsi="Calibri"/>
                <w:color w:val="1E293B"/>
                <w:sz w:val="16"/>
              </w:rPr>
              <w:t>Validation</w:t>
            </w:r>
          </w:p>
        </w:tc>
        <w:tc>
          <w:tcPr>
            <w:tcW w:type="dxa" w:w="3528"/>
            <w:vAlign w:val="center"/>
          </w:tcPr>
          <w:p>
            <w:pPr>
              <w:spacing w:after="0" w:line="252" w:lineRule="auto"/>
              <w:jc w:val="left"/>
            </w:pPr>
            <w:r>
              <w:rPr>
                <w:rFonts w:ascii="Calibri" w:hAnsi="Calibri"/>
                <w:color w:val="1E293B"/>
                <w:sz w:val="16"/>
              </w:rPr>
              <w:t>Create–configure–activate–capture–close lifecycle</w:t>
            </w:r>
          </w:p>
        </w:tc>
        <w:tc>
          <w:tcPr>
            <w:tcW w:type="dxa" w:w="3168"/>
            <w:vAlign w:val="center"/>
          </w:tcPr>
          <w:p>
            <w:pPr>
              <w:spacing w:after="0" w:line="252" w:lineRule="auto"/>
              <w:jc w:val="left"/>
            </w:pPr>
            <w:r>
              <w:rPr>
                <w:rFonts w:ascii="Calibri" w:hAnsi="Calibri"/>
                <w:color w:val="1E293B"/>
                <w:sz w:val="16"/>
              </w:rPr>
              <w:t>Used to validate frozen candidate settings and authorize one documented final freeze.</w:t>
            </w:r>
          </w:p>
        </w:tc>
      </w:tr>
      <w:tr>
        <w:trPr>
          <w:cantSplit/>
        </w:trPr>
        <w:tc>
          <w:tcPr>
            <w:tcW w:type="dxa" w:w="1080"/>
            <w:vAlign w:val="center"/>
          </w:tcPr>
          <w:p>
            <w:pPr>
              <w:spacing w:after="0" w:line="252" w:lineRule="auto"/>
              <w:jc w:val="left"/>
            </w:pPr>
            <w:r>
              <w:rPr>
                <w:rFonts w:ascii="Calibri" w:hAnsi="Calibri"/>
                <w:color w:val="1E293B"/>
                <w:sz w:val="16"/>
              </w:rPr>
              <w:t>curl</w:t>
            </w:r>
          </w:p>
        </w:tc>
        <w:tc>
          <w:tcPr>
            <w:tcW w:type="dxa" w:w="1584"/>
            <w:vAlign w:val="center"/>
          </w:tcPr>
          <w:p>
            <w:pPr>
              <w:spacing w:after="0" w:line="252" w:lineRule="auto"/>
              <w:jc w:val="left"/>
            </w:pPr>
            <w:r>
              <w:rPr>
                <w:rFonts w:ascii="Calibri" w:hAnsi="Calibri"/>
                <w:color w:val="1E293B"/>
                <w:sz w:val="16"/>
              </w:rPr>
              <w:t>Final held-out</w:t>
            </w:r>
          </w:p>
        </w:tc>
        <w:tc>
          <w:tcPr>
            <w:tcW w:type="dxa" w:w="3528"/>
            <w:vAlign w:val="center"/>
          </w:tcPr>
          <w:p>
            <w:pPr>
              <w:spacing w:after="0" w:line="252" w:lineRule="auto"/>
              <w:jc w:val="left"/>
            </w:pPr>
            <w:r>
              <w:rPr>
                <w:rFonts w:ascii="Calibri" w:hAnsi="Calibri"/>
                <w:color w:val="1E293B"/>
                <w:sz w:val="16"/>
              </w:rPr>
              <w:t>Easy handles, transfer return codes, cleanup</w:t>
            </w:r>
          </w:p>
        </w:tc>
        <w:tc>
          <w:tcPr>
            <w:tcW w:type="dxa" w:w="3168"/>
            <w:vAlign w:val="center"/>
          </w:tcPr>
          <w:p>
            <w:pPr>
              <w:spacing w:after="0" w:line="252" w:lineRule="auto"/>
              <w:jc w:val="left"/>
            </w:pPr>
            <w:r>
              <w:rPr>
                <w:rFonts w:ascii="Calibri" w:hAnsi="Calibri"/>
                <w:color w:val="1E293B"/>
                <w:sz w:val="16"/>
              </w:rPr>
              <w:t>No engine tuning.</w:t>
            </w:r>
          </w:p>
        </w:tc>
      </w:tr>
      <w:tr>
        <w:trPr>
          <w:cantSplit/>
        </w:trPr>
        <w:tc>
          <w:tcPr>
            <w:tcW w:type="dxa" w:w="1080"/>
            <w:vAlign w:val="center"/>
          </w:tcPr>
          <w:p>
            <w:pPr>
              <w:spacing w:after="0" w:line="252" w:lineRule="auto"/>
              <w:jc w:val="left"/>
            </w:pPr>
            <w:r>
              <w:rPr>
                <w:rFonts w:ascii="Calibri" w:hAnsi="Calibri"/>
                <w:color w:val="1E293B"/>
                <w:sz w:val="16"/>
              </w:rPr>
              <w:t>cJSON</w:t>
            </w:r>
          </w:p>
        </w:tc>
        <w:tc>
          <w:tcPr>
            <w:tcW w:type="dxa" w:w="1584"/>
            <w:vAlign w:val="center"/>
          </w:tcPr>
          <w:p>
            <w:pPr>
              <w:spacing w:after="0" w:line="252" w:lineRule="auto"/>
              <w:jc w:val="left"/>
            </w:pPr>
            <w:r>
              <w:rPr>
                <w:rFonts w:ascii="Calibri" w:hAnsi="Calibri"/>
                <w:color w:val="1E293B"/>
                <w:sz w:val="16"/>
              </w:rPr>
              <w:t>Final held-out</w:t>
            </w:r>
          </w:p>
        </w:tc>
        <w:tc>
          <w:tcPr>
            <w:tcW w:type="dxa" w:w="3528"/>
            <w:vAlign w:val="center"/>
          </w:tcPr>
          <w:p>
            <w:pPr>
              <w:spacing w:after="0" w:line="252" w:lineRule="auto"/>
              <w:jc w:val="left"/>
            </w:pPr>
            <w:r>
              <w:rPr>
                <w:rFonts w:ascii="Calibri" w:hAnsi="Calibri"/>
                <w:color w:val="1E293B"/>
                <w:sz w:val="16"/>
              </w:rPr>
              <w:t>Tree ownership, transfer, references, deletion</w:t>
            </w:r>
          </w:p>
        </w:tc>
        <w:tc>
          <w:tcPr>
            <w:tcW w:type="dxa" w:w="3168"/>
            <w:vAlign w:val="center"/>
          </w:tcPr>
          <w:p>
            <w:pPr>
              <w:spacing w:after="0" w:line="252" w:lineRule="auto"/>
              <w:jc w:val="left"/>
            </w:pPr>
            <w:r>
              <w:rPr>
                <w:rFonts w:ascii="Calibri" w:hAnsi="Calibri"/>
                <w:color w:val="1E293B"/>
                <w:sz w:val="16"/>
              </w:rPr>
              <w:t>No engine tuning.</w:t>
            </w:r>
          </w:p>
        </w:tc>
      </w:tr>
      <w:tr>
        <w:trPr>
          <w:cantSplit/>
        </w:trPr>
        <w:tc>
          <w:tcPr>
            <w:tcW w:type="dxa" w:w="1080"/>
            <w:vAlign w:val="center"/>
          </w:tcPr>
          <w:p>
            <w:pPr>
              <w:spacing w:after="0" w:line="252" w:lineRule="auto"/>
              <w:jc w:val="left"/>
            </w:pPr>
            <w:r>
              <w:rPr>
                <w:rFonts w:ascii="Calibri" w:hAnsi="Calibri"/>
                <w:color w:val="1E293B"/>
                <w:sz w:val="16"/>
              </w:rPr>
              <w:t>libtiff</w:t>
            </w:r>
          </w:p>
        </w:tc>
        <w:tc>
          <w:tcPr>
            <w:tcW w:type="dxa" w:w="1584"/>
            <w:vAlign w:val="center"/>
          </w:tcPr>
          <w:p>
            <w:pPr>
              <w:spacing w:after="0" w:line="252" w:lineRule="auto"/>
              <w:jc w:val="left"/>
            </w:pPr>
            <w:r>
              <w:rPr>
                <w:rFonts w:ascii="Calibri" w:hAnsi="Calibri"/>
                <w:color w:val="1E293B"/>
                <w:sz w:val="16"/>
              </w:rPr>
              <w:t>Final held-out</w:t>
            </w:r>
          </w:p>
        </w:tc>
        <w:tc>
          <w:tcPr>
            <w:tcW w:type="dxa" w:w="3528"/>
            <w:vAlign w:val="center"/>
          </w:tcPr>
          <w:p>
            <w:pPr>
              <w:spacing w:after="0" w:line="252" w:lineRule="auto"/>
              <w:jc w:val="left"/>
            </w:pPr>
            <w:r>
              <w:rPr>
                <w:rFonts w:ascii="Calibri" w:hAnsi="Calibri"/>
                <w:color w:val="1E293B"/>
                <w:sz w:val="16"/>
              </w:rPr>
              <w:t>Open/read/write/directory lifecycle and failure cleanup</w:t>
            </w:r>
          </w:p>
        </w:tc>
        <w:tc>
          <w:tcPr>
            <w:tcW w:type="dxa" w:w="3168"/>
            <w:vAlign w:val="center"/>
          </w:tcPr>
          <w:p>
            <w:pPr>
              <w:spacing w:after="0" w:line="252" w:lineRule="auto"/>
              <w:jc w:val="left"/>
            </w:pPr>
            <w:r>
              <w:rPr>
                <w:rFonts w:ascii="Calibri" w:hAnsi="Calibri"/>
                <w:color w:val="1E293B"/>
                <w:sz w:val="16"/>
              </w:rPr>
              <w:t>No engine tuning.</w:t>
            </w:r>
          </w:p>
        </w:tc>
      </w:tr>
      <w:tr>
        <w:trPr>
          <w:cantSplit/>
        </w:trPr>
        <w:tc>
          <w:tcPr>
            <w:tcW w:type="dxa" w:w="1080"/>
            <w:vAlign w:val="center"/>
          </w:tcPr>
          <w:p>
            <w:pPr>
              <w:spacing w:after="0" w:line="252" w:lineRule="auto"/>
              <w:jc w:val="left"/>
            </w:pPr>
            <w:r>
              <w:rPr>
                <w:rFonts w:ascii="Calibri" w:hAnsi="Calibri"/>
                <w:color w:val="1E293B"/>
                <w:sz w:val="16"/>
              </w:rPr>
              <w:t>libvpx</w:t>
            </w:r>
          </w:p>
        </w:tc>
        <w:tc>
          <w:tcPr>
            <w:tcW w:type="dxa" w:w="1584"/>
            <w:vAlign w:val="center"/>
          </w:tcPr>
          <w:p>
            <w:pPr>
              <w:spacing w:after="0" w:line="252" w:lineRule="auto"/>
              <w:jc w:val="left"/>
            </w:pPr>
            <w:r>
              <w:rPr>
                <w:rFonts w:ascii="Calibri" w:hAnsi="Calibri"/>
                <w:color w:val="1E293B"/>
                <w:sz w:val="16"/>
              </w:rPr>
              <w:t>Final held-out</w:t>
            </w:r>
          </w:p>
        </w:tc>
        <w:tc>
          <w:tcPr>
            <w:tcW w:type="dxa" w:w="3528"/>
            <w:vAlign w:val="center"/>
          </w:tcPr>
          <w:p>
            <w:pPr>
              <w:spacing w:after="0" w:line="252" w:lineRule="auto"/>
              <w:jc w:val="left"/>
            </w:pPr>
            <w:r>
              <w:rPr>
                <w:rFonts w:ascii="Calibri" w:hAnsi="Calibri"/>
                <w:color w:val="1E293B"/>
                <w:sz w:val="16"/>
              </w:rPr>
              <w:t>Codec context initialization, encode/decode state, destruction</w:t>
            </w:r>
          </w:p>
        </w:tc>
        <w:tc>
          <w:tcPr>
            <w:tcW w:type="dxa" w:w="3168"/>
            <w:vAlign w:val="center"/>
          </w:tcPr>
          <w:p>
            <w:pPr>
              <w:spacing w:after="0" w:line="252" w:lineRule="auto"/>
              <w:jc w:val="left"/>
            </w:pPr>
            <w:r>
              <w:rPr>
                <w:rFonts w:ascii="Calibri" w:hAnsi="Calibri"/>
                <w:color w:val="1E293B"/>
                <w:sz w:val="16"/>
              </w:rPr>
              <w:t>No engine tuning.</w:t>
            </w:r>
          </w:p>
        </w:tc>
      </w:tr>
      <w:tr>
        <w:trPr>
          <w:cantSplit/>
        </w:trPr>
        <w:tc>
          <w:tcPr>
            <w:tcW w:type="dxa" w:w="1080"/>
            <w:vAlign w:val="center"/>
          </w:tcPr>
          <w:p>
            <w:pPr>
              <w:spacing w:after="0" w:line="252" w:lineRule="auto"/>
              <w:jc w:val="left"/>
            </w:pPr>
            <w:r>
              <w:rPr>
                <w:rFonts w:ascii="Calibri" w:hAnsi="Calibri"/>
                <w:color w:val="1E293B"/>
                <w:sz w:val="16"/>
              </w:rPr>
              <w:t>c-ares</w:t>
            </w:r>
          </w:p>
        </w:tc>
        <w:tc>
          <w:tcPr>
            <w:tcW w:type="dxa" w:w="1584"/>
            <w:vAlign w:val="center"/>
          </w:tcPr>
          <w:p>
            <w:pPr>
              <w:spacing w:after="0" w:line="252" w:lineRule="auto"/>
              <w:jc w:val="left"/>
            </w:pPr>
            <w:r>
              <w:rPr>
                <w:rFonts w:ascii="Calibri" w:hAnsi="Calibri"/>
                <w:color w:val="1E293B"/>
                <w:sz w:val="16"/>
              </w:rPr>
              <w:t>Final held-out</w:t>
            </w:r>
          </w:p>
        </w:tc>
        <w:tc>
          <w:tcPr>
            <w:tcW w:type="dxa" w:w="3528"/>
            <w:vAlign w:val="center"/>
          </w:tcPr>
          <w:p>
            <w:pPr>
              <w:spacing w:after="0" w:line="252" w:lineRule="auto"/>
              <w:jc w:val="left"/>
            </w:pPr>
            <w:r>
              <w:rPr>
                <w:rFonts w:ascii="Calibri" w:hAnsi="Calibri"/>
                <w:color w:val="1E293B"/>
                <w:sz w:val="16"/>
              </w:rPr>
              <w:t>Asynchronous channel lifecycle, callbacks, cleanup</w:t>
            </w:r>
          </w:p>
        </w:tc>
        <w:tc>
          <w:tcPr>
            <w:tcW w:type="dxa" w:w="3168"/>
            <w:vAlign w:val="center"/>
          </w:tcPr>
          <w:p>
            <w:pPr>
              <w:spacing w:after="0" w:line="252" w:lineRule="auto"/>
              <w:jc w:val="left"/>
            </w:pPr>
            <w:r>
              <w:rPr>
                <w:rFonts w:ascii="Calibri" w:hAnsi="Calibri"/>
                <w:color w:val="1E293B"/>
                <w:sz w:val="16"/>
              </w:rPr>
              <w:t>No engine tuning.</w:t>
            </w:r>
          </w:p>
        </w:tc>
      </w:tr>
      <w:tr>
        <w:trPr>
          <w:cantSplit/>
        </w:trPr>
        <w:tc>
          <w:tcPr>
            <w:tcW w:type="dxa" w:w="1080"/>
            <w:vAlign w:val="center"/>
          </w:tcPr>
          <w:p>
            <w:pPr>
              <w:spacing w:after="0" w:line="252" w:lineRule="auto"/>
              <w:jc w:val="left"/>
            </w:pPr>
            <w:r>
              <w:rPr>
                <w:rFonts w:ascii="Calibri" w:hAnsi="Calibri"/>
                <w:color w:val="1E293B"/>
                <w:sz w:val="16"/>
              </w:rPr>
              <w:t>lcms</w:t>
            </w:r>
          </w:p>
        </w:tc>
        <w:tc>
          <w:tcPr>
            <w:tcW w:type="dxa" w:w="1584"/>
            <w:vAlign w:val="center"/>
          </w:tcPr>
          <w:p>
            <w:pPr>
              <w:spacing w:after="0" w:line="252" w:lineRule="auto"/>
              <w:jc w:val="left"/>
            </w:pPr>
            <w:r>
              <w:rPr>
                <w:rFonts w:ascii="Calibri" w:hAnsi="Calibri"/>
                <w:color w:val="1E293B"/>
                <w:sz w:val="16"/>
              </w:rPr>
              <w:t>Final held-out</w:t>
            </w:r>
          </w:p>
        </w:tc>
        <w:tc>
          <w:tcPr>
            <w:tcW w:type="dxa" w:w="3528"/>
            <w:vAlign w:val="center"/>
          </w:tcPr>
          <w:p>
            <w:pPr>
              <w:spacing w:after="0" w:line="252" w:lineRule="auto"/>
              <w:jc w:val="left"/>
            </w:pPr>
            <w:r>
              <w:rPr>
                <w:rFonts w:ascii="Calibri" w:hAnsi="Calibri"/>
                <w:color w:val="1E293B"/>
                <w:sz w:val="16"/>
              </w:rPr>
              <w:t>Profile/transform handles, ownership, close/delete ordering</w:t>
            </w:r>
          </w:p>
        </w:tc>
        <w:tc>
          <w:tcPr>
            <w:tcW w:type="dxa" w:w="3168"/>
            <w:vAlign w:val="center"/>
          </w:tcPr>
          <w:p>
            <w:pPr>
              <w:spacing w:after="0" w:line="252" w:lineRule="auto"/>
              <w:jc w:val="left"/>
            </w:pPr>
            <w:r>
              <w:rPr>
                <w:rFonts w:ascii="Calibri" w:hAnsi="Calibri"/>
                <w:color w:val="1E293B"/>
                <w:sz w:val="16"/>
              </w:rPr>
              <w:t>No engine tuning.</w:t>
            </w:r>
          </w:p>
        </w:tc>
      </w:tr>
    </w:tbl>
    <w:p>
      <w:pPr>
        <w:spacing w:after="40"/>
      </w:pPr>
    </w:p>
    <w:p>
      <w:pPr>
        <w:spacing w:before="0" w:after="120" w:line="300" w:lineRule="auto"/>
        <w:jc w:val="both"/>
      </w:pPr>
      <w:r>
        <w:rPr>
          <w:rFonts w:ascii="Calibri" w:hAnsi="Calibri"/>
          <w:i w:val="0"/>
          <w:color w:val="1E293B"/>
          <w:sz w:val="22"/>
        </w:rPr>
        <w:t>The design is exactly 1 development + 1 validation + 6 final held-out libraries. The eight-library set deliberately follows the CKGFuzzer evaluation set to enable comparability; library selection is not claimed as novelty. After zlib, a candidate analyzer and its bounds are frozen. Libpcap permits one logged validation correction, followed by the final analyzer freeze before held-out inspection. Primary RQ2, RQ3, and RQ5 conclusions use the six untouched held-out libraries; libpcap is validation evidence, while RQ4 begins only after Gate V.</w:t>
      </w:r>
    </w:p>
    <w:p>
      <w:pPr>
        <w:pStyle w:val="Heading2"/>
        <w:keepNext/>
      </w:pPr>
      <w:r>
        <w:t>7.5 Fixed generation design and sampling-bias control</w:t>
      </w:r>
    </w:p>
    <w:p>
      <w:pPr>
        <w:spacing w:before="0" w:after="120" w:line="300" w:lineRule="auto"/>
        <w:jc w:val="both"/>
      </w:pPr>
      <w:r>
        <w:rPr>
          <w:rFonts w:ascii="Calibri" w:hAnsi="Calibri"/>
          <w:i w:val="0"/>
          <w:color w:val="1E293B"/>
          <w:sz w:val="22"/>
        </w:rPr>
        <w:t>The fixed primary budget is 2 models × 8 libraries × 10 frozen scenarios × 5 attempts = 800 attempts. Model A uses the DeepSeek API endpoint `deepseek-v4-flash`, currently serving DeepSeek-V4-Flash-0731 [23]. Model B uses the stable Google Gemini Developer API identifier `gemini-3.1-flash-lite` [28]. These are selected as low-cost API models; the price sheet, provider response model/version, endpoint, request parameters, and execution window are archived. The ten library-specific API/feature scenarios are frozen before calls and cover lifecycle, return-dependent failure, cleanup, ordering, ownership, reset/reuse, and relevant error paths. Provider-native non-thinking or minimum-thinking mode is fixed and recorded. A served-version change pauses generation and requires a preregistration amendment before more outputs are collected.</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656"/>
        <w:gridCol w:w="7704"/>
      </w:tblGrid>
      <w:tr>
        <w:trPr>
          <w:tblHeader w:val="true"/>
          <w:cantSplit/>
        </w:trPr>
        <w:tc>
          <w:tcPr>
            <w:tcW w:type="dxa" w:w="1656"/>
            <w:tcMar>
              <w:top w:w="80" w:type="dxa"/>
              <w:start w:w="120" w:type="dxa"/>
              <w:bottom w:w="80" w:type="dxa"/>
              <w:end w:w="120" w:type="dxa"/>
            </w:tcMar>
            <w:shd w:fill="F4F6F9"/>
            <w:vAlign w:val="center"/>
          </w:tcPr>
          <w:p>
            <w:pPr>
              <w:spacing w:after="0" w:line="240" w:lineRule="auto"/>
              <w:jc w:val="center"/>
            </w:pPr>
            <w:r>
              <w:rPr>
                <w:rFonts w:ascii="Calibri" w:hAnsi="Calibri"/>
                <w:b/>
                <w:color w:val="1F4D78"/>
                <w:sz w:val="18"/>
              </w:rPr>
              <w:t>Field</w:t>
            </w:r>
          </w:p>
        </w:tc>
        <w:tc>
          <w:tcPr>
            <w:tcW w:type="dxa" w:w="7704"/>
            <w:tcMar>
              <w:top w:w="80" w:type="dxa"/>
              <w:start w:w="120" w:type="dxa"/>
              <w:bottom w:w="80" w:type="dxa"/>
              <w:end w:w="120" w:type="dxa"/>
            </w:tcMar>
            <w:shd w:fill="F4F6F9"/>
            <w:vAlign w:val="center"/>
          </w:tcPr>
          <w:p>
            <w:pPr>
              <w:spacing w:after="0" w:line="240" w:lineRule="auto"/>
              <w:jc w:val="center"/>
            </w:pPr>
            <w:r>
              <w:rPr>
                <w:rFonts w:ascii="Calibri" w:hAnsi="Calibri"/>
                <w:b/>
                <w:color w:val="1F4D78"/>
                <w:sz w:val="18"/>
              </w:rPr>
              <w:t>Frozen rule</w:t>
            </w:r>
          </w:p>
        </w:tc>
      </w:tr>
      <w:tr>
        <w:trPr>
          <w:cantSplit/>
        </w:trPr>
        <w:tc>
          <w:tcPr>
            <w:tcW w:type="dxa" w:w="1656"/>
            <w:vAlign w:val="center"/>
          </w:tcPr>
          <w:p>
            <w:pPr>
              <w:spacing w:after="0" w:line="252" w:lineRule="auto"/>
              <w:jc w:val="left"/>
            </w:pPr>
            <w:r>
              <w:rPr>
                <w:rFonts w:ascii="Calibri" w:hAnsi="Calibri"/>
                <w:color w:val="1E293B"/>
                <w:sz w:val="18"/>
              </w:rPr>
              <w:t>Attempts</w:t>
            </w:r>
          </w:p>
        </w:tc>
        <w:tc>
          <w:tcPr>
            <w:tcW w:type="dxa" w:w="7704"/>
            <w:vAlign w:val="center"/>
          </w:tcPr>
          <w:p>
            <w:pPr>
              <w:spacing w:after="0" w:line="252" w:lineRule="auto"/>
              <w:jc w:val="left"/>
            </w:pPr>
            <w:r>
              <w:rPr>
                <w:rFonts w:ascii="Calibri" w:hAnsi="Calibri"/>
                <w:color w:val="1E293B"/>
                <w:sz w:val="18"/>
              </w:rPr>
              <w:t>Ten frozen library-specific API/feature scenarios × five attempts per model–library pair; one retained raw response per call (50 per cell).</w:t>
            </w:r>
          </w:p>
        </w:tc>
      </w:tr>
      <w:tr>
        <w:trPr>
          <w:cantSplit/>
        </w:trPr>
        <w:tc>
          <w:tcPr>
            <w:tcW w:type="dxa" w:w="1656"/>
            <w:vAlign w:val="center"/>
          </w:tcPr>
          <w:p>
            <w:pPr>
              <w:spacing w:after="0" w:line="252" w:lineRule="auto"/>
              <w:jc w:val="left"/>
            </w:pPr>
            <w:r>
              <w:rPr>
                <w:rFonts w:ascii="Calibri" w:hAnsi="Calibri"/>
                <w:color w:val="1E293B"/>
                <w:sz w:val="18"/>
              </w:rPr>
              <w:t>Prompt</w:t>
            </w:r>
          </w:p>
        </w:tc>
        <w:tc>
          <w:tcPr>
            <w:tcW w:type="dxa" w:w="7704"/>
            <w:vAlign w:val="center"/>
          </w:tcPr>
          <w:p>
            <w:pPr>
              <w:spacing w:after="0" w:line="252" w:lineRule="auto"/>
              <w:jc w:val="left"/>
            </w:pPr>
            <w:r>
              <w:rPr>
                <w:rFonts w:ascii="Calibri" w:hAnsi="Calibri"/>
                <w:color w:val="1E293B"/>
                <w:sz w:val="18"/>
              </w:rPr>
              <w:t>One frozen system prompt plus a scenario manifest containing exact API/feature bindings; no protocol rules, defect examples, verifier output, manual labels, or repair feedback.</w:t>
            </w:r>
          </w:p>
        </w:tc>
      </w:tr>
      <w:tr>
        <w:trPr>
          <w:cantSplit/>
        </w:trPr>
        <w:tc>
          <w:tcPr>
            <w:tcW w:type="dxa" w:w="1656"/>
            <w:vAlign w:val="center"/>
          </w:tcPr>
          <w:p>
            <w:pPr>
              <w:spacing w:after="0" w:line="252" w:lineRule="auto"/>
              <w:jc w:val="left"/>
            </w:pPr>
            <w:r>
              <w:rPr>
                <w:rFonts w:ascii="Calibri" w:hAnsi="Calibri"/>
                <w:color w:val="1E293B"/>
                <w:sz w:val="18"/>
              </w:rPr>
              <w:t>Sampling</w:t>
            </w:r>
          </w:p>
        </w:tc>
        <w:tc>
          <w:tcPr>
            <w:tcW w:type="dxa" w:w="7704"/>
            <w:vAlign w:val="center"/>
          </w:tcPr>
          <w:p>
            <w:pPr>
              <w:spacing w:after="0" w:line="252" w:lineRule="auto"/>
              <w:jc w:val="left"/>
            </w:pPr>
            <w:r>
              <w:rPr>
                <w:rFonts w:ascii="Calibri" w:hAnsi="Calibri"/>
                <w:color w:val="1E293B"/>
                <w:sz w:val="18"/>
              </w:rPr>
              <w:t>temperature 0.2; top-p 1.0 where supported; non-thinking/minimum-thinking mode; maximum output 8,192 tokens; seed and provider defaults recorded.</w:t>
            </w:r>
          </w:p>
        </w:tc>
      </w:tr>
      <w:tr>
        <w:trPr>
          <w:cantSplit/>
        </w:trPr>
        <w:tc>
          <w:tcPr>
            <w:tcW w:type="dxa" w:w="1656"/>
            <w:vAlign w:val="center"/>
          </w:tcPr>
          <w:p>
            <w:pPr>
              <w:spacing w:after="0" w:line="252" w:lineRule="auto"/>
              <w:jc w:val="left"/>
            </w:pPr>
            <w:r>
              <w:rPr>
                <w:rFonts w:ascii="Calibri" w:hAnsi="Calibri"/>
                <w:color w:val="1E293B"/>
                <w:sz w:val="18"/>
              </w:rPr>
              <w:t>Compilation</w:t>
            </w:r>
          </w:p>
        </w:tc>
        <w:tc>
          <w:tcPr>
            <w:tcW w:type="dxa" w:w="7704"/>
            <w:vAlign w:val="center"/>
          </w:tcPr>
          <w:p>
            <w:pPr>
              <w:spacing w:after="0" w:line="252" w:lineRule="auto"/>
              <w:jc w:val="left"/>
            </w:pPr>
            <w:r>
              <w:rPr>
                <w:rFonts w:ascii="Calibri" w:hAnsi="Calibri"/>
                <w:color w:val="1E293B"/>
                <w:sz w:val="18"/>
              </w:rPr>
              <w:t>One pinned extraction and compilation procedure for the primary sample; no filtering before preservation. Any compilation-repair experiment is separate.</w:t>
            </w:r>
          </w:p>
        </w:tc>
      </w:tr>
      <w:tr>
        <w:trPr>
          <w:cantSplit/>
        </w:trPr>
        <w:tc>
          <w:tcPr>
            <w:tcW w:type="dxa" w:w="1656"/>
            <w:vAlign w:val="center"/>
          </w:tcPr>
          <w:p>
            <w:pPr>
              <w:spacing w:after="0" w:line="252" w:lineRule="auto"/>
              <w:jc w:val="left"/>
            </w:pPr>
            <w:r>
              <w:rPr>
                <w:rFonts w:ascii="Calibri" w:hAnsi="Calibri"/>
                <w:color w:val="1E293B"/>
                <w:sz w:val="18"/>
              </w:rPr>
              <w:t>Metadata</w:t>
            </w:r>
          </w:p>
        </w:tc>
        <w:tc>
          <w:tcPr>
            <w:tcW w:type="dxa" w:w="7704"/>
            <w:vAlign w:val="center"/>
          </w:tcPr>
          <w:p>
            <w:pPr>
              <w:spacing w:after="0" w:line="252" w:lineRule="auto"/>
              <w:jc w:val="left"/>
            </w:pPr>
            <w:r>
              <w:rPr>
                <w:rFonts w:ascii="Calibri" w:hAnsi="Calibri"/>
                <w:color w:val="1E293B"/>
                <w:sz w:val="18"/>
              </w:rPr>
              <w:t>Provider, exact model ID, date/time, request parameters, raw response, token use, latency, cost, extraction status, compiler command/version, exit code, and complete log.</w:t>
            </w:r>
          </w:p>
        </w:tc>
      </w:tr>
      <w:tr>
        <w:trPr>
          <w:cantSplit/>
        </w:trPr>
        <w:tc>
          <w:tcPr>
            <w:tcW w:type="dxa" w:w="1656"/>
            <w:vAlign w:val="center"/>
          </w:tcPr>
          <w:p>
            <w:pPr>
              <w:spacing w:after="0" w:line="252" w:lineRule="auto"/>
              <w:jc w:val="left"/>
            </w:pPr>
            <w:r>
              <w:rPr>
                <w:rFonts w:ascii="Calibri" w:hAnsi="Calibri"/>
                <w:color w:val="1E293B"/>
                <w:sz w:val="18"/>
              </w:rPr>
              <w:t>Failure handling</w:t>
            </w:r>
          </w:p>
        </w:tc>
        <w:tc>
          <w:tcPr>
            <w:tcW w:type="dxa" w:w="7704"/>
            <w:vAlign w:val="center"/>
          </w:tcPr>
          <w:p>
            <w:pPr>
              <w:spacing w:after="0" w:line="252" w:lineRule="auto"/>
              <w:jc w:val="left"/>
            </w:pPr>
            <w:r>
              <w:rPr>
                <w:rFonts w:ascii="Calibri" w:hAnsi="Calibri"/>
                <w:color w:val="1E293B"/>
                <w:sz w:val="18"/>
              </w:rPr>
              <w:t>Refusal, timeout, API error, truncated output, missing code, duplicate output, extraction failure, and non-compilation are distinct statuses. Retries are allowed only for transport failure under a fixed retry policy and retain every attempt.</w:t>
            </w:r>
          </w:p>
        </w:tc>
      </w:tr>
    </w:tbl>
    <w:p>
      <w:pPr>
        <w:spacing w:after="40"/>
      </w:pPr>
    </w:p>
    <w:p>
      <w:pPr>
        <w:spacing w:before="0" w:after="120" w:line="300" w:lineRule="auto"/>
        <w:jc w:val="both"/>
      </w:pPr>
      <w:r>
        <w:rPr>
          <w:rFonts w:ascii="Calibri" w:hAnsi="Calibri"/>
          <w:i w:val="0"/>
          <w:color w:val="1E293B"/>
          <w:sz w:val="22"/>
        </w:rPr>
        <w:t>Compilation rate uses all 800 attempts. Full dual annotation uses a preregistered stratified sample of up to 140 compilable drivers covering model, library, scenario, and compilation characteristics. Natural defect prevalence is estimated from that sample with selection probabilities and inverse-probability weights, always alongside unweighted counts, exact intervals, compilation rate, and the complete attempt flow. Generation never continues to obtain a desired number of compilable or defective drivers.</w:t>
      </w:r>
    </w:p>
    <w:p>
      <w:pPr>
        <w:pStyle w:val="Heading2"/>
        <w:keepNext/>
      </w:pPr>
      <w:r>
        <w:t>7.6 Ground truth and blind annotation</w:t>
      </w:r>
    </w:p>
    <w:p>
      <w:pPr>
        <w:spacing w:after="80" w:line="290" w:lineRule="auto"/>
        <w:ind w:left="540" w:hanging="279"/>
        <w:numPr>
          <w:ilvl w:val="0"/>
          <w:numId w:val="13"/>
        </w:numPr>
      </w:pPr>
      <w:r>
        <w:rPr>
          <w:rFonts w:ascii="Calibri" w:hAnsi="Calibri"/>
          <w:color w:val="1E293B"/>
          <w:sz w:val="22"/>
        </w:rPr>
        <w:t>Freeze all raw outputs and build logs, then draw and anonymize the preregistered sample of up to 140 compilable drivers before annotation. The main analyzer/repair developer is not a primary annotator.</w:t>
      </w:r>
    </w:p>
    <w:p>
      <w:pPr>
        <w:spacing w:after="80" w:line="290" w:lineRule="auto"/>
        <w:ind w:left="540" w:hanging="279"/>
        <w:numPr>
          <w:ilvl w:val="0"/>
          <w:numId w:val="13"/>
        </w:numPr>
      </w:pPr>
      <w:r>
        <w:rPr>
          <w:rFonts w:ascii="Calibri" w:hAnsi="Calibri"/>
          <w:color w:val="1E293B"/>
          <w:sz w:val="22"/>
        </w:rPr>
        <w:t>Two non-author annotators independently inspect each whole driver and discover all in-scope resources and candidate obligations without receiving machine-generated locations, inventories, verdicts, or baseline output.</w:t>
      </w:r>
    </w:p>
    <w:p>
      <w:pPr>
        <w:spacing w:after="80" w:line="290" w:lineRule="auto"/>
        <w:ind w:left="540" w:hanging="279"/>
        <w:numPr>
          <w:ilvl w:val="0"/>
          <w:numId w:val="13"/>
        </w:numPr>
      </w:pPr>
      <w:r>
        <w:rPr>
          <w:rFonts w:ascii="Calibri" w:hAnsi="Calibri"/>
          <w:color w:val="1E293B"/>
          <w:sz w:val="22"/>
        </w:rPr>
        <w:t>Discovery is followed by independent verdict assignment. The frozen union inventory records outcome, MUST/MAY relevance, defect category, resource, program point, relevant branch condition, required/observed state, and evidence citation.</w:t>
      </w:r>
    </w:p>
    <w:p>
      <w:pPr>
        <w:spacing w:after="80" w:line="290" w:lineRule="auto"/>
        <w:ind w:left="540" w:hanging="279"/>
        <w:numPr>
          <w:ilvl w:val="0"/>
          <w:numId w:val="13"/>
        </w:numPr>
      </w:pPr>
      <w:r>
        <w:rPr>
          <w:rFonts w:ascii="Calibri" w:hAnsi="Calibri"/>
          <w:color w:val="1E293B"/>
          <w:sz w:val="22"/>
        </w:rPr>
        <w:t>A third adjudicator resolves discovery and verdict disagreements and freezes the union inventory under the preregistered equivalent-path normalization rule before any analyzer or baseline output is revealed.</w:t>
      </w:r>
    </w:p>
    <w:p>
      <w:pPr>
        <w:spacing w:after="80" w:line="290" w:lineRule="auto"/>
        <w:ind w:left="540" w:hanging="279"/>
        <w:numPr>
          <w:ilvl w:val="0"/>
          <w:numId w:val="13"/>
        </w:numPr>
      </w:pPr>
      <w:r>
        <w:rPr>
          <w:rFonts w:ascii="Calibri" w:hAnsi="Calibri"/>
          <w:color w:val="1E293B"/>
          <w:sz w:val="22"/>
        </w:rPr>
        <w:t>Agreement is reported separately for resource discovery, obligation discovery, and verdicts using raw agreement plus Krippendorff's alpha or Cohen's kappa where appropriate. Consensus edits and adjudication reasons are retained.</w:t>
      </w:r>
    </w:p>
    <w:p>
      <w:pPr>
        <w:spacing w:after="80" w:line="290" w:lineRule="auto"/>
        <w:ind w:left="540" w:hanging="279"/>
        <w:numPr>
          <w:ilvl w:val="0"/>
          <w:numId w:val="13"/>
        </w:numPr>
      </w:pPr>
      <w:r>
        <w:rPr>
          <w:rFonts w:ascii="Calibri" w:hAnsi="Calibri"/>
          <w:color w:val="1E293B"/>
          <w:sz w:val="22"/>
        </w:rPr>
        <w:t>Exposure quarantine is mandatory: anyone who has viewed SemanticVerify-Fuzz, QuartetFuzz, or LLM-review output for a driver cannot annotate that driver. Labels are frozen before comparison; failure to secure two independent annotators and a third adjudicator before scoring downgrades the affected results to exploratory rather than substituting developer labels.</w:t>
      </w:r>
    </w:p>
    <w:p>
      <w:pPr>
        <w:pStyle w:val="Heading2"/>
        <w:keepNext/>
      </w:pPr>
      <w:r>
        <w:t>7.7 Verification baselines and ablations</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088"/>
        <w:gridCol w:w="7272"/>
      </w:tblGrid>
      <w:tr>
        <w:trPr>
          <w:tblHeader w:val="true"/>
          <w:cantSplit/>
        </w:trPr>
        <w:tc>
          <w:tcPr>
            <w:tcW w:type="dxa" w:w="2088"/>
            <w:tcMar>
              <w:top w:w="80" w:type="dxa"/>
              <w:start w:w="120" w:type="dxa"/>
              <w:bottom w:w="80" w:type="dxa"/>
              <w:end w:w="120" w:type="dxa"/>
            </w:tcMar>
            <w:shd w:fill="F4F6F9"/>
            <w:vAlign w:val="center"/>
          </w:tcPr>
          <w:p>
            <w:pPr>
              <w:spacing w:after="0" w:line="240" w:lineRule="auto"/>
              <w:jc w:val="center"/>
            </w:pPr>
            <w:r>
              <w:rPr>
                <w:rFonts w:ascii="Calibri" w:hAnsi="Calibri"/>
                <w:b/>
                <w:color w:val="1F4D78"/>
                <w:sz w:val="17"/>
              </w:rPr>
              <w:t>Detector</w:t>
            </w:r>
          </w:p>
        </w:tc>
        <w:tc>
          <w:tcPr>
            <w:tcW w:type="dxa" w:w="7272"/>
            <w:tcMar>
              <w:top w:w="80" w:type="dxa"/>
              <w:start w:w="120" w:type="dxa"/>
              <w:bottom w:w="80" w:type="dxa"/>
              <w:end w:w="120" w:type="dxa"/>
            </w:tcMar>
            <w:shd w:fill="F4F6F9"/>
            <w:vAlign w:val="center"/>
          </w:tcPr>
          <w:p>
            <w:pPr>
              <w:spacing w:after="0" w:line="240" w:lineRule="auto"/>
              <w:jc w:val="center"/>
            </w:pPr>
            <w:r>
              <w:rPr>
                <w:rFonts w:ascii="Calibri" w:hAnsi="Calibri"/>
                <w:b/>
                <w:color w:val="1F4D78"/>
                <w:sz w:val="17"/>
              </w:rPr>
              <w:t>Interpretation and protocol</w:t>
            </w:r>
          </w:p>
        </w:tc>
      </w:tr>
      <w:tr>
        <w:trPr>
          <w:cantSplit/>
        </w:trPr>
        <w:tc>
          <w:tcPr>
            <w:tcW w:type="dxa" w:w="2088"/>
            <w:vAlign w:val="center"/>
          </w:tcPr>
          <w:p>
            <w:pPr>
              <w:spacing w:after="0" w:line="252" w:lineRule="auto"/>
              <w:jc w:val="left"/>
            </w:pPr>
            <w:r>
              <w:rPr>
                <w:rFonts w:ascii="Calibri" w:hAnsi="Calibri"/>
                <w:color w:val="1E293B"/>
                <w:sz w:val="17"/>
              </w:rPr>
              <w:t>Compiler-only</w:t>
            </w:r>
          </w:p>
        </w:tc>
        <w:tc>
          <w:tcPr>
            <w:tcW w:type="dxa" w:w="7272"/>
            <w:vAlign w:val="center"/>
          </w:tcPr>
          <w:p>
            <w:pPr>
              <w:spacing w:after="0" w:line="252" w:lineRule="auto"/>
              <w:jc w:val="left"/>
            </w:pPr>
            <w:r>
              <w:rPr>
                <w:rFonts w:ascii="Calibri" w:hAnsi="Calibri"/>
                <w:color w:val="1E293B"/>
                <w:sz w:val="17"/>
              </w:rPr>
              <w:t>Build outcome and diagnostics only; not treated as a semantic detector.</w:t>
            </w:r>
          </w:p>
        </w:tc>
      </w:tr>
      <w:tr>
        <w:trPr>
          <w:cantSplit/>
        </w:trPr>
        <w:tc>
          <w:tcPr>
            <w:tcW w:type="dxa" w:w="2088"/>
            <w:vAlign w:val="center"/>
          </w:tcPr>
          <w:p>
            <w:pPr>
              <w:spacing w:after="0" w:line="252" w:lineRule="auto"/>
              <w:jc w:val="left"/>
            </w:pPr>
            <w:r>
              <w:rPr>
                <w:rFonts w:ascii="Calibri" w:hAnsi="Calibri"/>
                <w:color w:val="1E293B"/>
                <w:sz w:val="17"/>
              </w:rPr>
              <w:t>Dynamic evidence</w:t>
            </w:r>
          </w:p>
        </w:tc>
        <w:tc>
          <w:tcPr>
            <w:tcW w:type="dxa" w:w="7272"/>
            <w:vAlign w:val="center"/>
          </w:tcPr>
          <w:p>
            <w:pPr>
              <w:spacing w:after="0" w:line="252" w:lineRule="auto"/>
              <w:jc w:val="left"/>
            </w:pPr>
            <w:r>
              <w:rPr>
                <w:rFonts w:ascii="Calibri" w:hAnsi="Calibri"/>
                <w:color w:val="1E293B"/>
                <w:sz w:val="17"/>
              </w:rPr>
              <w:t>Pinned bounded libFuzzer runner with ASan, UBSan, and LSan; records reached APIs and observed failures but absence of a failure does not imply protocol validity.</w:t>
            </w:r>
          </w:p>
        </w:tc>
      </w:tr>
      <w:tr>
        <w:trPr>
          <w:cantSplit/>
        </w:trPr>
        <w:tc>
          <w:tcPr>
            <w:tcW w:type="dxa" w:w="2088"/>
            <w:vAlign w:val="center"/>
          </w:tcPr>
          <w:p>
            <w:pPr>
              <w:spacing w:after="0" w:line="252" w:lineRule="auto"/>
              <w:jc w:val="left"/>
            </w:pPr>
            <w:r>
              <w:rPr>
                <w:rFonts w:ascii="Calibri" w:hAnsi="Calibri"/>
                <w:color w:val="1E293B"/>
                <w:sz w:val="17"/>
              </w:rPr>
              <w:t>Path-insensitive verifier</w:t>
            </w:r>
          </w:p>
        </w:tc>
        <w:tc>
          <w:tcPr>
            <w:tcW w:type="dxa" w:w="7272"/>
            <w:vAlign w:val="center"/>
          </w:tcPr>
          <w:p>
            <w:pPr>
              <w:spacing w:after="0" w:line="252" w:lineRule="auto"/>
              <w:jc w:val="left"/>
            </w:pPr>
            <w:r>
              <w:rPr>
                <w:rFonts w:ascii="Calibri" w:hAnsi="Calibri"/>
                <w:color w:val="1E293B"/>
                <w:sz w:val="17"/>
              </w:rPr>
              <w:t>Same protocol files and extractor, but joins control-flow states without branch-conditioned propagation.</w:t>
            </w:r>
          </w:p>
        </w:tc>
      </w:tr>
      <w:tr>
        <w:trPr>
          <w:cantSplit/>
        </w:trPr>
        <w:tc>
          <w:tcPr>
            <w:tcW w:type="dxa" w:w="2088"/>
            <w:vAlign w:val="center"/>
          </w:tcPr>
          <w:p>
            <w:pPr>
              <w:spacing w:after="0" w:line="252" w:lineRule="auto"/>
              <w:jc w:val="left"/>
            </w:pPr>
            <w:r>
              <w:rPr>
                <w:rFonts w:ascii="Calibri" w:hAnsi="Calibri"/>
                <w:color w:val="1E293B"/>
                <w:sz w:val="17"/>
              </w:rPr>
              <w:t>Controlled LLM review</w:t>
            </w:r>
          </w:p>
        </w:tc>
        <w:tc>
          <w:tcPr>
            <w:tcW w:type="dxa" w:w="7272"/>
            <w:vAlign w:val="center"/>
          </w:tcPr>
          <w:p>
            <w:pPr>
              <w:spacing w:after="0" w:line="252" w:lineRule="auto"/>
              <w:jc w:val="left"/>
            </w:pPr>
            <w:r>
              <w:rPr>
                <w:rFonts w:ascii="Calibri" w:hAnsi="Calibri"/>
                <w:color w:val="1E293B"/>
                <w:sz w:val="17"/>
              </w:rPr>
              <w:t>Gemini 3.1 Flash-Lite only; frozen prompt/output schema; minimum-thinking mode; three runs per sampled driver; token/cost logging; fixed parser and failure policy.</w:t>
            </w:r>
          </w:p>
        </w:tc>
      </w:tr>
      <w:tr>
        <w:trPr>
          <w:cantSplit/>
        </w:trPr>
        <w:tc>
          <w:tcPr>
            <w:tcW w:type="dxa" w:w="2088"/>
            <w:vAlign w:val="center"/>
          </w:tcPr>
          <w:p>
            <w:pPr>
              <w:spacing w:after="0" w:line="252" w:lineRule="auto"/>
              <w:jc w:val="left"/>
            </w:pPr>
            <w:r>
              <w:rPr>
                <w:rFonts w:ascii="Calibri" w:hAnsi="Calibri"/>
                <w:color w:val="1E293B"/>
                <w:sz w:val="17"/>
              </w:rPr>
              <w:t>QuartetFuzz P2</w:t>
            </w:r>
          </w:p>
        </w:tc>
        <w:tc>
          <w:tcPr>
            <w:tcW w:type="dxa" w:w="7272"/>
            <w:vAlign w:val="center"/>
          </w:tcPr>
          <w:p>
            <w:pPr>
              <w:spacing w:after="0" w:line="252" w:lineRule="auto"/>
              <w:jc w:val="left"/>
            </w:pPr>
            <w:r>
              <w:rPr>
                <w:rFonts w:ascii="Calibri" w:hAnsi="Calibri"/>
                <w:color w:val="1E293B"/>
                <w:sz w:val="17"/>
              </w:rPr>
              <w:t>Pinned public artifact; discovery and verdict outputs normalized separately on a shared subset; no ad hoc recreation if faithful arbitrary-driver execution fails.</w:t>
            </w:r>
          </w:p>
        </w:tc>
      </w:tr>
      <w:tr>
        <w:trPr>
          <w:cantSplit/>
        </w:trPr>
        <w:tc>
          <w:tcPr>
            <w:tcW w:type="dxa" w:w="2088"/>
            <w:vAlign w:val="center"/>
          </w:tcPr>
          <w:p>
            <w:pPr>
              <w:spacing w:after="0" w:line="252" w:lineRule="auto"/>
              <w:jc w:val="left"/>
            </w:pPr>
            <w:r>
              <w:rPr>
                <w:rFonts w:ascii="Calibri" w:hAnsi="Calibri"/>
                <w:color w:val="1E293B"/>
                <w:sz w:val="17"/>
              </w:rPr>
              <w:t>Full system</w:t>
            </w:r>
          </w:p>
        </w:tc>
        <w:tc>
          <w:tcPr>
            <w:tcW w:type="dxa" w:w="7272"/>
            <w:vAlign w:val="center"/>
          </w:tcPr>
          <w:p>
            <w:pPr>
              <w:spacing w:after="0" w:line="252" w:lineRule="auto"/>
              <w:jc w:val="left"/>
            </w:pPr>
            <w:r>
              <w:rPr>
                <w:rFonts w:ascii="Calibri" w:hAnsi="Calibri"/>
                <w:color w:val="1E293B"/>
                <w:sz w:val="17"/>
              </w:rPr>
              <w:t>Clang CFG plus custom bounded resource-state propagation; VALID, VIOLATION-MUST, VIOLATION-MAY, or UNKNOWN.</w:t>
            </w:r>
          </w:p>
        </w:tc>
      </w:tr>
    </w:tbl>
    <w:p>
      <w:pPr>
        <w:spacing w:after="40"/>
      </w:pPr>
    </w:p>
    <w:p>
      <w:pPr>
        <w:spacing w:before="0" w:after="120" w:line="300" w:lineRule="auto"/>
        <w:jc w:val="both"/>
      </w:pPr>
      <w:r>
        <w:rPr>
          <w:rFonts w:ascii="Calibri" w:hAnsi="Calibri"/>
          <w:i w:val="0"/>
          <w:color w:val="1E293B"/>
          <w:sz w:val="22"/>
        </w:rPr>
        <w:t>RQ3 uses matched ablations that remove one mechanism at a time: path sensitivity, return-value refinement, failure-path tracking, ownership effects, alias propagation, and equivalent-path normalization. Each ablation receives identical drivers and frozen protocol files. Differences are attributed only after obligation-level paired review.</w:t>
      </w:r>
    </w:p>
    <w:p>
      <w:pPr>
        <w:pStyle w:val="Heading2"/>
        <w:keepNext/>
      </w:pPr>
      <w:r>
        <w:t>7.8 Evidence-guided constrained deterministic repair</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448"/>
        <w:gridCol w:w="6912"/>
      </w:tblGrid>
      <w:tr>
        <w:trPr>
          <w:tblHeader w:val="true"/>
          <w:cantSplit/>
        </w:trPr>
        <w:tc>
          <w:tcPr>
            <w:tcW w:type="dxa" w:w="2448"/>
            <w:tcMar>
              <w:top w:w="80" w:type="dxa"/>
              <w:start w:w="120" w:type="dxa"/>
              <w:bottom w:w="80" w:type="dxa"/>
              <w:end w:w="120" w:type="dxa"/>
            </w:tcMar>
            <w:shd w:fill="F4F6F9"/>
            <w:vAlign w:val="center"/>
          </w:tcPr>
          <w:p>
            <w:pPr>
              <w:spacing w:after="0" w:line="240" w:lineRule="auto"/>
              <w:jc w:val="center"/>
            </w:pPr>
            <w:r>
              <w:rPr>
                <w:rFonts w:ascii="Calibri" w:hAnsi="Calibri"/>
                <w:b/>
                <w:color w:val="1F4D78"/>
                <w:sz w:val="18"/>
              </w:rPr>
              <w:t>Violation class</w:t>
            </w:r>
          </w:p>
        </w:tc>
        <w:tc>
          <w:tcPr>
            <w:tcW w:type="dxa" w:w="6912"/>
            <w:tcMar>
              <w:top w:w="80" w:type="dxa"/>
              <w:start w:w="120" w:type="dxa"/>
              <w:bottom w:w="80" w:type="dxa"/>
              <w:end w:w="120" w:type="dxa"/>
            </w:tcMar>
            <w:shd w:fill="F4F6F9"/>
            <w:vAlign w:val="center"/>
          </w:tcPr>
          <w:p>
            <w:pPr>
              <w:spacing w:after="0" w:line="240" w:lineRule="auto"/>
              <w:jc w:val="center"/>
            </w:pPr>
            <w:r>
              <w:rPr>
                <w:rFonts w:ascii="Calibri" w:hAnsi="Calibri"/>
                <w:b/>
                <w:color w:val="1F4D78"/>
                <w:sz w:val="18"/>
              </w:rPr>
              <w:t>Deterministic candidate template</w:t>
            </w:r>
          </w:p>
        </w:tc>
      </w:tr>
      <w:tr>
        <w:trPr>
          <w:cantSplit/>
        </w:trPr>
        <w:tc>
          <w:tcPr>
            <w:tcW w:type="dxa" w:w="2448"/>
            <w:vAlign w:val="center"/>
          </w:tcPr>
          <w:p>
            <w:pPr>
              <w:spacing w:after="0" w:line="252" w:lineRule="auto"/>
              <w:jc w:val="left"/>
            </w:pPr>
            <w:r>
              <w:rPr>
                <w:rFonts w:ascii="Calibri" w:hAnsi="Calibri"/>
                <w:color w:val="1E293B"/>
                <w:sz w:val="18"/>
              </w:rPr>
              <w:t>Unchecked/failed initialization</w:t>
            </w:r>
          </w:p>
        </w:tc>
        <w:tc>
          <w:tcPr>
            <w:tcW w:type="dxa" w:w="6912"/>
            <w:vAlign w:val="center"/>
          </w:tcPr>
          <w:p>
            <w:pPr>
              <w:spacing w:after="0" w:line="252" w:lineRule="auto"/>
              <w:jc w:val="left"/>
            </w:pPr>
            <w:r>
              <w:rPr>
                <w:rFonts w:ascii="Calibri" w:hAnsi="Calibri"/>
                <w:color w:val="1E293B"/>
                <w:sz w:val="18"/>
              </w:rPr>
              <w:t>Insert a return check and guard or early exit using the documented success condition.</w:t>
            </w:r>
          </w:p>
        </w:tc>
      </w:tr>
      <w:tr>
        <w:trPr>
          <w:cantSplit/>
        </w:trPr>
        <w:tc>
          <w:tcPr>
            <w:tcW w:type="dxa" w:w="2448"/>
            <w:vAlign w:val="center"/>
          </w:tcPr>
          <w:p>
            <w:pPr>
              <w:spacing w:after="0" w:line="252" w:lineRule="auto"/>
              <w:jc w:val="left"/>
            </w:pPr>
            <w:r>
              <w:rPr>
                <w:rFonts w:ascii="Calibri" w:hAnsi="Calibri"/>
                <w:color w:val="1E293B"/>
                <w:sz w:val="18"/>
              </w:rPr>
              <w:t>Invalid use state</w:t>
            </w:r>
          </w:p>
        </w:tc>
        <w:tc>
          <w:tcPr>
            <w:tcW w:type="dxa" w:w="6912"/>
            <w:vAlign w:val="center"/>
          </w:tcPr>
          <w:p>
            <w:pPr>
              <w:spacing w:after="0" w:line="252" w:lineRule="auto"/>
              <w:jc w:val="left"/>
            </w:pPr>
            <w:r>
              <w:rPr>
                <w:rFonts w:ascii="Calibri" w:hAnsi="Calibri"/>
                <w:color w:val="1E293B"/>
                <w:sz w:val="18"/>
              </w:rPr>
              <w:t>Guard or relocate the call to a program point where the required state holds.</w:t>
            </w:r>
          </w:p>
        </w:tc>
      </w:tr>
      <w:tr>
        <w:trPr>
          <w:cantSplit/>
        </w:trPr>
        <w:tc>
          <w:tcPr>
            <w:tcW w:type="dxa" w:w="2448"/>
            <w:vAlign w:val="center"/>
          </w:tcPr>
          <w:p>
            <w:pPr>
              <w:spacing w:after="0" w:line="252" w:lineRule="auto"/>
              <w:jc w:val="left"/>
            </w:pPr>
            <w:r>
              <w:rPr>
                <w:rFonts w:ascii="Calibri" w:hAnsi="Calibri"/>
                <w:color w:val="1E293B"/>
                <w:sz w:val="18"/>
              </w:rPr>
              <w:t>Missing cleanup</w:t>
            </w:r>
          </w:p>
        </w:tc>
        <w:tc>
          <w:tcPr>
            <w:tcW w:type="dxa" w:w="6912"/>
            <w:vAlign w:val="center"/>
          </w:tcPr>
          <w:p>
            <w:pPr>
              <w:spacing w:after="0" w:line="252" w:lineRule="auto"/>
              <w:jc w:val="left"/>
            </w:pPr>
            <w:r>
              <w:rPr>
                <w:rFonts w:ascii="Calibri" w:hAnsi="Calibri"/>
                <w:color w:val="1E293B"/>
                <w:sz w:val="18"/>
              </w:rPr>
              <w:t>Insert the required release on the affected analyzer-consistent exit path.</w:t>
            </w:r>
          </w:p>
        </w:tc>
      </w:tr>
      <w:tr>
        <w:trPr>
          <w:cantSplit/>
        </w:trPr>
        <w:tc>
          <w:tcPr>
            <w:tcW w:type="dxa" w:w="2448"/>
            <w:vAlign w:val="center"/>
          </w:tcPr>
          <w:p>
            <w:pPr>
              <w:spacing w:after="0" w:line="252" w:lineRule="auto"/>
              <w:jc w:val="left"/>
            </w:pPr>
            <w:r>
              <w:rPr>
                <w:rFonts w:ascii="Calibri" w:hAnsi="Calibri"/>
                <w:color w:val="1E293B"/>
                <w:sz w:val="18"/>
              </w:rPr>
              <w:t>Double/invalid release</w:t>
            </w:r>
          </w:p>
        </w:tc>
        <w:tc>
          <w:tcPr>
            <w:tcW w:type="dxa" w:w="6912"/>
            <w:vAlign w:val="center"/>
          </w:tcPr>
          <w:p>
            <w:pPr>
              <w:spacing w:after="0" w:line="252" w:lineRule="auto"/>
              <w:jc w:val="left"/>
            </w:pPr>
            <w:r>
              <w:rPr>
                <w:rFonts w:ascii="Calibri" w:hAnsi="Calibri"/>
                <w:color w:val="1E293B"/>
                <w:sz w:val="18"/>
              </w:rPr>
              <w:t>Remove or guard the duplicate release; target API calls may not be deleted to silence findings.</w:t>
            </w:r>
          </w:p>
        </w:tc>
      </w:tr>
      <w:tr>
        <w:trPr>
          <w:cantSplit/>
        </w:trPr>
        <w:tc>
          <w:tcPr>
            <w:tcW w:type="dxa" w:w="2448"/>
            <w:vAlign w:val="center"/>
          </w:tcPr>
          <w:p>
            <w:pPr>
              <w:spacing w:after="0" w:line="252" w:lineRule="auto"/>
              <w:jc w:val="left"/>
            </w:pPr>
            <w:r>
              <w:rPr>
                <w:rFonts w:ascii="Calibri" w:hAnsi="Calibri"/>
                <w:color w:val="1E293B"/>
                <w:sz w:val="18"/>
              </w:rPr>
              <w:t>Scattered cleanup</w:t>
            </w:r>
          </w:p>
        </w:tc>
        <w:tc>
          <w:tcPr>
            <w:tcW w:type="dxa" w:w="6912"/>
            <w:vAlign w:val="center"/>
          </w:tcPr>
          <w:p>
            <w:pPr>
              <w:spacing w:after="0" w:line="252" w:lineRule="auto"/>
              <w:jc w:val="left"/>
            </w:pPr>
            <w:r>
              <w:rPr>
                <w:rFonts w:ascii="Calibri" w:hAnsi="Calibri"/>
                <w:color w:val="1E293B"/>
                <w:sz w:val="18"/>
              </w:rPr>
              <w:t>Create a unified cleanup exit only when ownership and input-dependency gates remain satisfied.</w:t>
            </w:r>
          </w:p>
        </w:tc>
      </w:tr>
      <w:tr>
        <w:trPr>
          <w:cantSplit/>
        </w:trPr>
        <w:tc>
          <w:tcPr>
            <w:tcW w:type="dxa" w:w="2448"/>
            <w:vAlign w:val="center"/>
          </w:tcPr>
          <w:p>
            <w:pPr>
              <w:spacing w:after="0" w:line="252" w:lineRule="auto"/>
              <w:jc w:val="left"/>
            </w:pPr>
            <w:r>
              <w:rPr>
                <w:rFonts w:ascii="Calibri" w:hAnsi="Calibri"/>
                <w:color w:val="1E293B"/>
                <w:sz w:val="18"/>
              </w:rPr>
              <w:t>Ownership transfer</w:t>
            </w:r>
          </w:p>
        </w:tc>
        <w:tc>
          <w:tcPr>
            <w:tcW w:type="dxa" w:w="6912"/>
            <w:vAlign w:val="center"/>
          </w:tcPr>
          <w:p>
            <w:pPr>
              <w:spacing w:after="0" w:line="252" w:lineRule="auto"/>
              <w:jc w:val="left"/>
            </w:pPr>
            <w:r>
              <w:rPr>
                <w:rFonts w:ascii="Calibri" w:hAnsi="Calibri"/>
                <w:color w:val="1E293B"/>
                <w:sz w:val="18"/>
              </w:rPr>
              <w:t>Suppress caller release or introduce the correct owner-specific release according to frozen evidence.</w:t>
            </w:r>
          </w:p>
        </w:tc>
      </w:tr>
    </w:tbl>
    <w:p>
      <w:pPr>
        <w:spacing w:after="40"/>
      </w:pPr>
    </w:p>
    <w:p>
      <w:pPr>
        <w:spacing w:before="0" w:after="120" w:line="300" w:lineRule="auto"/>
        <w:jc w:val="both"/>
      </w:pPr>
      <w:r>
        <w:rPr>
          <w:rFonts w:ascii="Calibri" w:hAnsi="Calibri"/>
          <w:b/>
          <w:color w:val="1E293B"/>
          <w:sz w:val="22"/>
        </w:rPr>
        <w:t>Stage B starts only after Gate V. It uses every eligible confirmed natural defect if 20–40 are available; if more than 40 exist, a seeded stratified sample of 40 is drawn by library, category, and MUST/MAY status; if fewer than 20 exist, every eligible defect is evaluated but no confirmatory repair-superiority claim is made. The transformation families, selection order, five gates, and minimality order are preregistered before Stage A. Implementation is debugged only on synthetic/zlib cases, frozen, and then applied to quarantined held-out repair cases. A candidate is accepted only when all five mandatory conditions hold:</w:t>
      </w:r>
    </w:p>
    <w:p>
      <w:pPr>
        <w:spacing w:after="80" w:line="290" w:lineRule="auto"/>
        <w:ind w:left="540" w:hanging="279"/>
        <w:numPr>
          <w:ilvl w:val="0"/>
          <w:numId w:val="14"/>
        </w:numPr>
      </w:pPr>
      <w:r>
        <w:rPr>
          <w:rFonts w:ascii="Calibri" w:hAnsi="Calibri"/>
          <w:color w:val="1E293B"/>
          <w:sz w:val="22"/>
        </w:rPr>
        <w:t>the repaired driver compiles successfully under the pinned build configuration;</w:t>
      </w:r>
    </w:p>
    <w:p>
      <w:pPr>
        <w:spacing w:after="80" w:line="290" w:lineRule="auto"/>
        <w:ind w:left="540" w:hanging="279"/>
        <w:numPr>
          <w:ilvl w:val="0"/>
          <w:numId w:val="14"/>
        </w:numPr>
      </w:pPr>
      <w:r>
        <w:rPr>
          <w:rFonts w:ascii="Calibri" w:hAnsi="Calibri"/>
          <w:color w:val="1E293B"/>
          <w:sz w:val="22"/>
        </w:rPr>
        <w:t>the original adjudicated defect is removed;</w:t>
      </w:r>
    </w:p>
    <w:p>
      <w:pPr>
        <w:spacing w:after="80" w:line="290" w:lineRule="auto"/>
        <w:ind w:left="540" w:hanging="279"/>
        <w:numPr>
          <w:ilvl w:val="0"/>
          <w:numId w:val="14"/>
        </w:numPr>
      </w:pPr>
      <w:r>
        <w:rPr>
          <w:rFonts w:ascii="Calibri" w:hAnsi="Calibri"/>
          <w:color w:val="1E293B"/>
          <w:sz w:val="22"/>
        </w:rPr>
        <w:t>no new MUST or MAY protocol violation is introduced;</w:t>
      </w:r>
    </w:p>
    <w:p>
      <w:pPr>
        <w:spacing w:after="80" w:line="290" w:lineRule="auto"/>
        <w:ind w:left="540" w:hanging="279"/>
        <w:numPr>
          <w:ilvl w:val="0"/>
          <w:numId w:val="14"/>
        </w:numPr>
      </w:pPr>
      <w:r>
        <w:rPr>
          <w:rFonts w:ascii="Calibri" w:hAnsi="Calibri"/>
          <w:color w:val="1E293B"/>
          <w:sz w:val="22"/>
        </w:rPr>
        <w:t>the required target API remains statically and dynamically reachable under the bounded validation protocol; and</w:t>
      </w:r>
    </w:p>
    <w:p>
      <w:pPr>
        <w:spacing w:after="80" w:line="290" w:lineRule="auto"/>
        <w:ind w:left="540" w:hanging="279"/>
        <w:numPr>
          <w:ilvl w:val="0"/>
          <w:numId w:val="14"/>
        </w:numPr>
      </w:pPr>
      <w:r>
        <w:rPr>
          <w:rFonts w:ascii="Calibri" w:hAnsi="Calibri"/>
          <w:color w:val="1E293B"/>
          <w:sz w:val="22"/>
        </w:rPr>
        <w:t>the original fuzz-input dependency to target arguments is preserved under the declared dependency check.</w:t>
      </w:r>
    </w:p>
    <w:p>
      <w:pPr>
        <w:spacing w:before="0" w:after="120" w:line="300" w:lineRule="auto"/>
        <w:jc w:val="both"/>
      </w:pPr>
      <w:r>
        <w:rPr>
          <w:rFonts w:ascii="Calibri" w:hAnsi="Calibri"/>
          <w:i w:val="0"/>
          <w:color w:val="1E293B"/>
          <w:sz w:val="22"/>
        </w:rPr>
        <w:t>Sanitizer-clean bounded execution and independent manual review are additional validation evidence. Failure of any mandatory condition rejects the patch. Among accepted candidates, minimality is lexicographic over: AST edit operations, changed source lines, token edit distance, newly introduced CFG nodes, and distance from the witness site. Removal of a required target API is prohibited. The term minimal therefore means minimal within the frozen deterministic candidate set, not globally minimal program repair.</w:t>
      </w:r>
    </w:p>
    <w:p>
      <w:pPr>
        <w:pStyle w:val="Heading2"/>
        <w:keepNext/>
      </w:pPr>
      <w:r>
        <w:t>7.9 Repair baselines</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376"/>
        <w:gridCol w:w="6984"/>
      </w:tblGrid>
      <w:tr>
        <w:trPr>
          <w:tblHeader w:val="true"/>
          <w:cantSplit/>
        </w:trPr>
        <w:tc>
          <w:tcPr>
            <w:tcW w:type="dxa" w:w="2376"/>
            <w:tcMar>
              <w:top w:w="80" w:type="dxa"/>
              <w:start w:w="120" w:type="dxa"/>
              <w:bottom w:w="80" w:type="dxa"/>
              <w:end w:w="120" w:type="dxa"/>
            </w:tcMar>
            <w:shd w:fill="F4F6F9"/>
            <w:vAlign w:val="center"/>
          </w:tcPr>
          <w:p>
            <w:pPr>
              <w:spacing w:after="0" w:line="240" w:lineRule="auto"/>
              <w:jc w:val="center"/>
            </w:pPr>
            <w:r>
              <w:rPr>
                <w:rFonts w:ascii="Calibri" w:hAnsi="Calibri"/>
                <w:b/>
                <w:color w:val="1F4D78"/>
                <w:sz w:val="18"/>
              </w:rPr>
              <w:t>Repair condition</w:t>
            </w:r>
          </w:p>
        </w:tc>
        <w:tc>
          <w:tcPr>
            <w:tcW w:type="dxa" w:w="6984"/>
            <w:tcMar>
              <w:top w:w="80" w:type="dxa"/>
              <w:start w:w="120" w:type="dxa"/>
              <w:bottom w:w="80" w:type="dxa"/>
              <w:end w:w="120" w:type="dxa"/>
            </w:tcMar>
            <w:shd w:fill="F4F6F9"/>
            <w:vAlign w:val="center"/>
          </w:tcPr>
          <w:p>
            <w:pPr>
              <w:spacing w:after="0" w:line="240" w:lineRule="auto"/>
              <w:jc w:val="center"/>
            </w:pPr>
            <w:r>
              <w:rPr>
                <w:rFonts w:ascii="Calibri" w:hAnsi="Calibri"/>
                <w:b/>
                <w:color w:val="1F4D78"/>
                <w:sz w:val="18"/>
              </w:rPr>
              <w:t>Input and role</w:t>
            </w:r>
          </w:p>
        </w:tc>
      </w:tr>
      <w:tr>
        <w:trPr>
          <w:cantSplit/>
        </w:trPr>
        <w:tc>
          <w:tcPr>
            <w:tcW w:type="dxa" w:w="2376"/>
            <w:vAlign w:val="center"/>
          </w:tcPr>
          <w:p>
            <w:pPr>
              <w:spacing w:after="0" w:line="252" w:lineRule="auto"/>
              <w:jc w:val="left"/>
            </w:pPr>
            <w:r>
              <w:rPr>
                <w:rFonts w:ascii="Calibri" w:hAnsi="Calibri"/>
                <w:color w:val="1E293B"/>
                <w:sz w:val="18"/>
              </w:rPr>
              <w:t>No repair</w:t>
            </w:r>
          </w:p>
        </w:tc>
        <w:tc>
          <w:tcPr>
            <w:tcW w:type="dxa" w:w="6984"/>
            <w:vAlign w:val="center"/>
          </w:tcPr>
          <w:p>
            <w:pPr>
              <w:spacing w:after="0" w:line="252" w:lineRule="auto"/>
              <w:jc w:val="left"/>
            </w:pPr>
            <w:r>
              <w:rPr>
                <w:rFonts w:ascii="Calibri" w:hAnsi="Calibri"/>
                <w:color w:val="1E293B"/>
                <w:sz w:val="18"/>
              </w:rPr>
              <w:t>Original defective driver; establishes build, runtime, reachability, and behavior baseline.</w:t>
            </w:r>
          </w:p>
        </w:tc>
      </w:tr>
      <w:tr>
        <w:trPr>
          <w:cantSplit/>
        </w:trPr>
        <w:tc>
          <w:tcPr>
            <w:tcW w:type="dxa" w:w="2376"/>
            <w:vAlign w:val="center"/>
          </w:tcPr>
          <w:p>
            <w:pPr>
              <w:spacing w:after="0" w:line="252" w:lineRule="auto"/>
              <w:jc w:val="left"/>
            </w:pPr>
            <w:r>
              <w:rPr>
                <w:rFonts w:ascii="Calibri" w:hAnsi="Calibri"/>
                <w:color w:val="1E293B"/>
                <w:sz w:val="18"/>
              </w:rPr>
              <w:t>Generic LLM repair</w:t>
            </w:r>
          </w:p>
        </w:tc>
        <w:tc>
          <w:tcPr>
            <w:tcW w:type="dxa" w:w="6984"/>
            <w:vAlign w:val="center"/>
          </w:tcPr>
          <w:p>
            <w:pPr>
              <w:spacing w:after="0" w:line="252" w:lineRule="auto"/>
              <w:jc w:val="left"/>
            </w:pPr>
            <w:r>
              <w:rPr>
                <w:rFonts w:ascii="Calibri" w:hAnsi="Calibri"/>
                <w:color w:val="1E293B"/>
                <w:sz w:val="18"/>
              </w:rPr>
              <w:t>Source plus a generic instruction to correct API misuse using Model B only; no SemanticVerify-Fuzz evidence.</w:t>
            </w:r>
          </w:p>
        </w:tc>
      </w:tr>
      <w:tr>
        <w:trPr>
          <w:cantSplit/>
        </w:trPr>
        <w:tc>
          <w:tcPr>
            <w:tcW w:type="dxa" w:w="2376"/>
            <w:vAlign w:val="center"/>
          </w:tcPr>
          <w:p>
            <w:pPr>
              <w:spacing w:after="0" w:line="252" w:lineRule="auto"/>
              <w:jc w:val="left"/>
            </w:pPr>
            <w:r>
              <w:rPr>
                <w:rFonts w:ascii="Calibri" w:hAnsi="Calibri"/>
                <w:color w:val="1E293B"/>
                <w:sz w:val="18"/>
              </w:rPr>
              <w:t>Feedback-driven LLM repair</w:t>
            </w:r>
          </w:p>
        </w:tc>
        <w:tc>
          <w:tcPr>
            <w:tcW w:type="dxa" w:w="6984"/>
            <w:vAlign w:val="center"/>
          </w:tcPr>
          <w:p>
            <w:pPr>
              <w:spacing w:after="0" w:line="252" w:lineRule="auto"/>
              <w:jc w:val="left"/>
            </w:pPr>
            <w:r>
              <w:rPr>
                <w:rFonts w:ascii="Calibri" w:hAnsi="Calibri"/>
                <w:color w:val="1E293B"/>
                <w:sz w:val="18"/>
              </w:rPr>
              <w:t>Source plus the same frozen structured evidence available to deterministic repair, using Model B only.</w:t>
            </w:r>
          </w:p>
        </w:tc>
      </w:tr>
      <w:tr>
        <w:trPr>
          <w:cantSplit/>
        </w:trPr>
        <w:tc>
          <w:tcPr>
            <w:tcW w:type="dxa" w:w="2376"/>
            <w:vAlign w:val="center"/>
          </w:tcPr>
          <w:p>
            <w:pPr>
              <w:spacing w:after="0" w:line="252" w:lineRule="auto"/>
              <w:jc w:val="left"/>
            </w:pPr>
            <w:r>
              <w:rPr>
                <w:rFonts w:ascii="Calibri" w:hAnsi="Calibri"/>
                <w:color w:val="1E293B"/>
                <w:sz w:val="18"/>
              </w:rPr>
              <w:t>SemanticVerify-Fuzz</w:t>
            </w:r>
          </w:p>
        </w:tc>
        <w:tc>
          <w:tcPr>
            <w:tcW w:type="dxa" w:w="6984"/>
            <w:vAlign w:val="center"/>
          </w:tcPr>
          <w:p>
            <w:pPr>
              <w:spacing w:after="0" w:line="252" w:lineRule="auto"/>
              <w:jc w:val="left"/>
            </w:pPr>
            <w:r>
              <w:rPr>
                <w:rFonts w:ascii="Calibri" w:hAnsi="Calibri"/>
                <w:color w:val="1E293B"/>
                <w:sz w:val="18"/>
              </w:rPr>
              <w:t>Frozen deterministic template selection and acceptance pipeline.</w:t>
            </w:r>
          </w:p>
        </w:tc>
      </w:tr>
    </w:tbl>
    <w:p>
      <w:pPr>
        <w:spacing w:after="40"/>
      </w:pPr>
    </w:p>
    <w:p>
      <w:pPr>
        <w:spacing w:before="0" w:after="120" w:line="300" w:lineRule="auto"/>
        <w:jc w:val="both"/>
      </w:pPr>
      <w:r>
        <w:rPr>
          <w:rFonts w:ascii="Calibri" w:hAnsi="Calibri"/>
          <w:i w:val="0"/>
          <w:color w:val="1E293B"/>
          <w:sz w:val="22"/>
        </w:rPr>
        <w:t>The controlled LLM reviewer and both LLM repair baselines use only Model B (`gemini-3.1-flash-lite`) to avoid adding a third model or an uncontrolled cost dimension. Each repair baseline uses a frozen system/user prompt, JSON schema, temperature 0.2, top-p 1.0 where supported, minimum-thinking mode, three runs per defect, fixed retry/failure handling, and complete token/cost records. Per-attempt and best-of-three acceptance are separated. All four repair conditions are scored by the same five gates and reviewers.</w:t>
      </w:r>
    </w:p>
    <w:p>
      <w:pPr>
        <w:pStyle w:val="Heading2"/>
        <w:keepNext/>
      </w:pPr>
      <w:r>
        <w:t>7.10 Dynamic evidence and behavior preservation</w:t>
      </w:r>
    </w:p>
    <w:p>
      <w:pPr>
        <w:spacing w:before="0" w:after="120" w:line="300" w:lineRule="auto"/>
        <w:jc w:val="both"/>
      </w:pPr>
      <w:r>
        <w:rPr>
          <w:rFonts w:ascii="Calibri" w:hAnsi="Calibri"/>
          <w:i w:val="0"/>
          <w:color w:val="1E293B"/>
          <w:sz w:val="22"/>
        </w:rPr>
        <w:t>Dynamic checks are complementary. They can show that a target API is reached, that a sanitizer fires, or that a particular input executes a witness path; they cannot establish the absence of an API-protocol defect on unexecuted paths. The dynamic protocol therefore records runner, sanitizer versions, input corpus, time budget, timeouts, crashes, leaks, reached target functions, and coverage. A no-crash result is reported as no observed runtime failure within the budget, never as protocol-valid.</w:t>
      </w:r>
    </w:p>
    <w:p>
      <w:pPr>
        <w:spacing w:before="0" w:after="120" w:line="300" w:lineRule="auto"/>
        <w:jc w:val="both"/>
      </w:pPr>
      <w:r>
        <w:rPr>
          <w:rFonts w:ascii="Calibri" w:hAnsi="Calibri"/>
          <w:i w:val="0"/>
          <w:color w:val="1E293B"/>
          <w:sz w:val="22"/>
        </w:rPr>
        <w:t>Behavior preservation is evaluated through required-API retention, target reachability, preservation of fuzz-input dependence, API-sequence similarity, line/branch coverage change, reachable-function differences, and sanitizer outcomes. Coverage is a preservation measure, not a claimed contribution or proof of semantic correctness.</w:t>
      </w:r>
    </w:p>
    <w:p>
      <w:pPr>
        <w:pStyle w:val="Heading2"/>
        <w:keepNext/>
      </w:pPr>
      <w:r>
        <w:t>7.11 Sample-size rules and low-frequency defects</w:t>
      </w:r>
    </w:p>
    <w:p>
      <w:pPr>
        <w:spacing w:before="0" w:after="120" w:line="300" w:lineRule="auto"/>
        <w:jc w:val="both"/>
      </w:pPr>
      <w:r>
        <w:rPr>
          <w:rFonts w:ascii="Calibri" w:hAnsi="Calibri"/>
          <w:i w:val="0"/>
          <w:color w:val="1E293B"/>
          <w:sz w:val="22"/>
        </w:rPr>
        <w:t>The fixed 800-attempt generation budget and up-to-140-driver gold sample are the sample-size commitments; neither expands after outcomes are seen. Before generation, a simulation-based clustered power curve is frozen for plausible defect prevalence (5–20%), driver/library intra-cluster correlation (0.01–0.10), and paired detector discordance (5–20%). The minimum detectable improvement at 80% power is reported. If held-out data contain fewer than 30 positive obligations or fewer than five positive libraries, confirmatory sensitivity/superiority claims are withheld. Categories with fewer than 10 positives receive counts and exact intervals only. RQ4 independently requires at least 20 eligible natural defects and is capped at 40.</w:t>
      </w:r>
    </w:p>
    <w:p>
      <w:pPr>
        <w:spacing w:before="0" w:after="120" w:line="300" w:lineRule="auto"/>
        <w:jc w:val="both"/>
      </w:pPr>
      <w:r>
        <w:rPr>
          <w:rFonts w:ascii="Calibri" w:hAnsi="Calibri"/>
          <w:i w:val="0"/>
          <w:color w:val="1E293B"/>
          <w:sz w:val="22"/>
        </w:rPr>
        <w:t>Artificial mutations are designed before held-out scoring and are used only to exercise rule coverage, boundary conditions, and repair templates. They are reported in a separate experiment and never mixed with natural prevalence, natural accuracy denominators, or claims about how often LLMs make a defect.</w:t>
      </w:r>
    </w:p>
    <w:p>
      <w:pPr>
        <w:pStyle w:val="Heading2"/>
        <w:keepNext/>
      </w:pPr>
      <w:r>
        <w:t>7.12 Statistical analysis</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944"/>
        <w:gridCol w:w="7416"/>
      </w:tblGrid>
      <w:tr>
        <w:trPr>
          <w:tblHeader w:val="true"/>
          <w:cantSplit/>
        </w:trPr>
        <w:tc>
          <w:tcPr>
            <w:tcW w:type="dxa" w:w="1944"/>
            <w:tcMar>
              <w:top w:w="80" w:type="dxa"/>
              <w:start w:w="120" w:type="dxa"/>
              <w:bottom w:w="80" w:type="dxa"/>
              <w:end w:w="120" w:type="dxa"/>
            </w:tcMar>
            <w:shd w:fill="F4F6F9"/>
            <w:vAlign w:val="center"/>
          </w:tcPr>
          <w:p>
            <w:pPr>
              <w:spacing w:after="0" w:line="240" w:lineRule="auto"/>
              <w:jc w:val="center"/>
            </w:pPr>
            <w:r>
              <w:rPr>
                <w:rFonts w:ascii="Calibri" w:hAnsi="Calibri"/>
                <w:b/>
                <w:color w:val="1F4D78"/>
                <w:sz w:val="17"/>
              </w:rPr>
              <w:t>Analysis element</w:t>
            </w:r>
          </w:p>
        </w:tc>
        <w:tc>
          <w:tcPr>
            <w:tcW w:type="dxa" w:w="7416"/>
            <w:tcMar>
              <w:top w:w="80" w:type="dxa"/>
              <w:start w:w="120" w:type="dxa"/>
              <w:bottom w:w="80" w:type="dxa"/>
              <w:end w:w="120" w:type="dxa"/>
            </w:tcMar>
            <w:shd w:fill="F4F6F9"/>
            <w:vAlign w:val="center"/>
          </w:tcPr>
          <w:p>
            <w:pPr>
              <w:spacing w:after="0" w:line="240" w:lineRule="auto"/>
              <w:jc w:val="center"/>
            </w:pPr>
            <w:r>
              <w:rPr>
                <w:rFonts w:ascii="Calibri" w:hAnsi="Calibri"/>
                <w:b/>
                <w:color w:val="1F4D78"/>
                <w:sz w:val="17"/>
              </w:rPr>
              <w:t>Predefined rule</w:t>
            </w:r>
          </w:p>
        </w:tc>
      </w:tr>
      <w:tr>
        <w:trPr>
          <w:cantSplit/>
        </w:trPr>
        <w:tc>
          <w:tcPr>
            <w:tcW w:type="dxa" w:w="1944"/>
            <w:vAlign w:val="center"/>
          </w:tcPr>
          <w:p>
            <w:pPr>
              <w:spacing w:after="0" w:line="252" w:lineRule="auto"/>
              <w:jc w:val="left"/>
            </w:pPr>
            <w:r>
              <w:rPr>
                <w:rFonts w:ascii="Calibri" w:hAnsi="Calibri"/>
                <w:color w:val="1E293B"/>
                <w:sz w:val="17"/>
              </w:rPr>
              <w:t>Primary accuracy endpoint</w:t>
            </w:r>
          </w:p>
        </w:tc>
        <w:tc>
          <w:tcPr>
            <w:tcW w:type="dxa" w:w="7416"/>
            <w:vAlign w:val="center"/>
          </w:tcPr>
          <w:p>
            <w:pPr>
              <w:spacing w:after="0" w:line="252" w:lineRule="auto"/>
              <w:jc w:val="left"/>
            </w:pPr>
            <w:r>
              <w:rPr>
                <w:rFonts w:ascii="Calibri" w:hAnsi="Calibri"/>
                <w:color w:val="1E293B"/>
                <w:sz w:val="17"/>
              </w:rPr>
              <w:t>Held-out library-macro obligation F1 for VALID versus VIOLATION; UNKNOWN is incorrect. Raw paths are evidence only.</w:t>
            </w:r>
          </w:p>
        </w:tc>
      </w:tr>
      <w:tr>
        <w:trPr>
          <w:cantSplit/>
        </w:trPr>
        <w:tc>
          <w:tcPr>
            <w:tcW w:type="dxa" w:w="1944"/>
            <w:vAlign w:val="center"/>
          </w:tcPr>
          <w:p>
            <w:pPr>
              <w:spacing w:after="0" w:line="252" w:lineRule="auto"/>
              <w:jc w:val="left"/>
            </w:pPr>
            <w:r>
              <w:rPr>
                <w:rFonts w:ascii="Calibri" w:hAnsi="Calibri"/>
                <w:color w:val="1E293B"/>
                <w:sz w:val="17"/>
              </w:rPr>
              <w:t>Clustering</w:t>
            </w:r>
          </w:p>
        </w:tc>
        <w:tc>
          <w:tcPr>
            <w:tcW w:type="dxa" w:w="7416"/>
            <w:vAlign w:val="center"/>
          </w:tcPr>
          <w:p>
            <w:pPr>
              <w:spacing w:after="0" w:line="252" w:lineRule="auto"/>
              <w:jc w:val="left"/>
            </w:pPr>
            <w:r>
              <w:rPr>
                <w:rFonts w:ascii="Calibri" w:hAnsi="Calibri"/>
                <w:color w:val="1E293B"/>
                <w:sz w:val="17"/>
              </w:rPr>
              <w:t>Resample drivers, not calls or paths. Bootstrap drivers within each library stratum for 2,000 replicates.</w:t>
            </w:r>
          </w:p>
        </w:tc>
      </w:tr>
      <w:tr>
        <w:trPr>
          <w:cantSplit/>
        </w:trPr>
        <w:tc>
          <w:tcPr>
            <w:tcW w:type="dxa" w:w="1944"/>
            <w:vAlign w:val="center"/>
          </w:tcPr>
          <w:p>
            <w:pPr>
              <w:spacing w:after="0" w:line="252" w:lineRule="auto"/>
              <w:jc w:val="left"/>
            </w:pPr>
            <w:r>
              <w:rPr>
                <w:rFonts w:ascii="Calibri" w:hAnsi="Calibri"/>
                <w:color w:val="1E293B"/>
                <w:sz w:val="17"/>
              </w:rPr>
              <w:t>Aggregation</w:t>
            </w:r>
          </w:p>
        </w:tc>
        <w:tc>
          <w:tcPr>
            <w:tcW w:type="dxa" w:w="7416"/>
            <w:vAlign w:val="center"/>
          </w:tcPr>
          <w:p>
            <w:pPr>
              <w:spacing w:after="0" w:line="252" w:lineRule="auto"/>
              <w:jc w:val="left"/>
            </w:pPr>
            <w:r>
              <w:rPr>
                <w:rFonts w:ascii="Calibri" w:hAnsi="Calibri"/>
                <w:color w:val="1E293B"/>
                <w:sz w:val="17"/>
              </w:rPr>
              <w:t>Micro averages pool eligible obligations; macro averages give equal weight to libraries. Both are reported.</w:t>
            </w:r>
          </w:p>
        </w:tc>
      </w:tr>
      <w:tr>
        <w:trPr>
          <w:cantSplit/>
        </w:trPr>
        <w:tc>
          <w:tcPr>
            <w:tcW w:type="dxa" w:w="1944"/>
            <w:vAlign w:val="center"/>
          </w:tcPr>
          <w:p>
            <w:pPr>
              <w:spacing w:after="0" w:line="252" w:lineRule="auto"/>
              <w:jc w:val="left"/>
            </w:pPr>
            <w:r>
              <w:rPr>
                <w:rFonts w:ascii="Calibri" w:hAnsi="Calibri"/>
                <w:color w:val="1E293B"/>
                <w:sz w:val="17"/>
              </w:rPr>
              <w:t>Sparse outcomes</w:t>
            </w:r>
          </w:p>
        </w:tc>
        <w:tc>
          <w:tcPr>
            <w:tcW w:type="dxa" w:w="7416"/>
            <w:vAlign w:val="center"/>
          </w:tcPr>
          <w:p>
            <w:pPr>
              <w:spacing w:after="0" w:line="252" w:lineRule="auto"/>
              <w:jc w:val="left"/>
            </w:pPr>
            <w:r>
              <w:rPr>
                <w:rFonts w:ascii="Calibri" w:hAnsi="Calibri"/>
                <w:color w:val="1E293B"/>
                <w:sz w:val="17"/>
              </w:rPr>
              <w:t>Exact intervals and counts; frozen clustered power curve; report the minimum detectable effect; suppress unstable claims without expanding the sample.</w:t>
            </w:r>
          </w:p>
        </w:tc>
      </w:tr>
      <w:tr>
        <w:trPr>
          <w:cantSplit/>
        </w:trPr>
        <w:tc>
          <w:tcPr>
            <w:tcW w:type="dxa" w:w="1944"/>
            <w:vAlign w:val="center"/>
          </w:tcPr>
          <w:p>
            <w:pPr>
              <w:spacing w:after="0" w:line="252" w:lineRule="auto"/>
              <w:jc w:val="left"/>
            </w:pPr>
            <w:r>
              <w:rPr>
                <w:rFonts w:ascii="Calibri" w:hAnsi="Calibri"/>
                <w:color w:val="1E293B"/>
                <w:sz w:val="17"/>
              </w:rPr>
              <w:t>Paired comparisons</w:t>
            </w:r>
          </w:p>
        </w:tc>
        <w:tc>
          <w:tcPr>
            <w:tcW w:type="dxa" w:w="7416"/>
            <w:vAlign w:val="center"/>
          </w:tcPr>
          <w:p>
            <w:pPr>
              <w:spacing w:after="0" w:line="252" w:lineRule="auto"/>
              <w:jc w:val="left"/>
            </w:pPr>
            <w:r>
              <w:rPr>
                <w:rFonts w:ascii="Calibri" w:hAnsi="Calibri"/>
                <w:color w:val="1E293B"/>
                <w:sz w:val="17"/>
              </w:rPr>
              <w:t>Primary: driver-cluster bootstrap difference in held-out library-macro F1 for full versus path-insensitive verification; paired repair differences are post-Gate-V and secondary.</w:t>
            </w:r>
          </w:p>
        </w:tc>
      </w:tr>
      <w:tr>
        <w:trPr>
          <w:cantSplit/>
        </w:trPr>
        <w:tc>
          <w:tcPr>
            <w:tcW w:type="dxa" w:w="1944"/>
            <w:vAlign w:val="center"/>
          </w:tcPr>
          <w:p>
            <w:pPr>
              <w:spacing w:after="0" w:line="252" w:lineRule="auto"/>
              <w:jc w:val="left"/>
            </w:pPr>
            <w:r>
              <w:rPr>
                <w:rFonts w:ascii="Calibri" w:hAnsi="Calibri"/>
                <w:color w:val="1E293B"/>
                <w:sz w:val="17"/>
              </w:rPr>
              <w:t>Uncertainty</w:t>
            </w:r>
          </w:p>
        </w:tc>
        <w:tc>
          <w:tcPr>
            <w:tcW w:type="dxa" w:w="7416"/>
            <w:vAlign w:val="center"/>
          </w:tcPr>
          <w:p>
            <w:pPr>
              <w:spacing w:after="0" w:line="252" w:lineRule="auto"/>
              <w:jc w:val="left"/>
            </w:pPr>
            <w:r>
              <w:rPr>
                <w:rFonts w:ascii="Calibri" w:hAnsi="Calibri"/>
                <w:color w:val="1E293B"/>
                <w:sz w:val="17"/>
              </w:rPr>
              <w:t>UNKNOWN scored incorrect in primary F1; also report decision coverage, causes, decided-case accuracy, and pessimistic sensitivity bounds.</w:t>
            </w:r>
          </w:p>
        </w:tc>
      </w:tr>
      <w:tr>
        <w:trPr>
          <w:cantSplit/>
        </w:trPr>
        <w:tc>
          <w:tcPr>
            <w:tcW w:type="dxa" w:w="1944"/>
            <w:vAlign w:val="center"/>
          </w:tcPr>
          <w:p>
            <w:pPr>
              <w:spacing w:after="0" w:line="252" w:lineRule="auto"/>
              <w:jc w:val="left"/>
            </w:pPr>
            <w:r>
              <w:rPr>
                <w:rFonts w:ascii="Calibri" w:hAnsi="Calibri"/>
                <w:color w:val="1E293B"/>
                <w:sz w:val="17"/>
              </w:rPr>
              <w:t>Significance</w:t>
            </w:r>
          </w:p>
        </w:tc>
        <w:tc>
          <w:tcPr>
            <w:tcW w:type="dxa" w:w="7416"/>
            <w:vAlign w:val="center"/>
          </w:tcPr>
          <w:p>
            <w:pPr>
              <w:spacing w:after="0" w:line="252" w:lineRule="auto"/>
              <w:jc w:val="left"/>
            </w:pPr>
            <w:r>
              <w:rPr>
                <w:rFonts w:ascii="Calibri" w:hAnsi="Calibri"/>
                <w:color w:val="1E293B"/>
                <w:sz w:val="17"/>
              </w:rPr>
              <w:t>Two-sided α = 0.05 with effect sizes and 95% confidence intervals; multiplicity adjustment for planned family-wise ablations.</w:t>
            </w:r>
          </w:p>
        </w:tc>
      </w:tr>
      <w:tr>
        <w:trPr>
          <w:cantSplit/>
        </w:trPr>
        <w:tc>
          <w:tcPr>
            <w:tcW w:type="dxa" w:w="1944"/>
            <w:vAlign w:val="center"/>
          </w:tcPr>
          <w:p>
            <w:pPr>
              <w:spacing w:after="0" w:line="252" w:lineRule="auto"/>
              <w:jc w:val="left"/>
            </w:pPr>
            <w:r>
              <w:rPr>
                <w:rFonts w:ascii="Calibri" w:hAnsi="Calibri"/>
                <w:color w:val="1E293B"/>
                <w:sz w:val="17"/>
              </w:rPr>
              <w:t>Reporting</w:t>
            </w:r>
          </w:p>
        </w:tc>
        <w:tc>
          <w:tcPr>
            <w:tcW w:type="dxa" w:w="7416"/>
            <w:vAlign w:val="center"/>
          </w:tcPr>
          <w:p>
            <w:pPr>
              <w:spacing w:after="0" w:line="252" w:lineRule="auto"/>
              <w:jc w:val="left"/>
            </w:pPr>
            <w:r>
              <w:rPr>
                <w:rFonts w:ascii="Calibri" w:hAnsi="Calibri"/>
                <w:color w:val="1E293B"/>
                <w:sz w:val="17"/>
              </w:rPr>
              <w:t>Per library/model/scenario/category; weighted prevalence; validation versus held-out; macro/micro summaries; frozen power curve and minimum detectable effect.</w:t>
            </w:r>
          </w:p>
        </w:tc>
      </w:tr>
    </w:tbl>
    <w:p>
      <w:pPr>
        <w:spacing w:after="40"/>
      </w:pPr>
    </w:p>
    <w:p>
      <w:pPr>
        <w:pStyle w:val="Heading1"/>
        <w:keepNext/>
      </w:pPr>
      <w:r>
        <w:t>8. Mapping of Research Questions to Evidence</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792"/>
        <w:gridCol w:w="3096"/>
        <w:gridCol w:w="3240"/>
        <w:gridCol w:w="2232"/>
      </w:tblGrid>
      <w:tr>
        <w:trPr>
          <w:tblHeader w:val="true"/>
          <w:cantSplit/>
        </w:trPr>
        <w:tc>
          <w:tcPr>
            <w:tcW w:type="dxa" w:w="792"/>
            <w:tcMar>
              <w:top w:w="80" w:type="dxa"/>
              <w:start w:w="120" w:type="dxa"/>
              <w:bottom w:w="80" w:type="dxa"/>
              <w:end w:w="120" w:type="dxa"/>
            </w:tcMar>
            <w:shd w:fill="F4F6F9"/>
            <w:vAlign w:val="center"/>
          </w:tcPr>
          <w:p>
            <w:pPr>
              <w:spacing w:after="0" w:line="240" w:lineRule="auto"/>
              <w:jc w:val="center"/>
            </w:pPr>
            <w:r>
              <w:rPr>
                <w:rFonts w:ascii="Calibri" w:hAnsi="Calibri"/>
                <w:b/>
                <w:color w:val="1F4D78"/>
                <w:sz w:val="16"/>
              </w:rPr>
              <w:t>RQ</w:t>
            </w:r>
          </w:p>
        </w:tc>
        <w:tc>
          <w:tcPr>
            <w:tcW w:type="dxa" w:w="3096"/>
            <w:tcMar>
              <w:top w:w="80" w:type="dxa"/>
              <w:start w:w="120" w:type="dxa"/>
              <w:bottom w:w="80" w:type="dxa"/>
              <w:end w:w="120" w:type="dxa"/>
            </w:tcMar>
            <w:shd w:fill="F4F6F9"/>
            <w:vAlign w:val="center"/>
          </w:tcPr>
          <w:p>
            <w:pPr>
              <w:spacing w:after="0" w:line="240" w:lineRule="auto"/>
              <w:jc w:val="center"/>
            </w:pPr>
            <w:r>
              <w:rPr>
                <w:rFonts w:ascii="Calibri" w:hAnsi="Calibri"/>
                <w:b/>
                <w:color w:val="1F4D78"/>
                <w:sz w:val="16"/>
              </w:rPr>
              <w:t>Evidence set</w:t>
            </w:r>
          </w:p>
        </w:tc>
        <w:tc>
          <w:tcPr>
            <w:tcW w:type="dxa" w:w="3240"/>
            <w:tcMar>
              <w:top w:w="80" w:type="dxa"/>
              <w:start w:w="120" w:type="dxa"/>
              <w:bottom w:w="80" w:type="dxa"/>
              <w:end w:w="120" w:type="dxa"/>
            </w:tcMar>
            <w:shd w:fill="F4F6F9"/>
            <w:vAlign w:val="center"/>
          </w:tcPr>
          <w:p>
            <w:pPr>
              <w:spacing w:after="0" w:line="240" w:lineRule="auto"/>
              <w:jc w:val="center"/>
            </w:pPr>
            <w:r>
              <w:rPr>
                <w:rFonts w:ascii="Calibri" w:hAnsi="Calibri"/>
                <w:b/>
                <w:color w:val="1F4D78"/>
                <w:sz w:val="16"/>
              </w:rPr>
              <w:t>Primary outputs</w:t>
            </w:r>
          </w:p>
        </w:tc>
        <w:tc>
          <w:tcPr>
            <w:tcW w:type="dxa" w:w="2232"/>
            <w:tcMar>
              <w:top w:w="80" w:type="dxa"/>
              <w:start w:w="120" w:type="dxa"/>
              <w:bottom w:w="80" w:type="dxa"/>
              <w:end w:w="120" w:type="dxa"/>
            </w:tcMar>
            <w:shd w:fill="F4F6F9"/>
            <w:vAlign w:val="center"/>
          </w:tcPr>
          <w:p>
            <w:pPr>
              <w:spacing w:after="0" w:line="240" w:lineRule="auto"/>
              <w:jc w:val="center"/>
            </w:pPr>
            <w:r>
              <w:rPr>
                <w:rFonts w:ascii="Calibri" w:hAnsi="Calibri"/>
                <w:b/>
                <w:color w:val="1F4D78"/>
                <w:sz w:val="16"/>
              </w:rPr>
              <w:t>Claim guard</w:t>
            </w:r>
          </w:p>
        </w:tc>
      </w:tr>
      <w:tr>
        <w:trPr>
          <w:cantSplit/>
        </w:trPr>
        <w:tc>
          <w:tcPr>
            <w:tcW w:type="dxa" w:w="792"/>
            <w:vAlign w:val="center"/>
          </w:tcPr>
          <w:p>
            <w:pPr>
              <w:spacing w:after="0" w:line="252" w:lineRule="auto"/>
              <w:jc w:val="left"/>
            </w:pPr>
            <w:r>
              <w:rPr>
                <w:rFonts w:ascii="Calibri" w:hAnsi="Calibri"/>
                <w:color w:val="1E293B"/>
                <w:sz w:val="16"/>
              </w:rPr>
              <w:t>RQ1</w:t>
            </w:r>
          </w:p>
        </w:tc>
        <w:tc>
          <w:tcPr>
            <w:tcW w:type="dxa" w:w="3096"/>
            <w:vAlign w:val="center"/>
          </w:tcPr>
          <w:p>
            <w:pPr>
              <w:spacing w:after="0" w:line="252" w:lineRule="auto"/>
              <w:jc w:val="left"/>
            </w:pPr>
            <w:r>
              <w:rPr>
                <w:rFonts w:ascii="Calibri" w:hAnsi="Calibri"/>
                <w:color w:val="1E293B"/>
                <w:sz w:val="16"/>
              </w:rPr>
              <w:t>All 800 attempts for compilation flow; weighted up-to-140 compilable-driver sample for natural prevalence</w:t>
            </w:r>
          </w:p>
        </w:tc>
        <w:tc>
          <w:tcPr>
            <w:tcW w:type="dxa" w:w="3240"/>
            <w:vAlign w:val="center"/>
          </w:tcPr>
          <w:p>
            <w:pPr>
              <w:spacing w:after="0" w:line="252" w:lineRule="auto"/>
              <w:jc w:val="left"/>
            </w:pPr>
            <w:r>
              <w:rPr>
                <w:rFonts w:ascii="Calibri" w:hAnsi="Calibri"/>
                <w:color w:val="1E293B"/>
                <w:sz w:val="16"/>
              </w:rPr>
              <w:t>Compilation rate; weighted prevalence; defects per driver; category/model/library/scenario distribution</w:t>
            </w:r>
          </w:p>
        </w:tc>
        <w:tc>
          <w:tcPr>
            <w:tcW w:type="dxa" w:w="2232"/>
            <w:vAlign w:val="center"/>
          </w:tcPr>
          <w:p>
            <w:pPr>
              <w:spacing w:after="0" w:line="252" w:lineRule="auto"/>
              <w:jc w:val="left"/>
            </w:pPr>
            <w:r>
              <w:rPr>
                <w:rFonts w:ascii="Calibri" w:hAnsi="Calibri"/>
                <w:color w:val="1E293B"/>
                <w:sz w:val="16"/>
              </w:rPr>
              <w:t>No prevalence claim from mutations; zlib development reported separately.</w:t>
            </w:r>
          </w:p>
        </w:tc>
      </w:tr>
      <w:tr>
        <w:trPr>
          <w:cantSplit/>
        </w:trPr>
        <w:tc>
          <w:tcPr>
            <w:tcW w:type="dxa" w:w="792"/>
            <w:vAlign w:val="center"/>
          </w:tcPr>
          <w:p>
            <w:pPr>
              <w:spacing w:after="0" w:line="252" w:lineRule="auto"/>
              <w:jc w:val="left"/>
            </w:pPr>
            <w:r>
              <w:rPr>
                <w:rFonts w:ascii="Calibri" w:hAnsi="Calibri"/>
                <w:color w:val="1E293B"/>
                <w:sz w:val="16"/>
              </w:rPr>
              <w:t>RQ2</w:t>
            </w:r>
          </w:p>
        </w:tc>
        <w:tc>
          <w:tcPr>
            <w:tcW w:type="dxa" w:w="3096"/>
            <w:vAlign w:val="center"/>
          </w:tcPr>
          <w:p>
            <w:pPr>
              <w:spacing w:after="0" w:line="252" w:lineRule="auto"/>
              <w:jc w:val="left"/>
            </w:pPr>
            <w:r>
              <w:rPr>
                <w:rFonts w:ascii="Calibri" w:hAnsi="Calibri"/>
                <w:color w:val="1E293B"/>
                <w:sz w:val="16"/>
              </w:rPr>
              <w:t>Blind normalized-obligation labels</w:t>
            </w:r>
          </w:p>
        </w:tc>
        <w:tc>
          <w:tcPr>
            <w:tcW w:type="dxa" w:w="3240"/>
            <w:vAlign w:val="center"/>
          </w:tcPr>
          <w:p>
            <w:pPr>
              <w:spacing w:after="0" w:line="252" w:lineRule="auto"/>
              <w:jc w:val="left"/>
            </w:pPr>
            <w:r>
              <w:rPr>
                <w:rFonts w:ascii="Calibri" w:hAnsi="Calibri"/>
                <w:color w:val="1E293B"/>
                <w:sz w:val="16"/>
              </w:rPr>
              <w:t>Primary library-macro obligation F1 with UNKNOWN incorrect; precision/coverage guards; defect/driver metrics and unknown causes</w:t>
            </w:r>
          </w:p>
        </w:tc>
        <w:tc>
          <w:tcPr>
            <w:tcW w:type="dxa" w:w="2232"/>
            <w:vAlign w:val="center"/>
          </w:tcPr>
          <w:p>
            <w:pPr>
              <w:spacing w:after="0" w:line="252" w:lineRule="auto"/>
              <w:jc w:val="left"/>
            </w:pPr>
            <w:r>
              <w:rPr>
                <w:rFonts w:ascii="Calibri" w:hAnsi="Calibri"/>
                <w:color w:val="1E293B"/>
                <w:sz w:val="16"/>
              </w:rPr>
              <w:t>Six held-out libraries primary; validation separate; clustered power and minimum-positive rules apply.</w:t>
            </w:r>
          </w:p>
        </w:tc>
      </w:tr>
      <w:tr>
        <w:trPr>
          <w:cantSplit/>
        </w:trPr>
        <w:tc>
          <w:tcPr>
            <w:tcW w:type="dxa" w:w="792"/>
            <w:vAlign w:val="center"/>
          </w:tcPr>
          <w:p>
            <w:pPr>
              <w:spacing w:after="0" w:line="252" w:lineRule="auto"/>
              <w:jc w:val="left"/>
            </w:pPr>
            <w:r>
              <w:rPr>
                <w:rFonts w:ascii="Calibri" w:hAnsi="Calibri"/>
                <w:color w:val="1E293B"/>
                <w:sz w:val="16"/>
              </w:rPr>
              <w:t>RQ3</w:t>
            </w:r>
          </w:p>
        </w:tc>
        <w:tc>
          <w:tcPr>
            <w:tcW w:type="dxa" w:w="3096"/>
            <w:vAlign w:val="center"/>
          </w:tcPr>
          <w:p>
            <w:pPr>
              <w:spacing w:after="0" w:line="252" w:lineRule="auto"/>
              <w:jc w:val="left"/>
            </w:pPr>
            <w:r>
              <w:rPr>
                <w:rFonts w:ascii="Calibri" w:hAnsi="Calibri"/>
                <w:color w:val="1E293B"/>
                <w:sz w:val="16"/>
              </w:rPr>
              <w:t>Matched full/ablated analyzers plus complementary runtime evidence</w:t>
            </w:r>
          </w:p>
        </w:tc>
        <w:tc>
          <w:tcPr>
            <w:tcW w:type="dxa" w:w="3240"/>
            <w:vAlign w:val="center"/>
          </w:tcPr>
          <w:p>
            <w:pPr>
              <w:spacing w:after="0" w:line="252" w:lineRule="auto"/>
              <w:jc w:val="left"/>
            </w:pPr>
            <w:r>
              <w:rPr>
                <w:rFonts w:ascii="Calibri" w:hAnsi="Calibri"/>
                <w:color w:val="1E293B"/>
                <w:sz w:val="16"/>
              </w:rPr>
              <w:t>Cluster-aware paired differences and localized error review</w:t>
            </w:r>
          </w:p>
        </w:tc>
        <w:tc>
          <w:tcPr>
            <w:tcW w:type="dxa" w:w="2232"/>
            <w:vAlign w:val="center"/>
          </w:tcPr>
          <w:p>
            <w:pPr>
              <w:spacing w:after="0" w:line="252" w:lineRule="auto"/>
              <w:jc w:val="left"/>
            </w:pPr>
            <w:r>
              <w:rPr>
                <w:rFonts w:ascii="Calibri" w:hAnsi="Calibri"/>
                <w:color w:val="1E293B"/>
                <w:sz w:val="16"/>
              </w:rPr>
              <w:t>Primary paired full-versus-path-insensitive comparison; one removed mechanism at a time for supporting ablations.</w:t>
            </w:r>
          </w:p>
        </w:tc>
      </w:tr>
      <w:tr>
        <w:trPr>
          <w:cantSplit/>
        </w:trPr>
        <w:tc>
          <w:tcPr>
            <w:tcW w:type="dxa" w:w="792"/>
            <w:vAlign w:val="center"/>
          </w:tcPr>
          <w:p>
            <w:pPr>
              <w:spacing w:after="0" w:line="252" w:lineRule="auto"/>
              <w:jc w:val="left"/>
            </w:pPr>
            <w:r>
              <w:rPr>
                <w:rFonts w:ascii="Calibri" w:hAnsi="Calibri"/>
                <w:color w:val="1E293B"/>
                <w:sz w:val="16"/>
              </w:rPr>
              <w:t>RQ4</w:t>
            </w:r>
          </w:p>
        </w:tc>
        <w:tc>
          <w:tcPr>
            <w:tcW w:type="dxa" w:w="3096"/>
            <w:vAlign w:val="center"/>
          </w:tcPr>
          <w:p>
            <w:pPr>
              <w:spacing w:after="0" w:line="252" w:lineRule="auto"/>
              <w:jc w:val="left"/>
            </w:pPr>
            <w:r>
              <w:rPr>
                <w:rFonts w:ascii="Calibri" w:hAnsi="Calibri"/>
                <w:color w:val="1E293B"/>
                <w:sz w:val="16"/>
              </w:rPr>
              <w:t>Post-Gate-V eligible natural defects (minimum 20 for confirmation; stratified cap 40); mutations separate</w:t>
            </w:r>
          </w:p>
        </w:tc>
        <w:tc>
          <w:tcPr>
            <w:tcW w:type="dxa" w:w="3240"/>
            <w:vAlign w:val="center"/>
          </w:tcPr>
          <w:p>
            <w:pPr>
              <w:spacing w:after="0" w:line="252" w:lineRule="auto"/>
              <w:jc w:val="left"/>
            </w:pPr>
            <w:r>
              <w:rPr>
                <w:rFonts w:ascii="Calibri" w:hAnsi="Calibri"/>
                <w:color w:val="1E293B"/>
                <w:sz w:val="16"/>
              </w:rPr>
              <w:t>Five-gate acceptance, minimality vector, behavior preservation, baseline comparison</w:t>
            </w:r>
          </w:p>
        </w:tc>
        <w:tc>
          <w:tcPr>
            <w:tcW w:type="dxa" w:w="2232"/>
            <w:vAlign w:val="center"/>
          </w:tcPr>
          <w:p>
            <w:pPr>
              <w:spacing w:after="0" w:line="252" w:lineRule="auto"/>
              <w:jc w:val="left"/>
            </w:pPr>
            <w:r>
              <w:rPr>
                <w:rFonts w:ascii="Calibri" w:hAnsi="Calibri"/>
                <w:color w:val="1E293B"/>
                <w:sz w:val="16"/>
              </w:rPr>
              <w:t>Same gates for every condition; no repair-to-verification backflow; descriptive if fewer than 20 cases.</w:t>
            </w:r>
          </w:p>
        </w:tc>
      </w:tr>
      <w:tr>
        <w:trPr>
          <w:cantSplit/>
        </w:trPr>
        <w:tc>
          <w:tcPr>
            <w:tcW w:type="dxa" w:w="792"/>
            <w:vAlign w:val="center"/>
          </w:tcPr>
          <w:p>
            <w:pPr>
              <w:spacing w:after="0" w:line="252" w:lineRule="auto"/>
              <w:jc w:val="left"/>
            </w:pPr>
            <w:r>
              <w:rPr>
                <w:rFonts w:ascii="Calibri" w:hAnsi="Calibri"/>
                <w:color w:val="1E293B"/>
                <w:sz w:val="16"/>
              </w:rPr>
              <w:t>RQ5</w:t>
            </w:r>
          </w:p>
        </w:tc>
        <w:tc>
          <w:tcPr>
            <w:tcW w:type="dxa" w:w="3096"/>
            <w:vAlign w:val="center"/>
          </w:tcPr>
          <w:p>
            <w:pPr>
              <w:spacing w:after="0" w:line="252" w:lineRule="auto"/>
              <w:jc w:val="left"/>
            </w:pPr>
            <w:r>
              <w:rPr>
                <w:rFonts w:ascii="Calibri" w:hAnsi="Calibri"/>
                <w:color w:val="1E293B"/>
                <w:sz w:val="16"/>
              </w:rPr>
              <w:t>Final frozen engine on six held-out library specifications</w:t>
            </w:r>
          </w:p>
        </w:tc>
        <w:tc>
          <w:tcPr>
            <w:tcW w:type="dxa" w:w="3240"/>
            <w:vAlign w:val="center"/>
          </w:tcPr>
          <w:p>
            <w:pPr>
              <w:spacing w:after="0" w:line="252" w:lineRule="auto"/>
              <w:jc w:val="left"/>
            </w:pPr>
            <w:r>
              <w:rPr>
                <w:rFonts w:ascii="Calibri" w:hAnsi="Calibri"/>
                <w:color w:val="1E293B"/>
                <w:sz w:val="16"/>
              </w:rPr>
              <w:t>Per-library and macro/micro accuracy, unknown rate, specification effort</w:t>
            </w:r>
          </w:p>
        </w:tc>
        <w:tc>
          <w:tcPr>
            <w:tcW w:type="dxa" w:w="2232"/>
            <w:vAlign w:val="center"/>
          </w:tcPr>
          <w:p>
            <w:pPr>
              <w:spacing w:after="0" w:line="252" w:lineRule="auto"/>
              <w:jc w:val="left"/>
            </w:pPr>
            <w:r>
              <w:rPr>
                <w:rFonts w:ascii="Calibri" w:hAnsi="Calibri"/>
                <w:color w:val="1E293B"/>
                <w:sz w:val="16"/>
              </w:rPr>
              <w:t>Transferability only; no specification-free generalization.</w:t>
            </w:r>
          </w:p>
        </w:tc>
      </w:tr>
    </w:tbl>
    <w:p>
      <w:pPr>
        <w:spacing w:after="40"/>
      </w:pPr>
    </w:p>
    <w:p>
      <w:pPr>
        <w:pStyle w:val="Heading1"/>
        <w:keepNext/>
      </w:pPr>
      <w:r>
        <w:t>9. Fresh-Start Research Boundary</w:t>
      </w:r>
    </w:p>
    <w:p>
      <w:pPr>
        <w:spacing w:before="0" w:after="120" w:line="300" w:lineRule="auto"/>
        <w:jc w:val="both"/>
      </w:pPr>
      <w:r>
        <w:t>This proposal defines a complete restart of SemanticVerify-Fuzz. No prior implementation, generated driver, protocol specification, annotation, pilot count, schema, repair, repository checkpoint, or experimental result is part of the proposed evidence base. Every protocol file, generation output, analyzer result, human label, repair candidate, runtime record, and statistical result used in the study will be created after the preregistration and freeze gates specified in this proposal.</w:t>
      </w:r>
    </w:p>
    <w:tbl>
      <w:tblPr>
        <w:tblW w:type="dxa" w:w="9360"/>
        <w:jc w:val="left"/>
        <w:tblLayout w:type="fixed"/>
        <w:tblLook w:firstColumn="1" w:firstRow="1" w:lastColumn="0" w:lastRow="0" w:noHBand="0" w:noVBand="1" w:val="04A0"/>
        <w:tblInd w:w="120" w:type="dxa"/>
        <w:tblBorders>
          <w:top w:val="single" w:sz="8" w:space="0" w:color="B7C9DE"/>
          <w:left w:val="single" w:sz="8" w:space="0" w:color="B7C9DE"/>
          <w:bottom w:val="single" w:sz="8" w:space="0" w:color="B7C9DE"/>
          <w:right w:val="single" w:sz="8" w:space="0" w:color="B7C9DE"/>
          <w:insideH w:val="single" w:sz="8" w:space="0" w:color="B7C9DE"/>
          <w:insideV w:val="single" w:sz="8" w:space="0" w:color="B7C9DE"/>
        </w:tblBorders>
      </w:tblPr>
      <w:tblGrid>
        <w:gridCol w:w="9360"/>
      </w:tblGrid>
      <w:tr>
        <w:trPr>
          <w:tblHeader w:val="true"/>
          <w:cantSplit/>
        </w:trPr>
        <w:tc>
          <w:tcPr>
            <w:tcW w:type="dxa" w:w="9360"/>
            <w:tcMar>
              <w:top w:w="80" w:type="dxa"/>
              <w:start w:w="120" w:type="dxa"/>
              <w:bottom w:w="80" w:type="dxa"/>
              <w:end w:w="120" w:type="dxa"/>
            </w:tcMar>
            <w:shd w:fill="E8EEF5"/>
            <w:vAlign w:val="center"/>
          </w:tcPr>
          <w:p>
            <w:pPr>
              <w:spacing w:after="0" w:line="283" w:lineRule="auto"/>
            </w:pPr>
            <w:r>
              <w:t>Zero-carry-over rule: Earlier work will not be used to author protocol rules, select thresholds, tune analysis bounds, choose repair templates, construct labels, populate baselines, estimate performance, or support novelty and effectiveness claims. All 800 attempts will be newly generated. Newly generated zlib data are development-only; libpcap is validation; the six final libraries remain held out under the stated freeze protocol.</w:t>
            </w:r>
          </w:p>
        </w:tc>
      </w:tr>
    </w:tbl>
    <w:p>
      <w:pPr>
        <w:spacing w:after="40"/>
      </w:pPr>
    </w:p>
    <w:p>
      <w:pPr>
        <w:pStyle w:val="Heading1"/>
        <w:keepNext/>
      </w:pPr>
      <w:r>
        <w:t>10. Expected Results and Testable Hypotheses</w:t>
      </w:r>
    </w:p>
    <w:p>
      <w:pPr>
        <w:spacing w:before="0" w:after="120" w:line="300" w:lineRule="auto"/>
        <w:jc w:val="both"/>
      </w:pPr>
      <w:r>
        <w:rPr>
          <w:rFonts w:ascii="Calibri" w:hAnsi="Calibri"/>
          <w:i w:val="0"/>
          <w:color w:val="1E293B"/>
          <w:sz w:val="22"/>
        </w:rPr>
        <w:t>The proposal does not assume that SemanticVerify-Fuzz will outperform every baseline. It tests whether explicit resource-state propagation and uncertainty-aware obligation reporting add measurable value under the declared scope. Failure to meet the minimum-positive rules or a high UNKNOWN rate is an informative result and will narrow the claims rather than being hidden.</w:t>
      </w:r>
    </w:p>
    <w:p>
      <w:pPr>
        <w:spacing w:after="80" w:line="290" w:lineRule="auto"/>
        <w:ind w:left="540" w:hanging="279"/>
        <w:numPr>
          <w:ilvl w:val="0"/>
          <w:numId w:val="10"/>
        </w:numPr>
      </w:pPr>
      <w:r>
        <w:rPr>
          <w:rFonts w:ascii="Calibri" w:hAnsi="Calibri"/>
          <w:color w:val="1E293B"/>
          <w:sz w:val="22"/>
        </w:rPr>
        <w:t>H1: Compilable outputs contain naturally occurring protocol defects across more than one held-out library and more than one defect family.</w:t>
      </w:r>
    </w:p>
    <w:p>
      <w:pPr>
        <w:spacing w:after="80" w:line="290" w:lineRule="auto"/>
        <w:ind w:left="540" w:hanging="279"/>
        <w:numPr>
          <w:ilvl w:val="0"/>
          <w:numId w:val="10"/>
        </w:numPr>
      </w:pPr>
      <w:r>
        <w:t>H2: The full verifier improves the primary held-out library-macro obligation F1 over the matched path-insensitive verifier with a driver-cluster bootstrap 95% confidence interval for the paired difference above zero, while precision remains at least 0.80 and decision coverage at least 0.75. QuartetFuzz and controlled-LLM comparisons are supporting evidence on faithfully shared subsets.</w:t>
      </w:r>
    </w:p>
    <w:p>
      <w:pPr>
        <w:spacing w:after="80" w:line="290" w:lineRule="auto"/>
        <w:ind w:left="540" w:hanging="279"/>
        <w:numPr>
          <w:ilvl w:val="0"/>
          <w:numId w:val="10"/>
        </w:numPr>
      </w:pPr>
      <w:r>
        <w:t>H3: Path sensitivity, return-value refinement, failure-path tracking, ownership effects, alias propagation, and equivalent-path normalization each explain a measurable subset of paired outcomes in the preregistered ablations.</w:t>
      </w:r>
    </w:p>
    <w:p>
      <w:pPr>
        <w:spacing w:after="80" w:line="290" w:lineRule="auto"/>
        <w:ind w:left="540" w:hanging="279"/>
        <w:numPr>
          <w:ilvl w:val="0"/>
          <w:numId w:val="10"/>
        </w:numPr>
      </w:pPr>
      <w:r>
        <w:t>H4: Explicit UNKNOWN outcomes reduce unsupported cases being presented as valid, and normalized witnesses reduce independent reviewer localization time relative to the controlled LLM and QuartetFuzz outputs on the shared subset.</w:t>
      </w:r>
    </w:p>
    <w:p>
      <w:pPr>
        <w:spacing w:after="80" w:line="290" w:lineRule="auto"/>
        <w:ind w:left="540" w:hanging="279"/>
        <w:numPr>
          <w:ilvl w:val="0"/>
          <w:numId w:val="10"/>
        </w:numPr>
      </w:pPr>
      <w:r>
        <w:t>H5: After Gate V and only when at least 20 eligible natural defects exist, witness-guided deterministic repair achieves a higher five-gate acceptance rate or a smaller preregistered minimality vector than generic and feedback-driven LLM repair; otherwise the result is descriptive.</w:t>
      </w:r>
    </w:p>
    <w:p>
      <w:pPr>
        <w:spacing w:after="80" w:line="290" w:lineRule="auto"/>
        <w:ind w:left="540" w:hanging="279"/>
        <w:numPr>
          <w:ilvl w:val="0"/>
          <w:numId w:val="10"/>
        </w:numPr>
      </w:pPr>
      <w:r>
        <w:t>H6: The frozen analysis engine retains useful held-out accuracy when only the provenance-controlled library specification changes, while specification effort and UNKNOWN rates remain transparent.</w:t>
      </w:r>
    </w:p>
    <w:p>
      <w:pPr>
        <w:pStyle w:val="Heading1"/>
        <w:keepNext/>
      </w:pPr>
      <w:r>
        <w:t>11. Threats to Validity and Mitigation</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512"/>
        <w:gridCol w:w="2952"/>
        <w:gridCol w:w="4896"/>
      </w:tblGrid>
      <w:tr>
        <w:trPr>
          <w:tblHeader w:val="true"/>
          <w:cantSplit/>
        </w:trPr>
        <w:tc>
          <w:tcPr>
            <w:tcW w:type="dxa" w:w="1512"/>
            <w:tcMar>
              <w:top w:w="80" w:type="dxa"/>
              <w:start w:w="120" w:type="dxa"/>
              <w:bottom w:w="80" w:type="dxa"/>
              <w:end w:w="120" w:type="dxa"/>
            </w:tcMar>
            <w:shd w:fill="F4F6F9"/>
            <w:vAlign w:val="center"/>
          </w:tcPr>
          <w:p>
            <w:pPr>
              <w:spacing w:after="0" w:line="240" w:lineRule="auto"/>
              <w:jc w:val="center"/>
            </w:pPr>
            <w:r>
              <w:rPr>
                <w:rFonts w:ascii="Calibri" w:hAnsi="Calibri"/>
                <w:b/>
                <w:color w:val="1F4D78"/>
                <w:sz w:val="15"/>
              </w:rPr>
              <w:t>Threat</w:t>
            </w:r>
          </w:p>
        </w:tc>
        <w:tc>
          <w:tcPr>
            <w:tcW w:type="dxa" w:w="2952"/>
            <w:tcMar>
              <w:top w:w="80" w:type="dxa"/>
              <w:start w:w="120" w:type="dxa"/>
              <w:bottom w:w="80" w:type="dxa"/>
              <w:end w:w="120" w:type="dxa"/>
            </w:tcMar>
            <w:shd w:fill="F4F6F9"/>
            <w:vAlign w:val="center"/>
          </w:tcPr>
          <w:p>
            <w:pPr>
              <w:spacing w:after="0" w:line="240" w:lineRule="auto"/>
              <w:jc w:val="center"/>
            </w:pPr>
            <w:r>
              <w:rPr>
                <w:rFonts w:ascii="Calibri" w:hAnsi="Calibri"/>
                <w:b/>
                <w:color w:val="1F4D78"/>
                <w:sz w:val="15"/>
              </w:rPr>
              <w:t>Risk</w:t>
            </w:r>
          </w:p>
        </w:tc>
        <w:tc>
          <w:tcPr>
            <w:tcW w:type="dxa" w:w="4896"/>
            <w:tcMar>
              <w:top w:w="80" w:type="dxa"/>
              <w:start w:w="120" w:type="dxa"/>
              <w:bottom w:w="80" w:type="dxa"/>
              <w:end w:w="120" w:type="dxa"/>
            </w:tcMar>
            <w:shd w:fill="F4F6F9"/>
            <w:vAlign w:val="center"/>
          </w:tcPr>
          <w:p>
            <w:pPr>
              <w:spacing w:after="0" w:line="240" w:lineRule="auto"/>
              <w:jc w:val="center"/>
            </w:pPr>
            <w:r>
              <w:rPr>
                <w:rFonts w:ascii="Calibri" w:hAnsi="Calibri"/>
                <w:b/>
                <w:color w:val="1F4D78"/>
                <w:sz w:val="15"/>
              </w:rPr>
              <w:t>Mitigation</w:t>
            </w:r>
          </w:p>
        </w:tc>
      </w:tr>
      <w:tr>
        <w:trPr>
          <w:cantSplit/>
        </w:trPr>
        <w:tc>
          <w:tcPr>
            <w:tcW w:type="dxa" w:w="1512"/>
            <w:vAlign w:val="center"/>
          </w:tcPr>
          <w:p>
            <w:pPr>
              <w:spacing w:after="0" w:line="252" w:lineRule="auto"/>
              <w:jc w:val="left"/>
            </w:pPr>
            <w:r>
              <w:rPr>
                <w:rFonts w:ascii="Calibri" w:hAnsi="Calibri"/>
                <w:color w:val="1E293B"/>
                <w:sz w:val="15"/>
              </w:rPr>
              <w:t>Innovation/construct</w:t>
            </w:r>
          </w:p>
        </w:tc>
        <w:tc>
          <w:tcPr>
            <w:tcW w:type="dxa" w:w="2952"/>
            <w:vAlign w:val="center"/>
          </w:tcPr>
          <w:p>
            <w:pPr>
              <w:spacing w:after="0" w:line="252" w:lineRule="auto"/>
              <w:jc w:val="left"/>
            </w:pPr>
            <w:r>
              <w:rPr>
                <w:rFonts w:ascii="Calibri" w:hAnsi="Calibri"/>
                <w:color w:val="1E293B"/>
                <w:sz w:val="15"/>
              </w:rPr>
              <w:t>The method could appear to recombine existing typestate and repair ideas.</w:t>
            </w:r>
          </w:p>
        </w:tc>
        <w:tc>
          <w:tcPr>
            <w:tcW w:type="dxa" w:w="4896"/>
            <w:vAlign w:val="center"/>
          </w:tcPr>
          <w:p>
            <w:pPr>
              <w:spacing w:after="0" w:line="252" w:lineRule="auto"/>
              <w:jc w:val="left"/>
            </w:pPr>
            <w:r>
              <w:t>Limit claims to fuzz-driver-specific obligations, the dedicated resource-state algorithm, explicit uncertainty, witness-guided constrained repair, and blind evaluation; preregister falsification conditions and withdraw unsupported novelty claims.</w:t>
            </w:r>
          </w:p>
        </w:tc>
      </w:tr>
      <w:tr>
        <w:trPr>
          <w:cantSplit/>
        </w:trPr>
        <w:tc>
          <w:tcPr>
            <w:tcW w:type="dxa" w:w="1512"/>
            <w:vAlign w:val="center"/>
          </w:tcPr>
          <w:p>
            <w:pPr>
              <w:spacing w:after="0" w:line="252" w:lineRule="auto"/>
              <w:jc w:val="left"/>
            </w:pPr>
            <w:r>
              <w:rPr>
                <w:rFonts w:ascii="Calibri" w:hAnsi="Calibri"/>
                <w:color w:val="1E293B"/>
                <w:sz w:val="15"/>
              </w:rPr>
              <w:t>QuartetFuzz comparison</w:t>
            </w:r>
          </w:p>
        </w:tc>
        <w:tc>
          <w:tcPr>
            <w:tcW w:type="dxa" w:w="2952"/>
            <w:vAlign w:val="center"/>
          </w:tcPr>
          <w:p>
            <w:pPr>
              <w:spacing w:after="0" w:line="252" w:lineRule="auto"/>
              <w:jc w:val="left"/>
            </w:pPr>
            <w:r>
              <w:rPr>
                <w:rFonts w:ascii="Calibri" w:hAnsi="Calibri"/>
                <w:color w:val="1E293B"/>
                <w:sz w:val="15"/>
              </w:rPr>
              <w:t>A conceptual comparison could misrepresent or under-test the closest work.</w:t>
            </w:r>
          </w:p>
        </w:tc>
        <w:tc>
          <w:tcPr>
            <w:tcW w:type="dxa" w:w="4896"/>
            <w:vAlign w:val="center"/>
          </w:tcPr>
          <w:p>
            <w:pPr>
              <w:spacing w:after="0" w:line="252" w:lineRule="auto"/>
              <w:jc w:val="left"/>
            </w:pPr>
            <w:r>
              <w:rPr>
                <w:rFonts w:ascii="Calibri" w:hAnsi="Calibri"/>
                <w:color w:val="1E293B"/>
                <w:sz w:val="15"/>
              </w:rPr>
              <w:t>Pin and run the public P2 artifact on a shared subset; log configuration and failures; omit numerical superiority if faithful execution is impossible.</w:t>
            </w:r>
          </w:p>
        </w:tc>
      </w:tr>
      <w:tr>
        <w:trPr>
          <w:cantSplit/>
        </w:trPr>
        <w:tc>
          <w:tcPr>
            <w:tcW w:type="dxa" w:w="1512"/>
            <w:vAlign w:val="center"/>
          </w:tcPr>
          <w:p>
            <w:pPr>
              <w:spacing w:after="0" w:line="252" w:lineRule="auto"/>
              <w:jc w:val="left"/>
            </w:pPr>
            <w:r>
              <w:rPr>
                <w:rFonts w:ascii="Calibri" w:hAnsi="Calibri"/>
                <w:color w:val="1E293B"/>
                <w:sz w:val="15"/>
              </w:rPr>
              <w:t>Specification leakage</w:t>
            </w:r>
          </w:p>
        </w:tc>
        <w:tc>
          <w:tcPr>
            <w:tcW w:type="dxa" w:w="2952"/>
            <w:vAlign w:val="center"/>
          </w:tcPr>
          <w:p>
            <w:pPr>
              <w:spacing w:after="0" w:line="252" w:lineRule="auto"/>
              <w:jc w:val="left"/>
            </w:pPr>
            <w:r>
              <w:rPr>
                <w:rFonts w:ascii="Calibri" w:hAnsi="Calibri"/>
                <w:color w:val="1E293B"/>
                <w:sz w:val="15"/>
              </w:rPr>
              <w:t>Held-out rules could be influenced by generated defects or analyzer output.</w:t>
            </w:r>
          </w:p>
        </w:tc>
        <w:tc>
          <w:tcPr>
            <w:tcW w:type="dxa" w:w="4896"/>
            <w:vAlign w:val="center"/>
          </w:tcPr>
          <w:p>
            <w:pPr>
              <w:spacing w:after="0" w:line="252" w:lineRule="auto"/>
              <w:jc w:val="left"/>
            </w:pPr>
            <w:r>
              <w:rPr>
                <w:rFonts w:ascii="Calibri" w:hAnsi="Calibri"/>
                <w:color w:val="1E293B"/>
                <w:sz w:val="15"/>
              </w:rPr>
              <w:t>Approved sources, provenance/digests, authors/dates, prohibited sources, independent review, and freeze before driver inspection.</w:t>
            </w:r>
          </w:p>
        </w:tc>
      </w:tr>
      <w:tr>
        <w:trPr>
          <w:cantSplit/>
        </w:trPr>
        <w:tc>
          <w:tcPr>
            <w:tcW w:type="dxa" w:w="1512"/>
            <w:vAlign w:val="center"/>
          </w:tcPr>
          <w:p>
            <w:pPr>
              <w:spacing w:after="0" w:line="252" w:lineRule="auto"/>
              <w:jc w:val="left"/>
            </w:pPr>
            <w:r>
              <w:rPr>
                <w:rFonts w:ascii="Calibri" w:hAnsi="Calibri"/>
                <w:color w:val="1E293B"/>
                <w:sz w:val="15"/>
              </w:rPr>
              <w:t>Specification error</w:t>
            </w:r>
          </w:p>
        </w:tc>
        <w:tc>
          <w:tcPr>
            <w:tcW w:type="dxa" w:w="2952"/>
            <w:vAlign w:val="center"/>
          </w:tcPr>
          <w:p>
            <w:pPr>
              <w:spacing w:after="0" w:line="252" w:lineRule="auto"/>
              <w:jc w:val="left"/>
            </w:pPr>
            <w:r>
              <w:rPr>
                <w:rFonts w:ascii="Calibri" w:hAnsi="Calibri"/>
                <w:color w:val="1E293B"/>
                <w:sz w:val="15"/>
              </w:rPr>
              <w:t>An incorrect rule could be counted as analyzer error or vice versa.</w:t>
            </w:r>
          </w:p>
        </w:tc>
        <w:tc>
          <w:tcPr>
            <w:tcW w:type="dxa" w:w="4896"/>
            <w:vAlign w:val="center"/>
          </w:tcPr>
          <w:p>
            <w:pPr>
              <w:spacing w:after="0" w:line="252" w:lineRule="auto"/>
              <w:jc w:val="left"/>
            </w:pPr>
            <w:r>
              <w:rPr>
                <w:rFonts w:ascii="Calibri" w:hAnsi="Calibri"/>
                <w:color w:val="1E293B"/>
                <w:sz w:val="15"/>
              </w:rPr>
              <w:t>Separate error taxonomy and retain original frozen results; corrections appear only as secondary analysis.</w:t>
            </w:r>
          </w:p>
        </w:tc>
      </w:tr>
      <w:tr>
        <w:trPr>
          <w:cantSplit/>
        </w:trPr>
        <w:tc>
          <w:tcPr>
            <w:tcW w:type="dxa" w:w="1512"/>
            <w:vAlign w:val="center"/>
          </w:tcPr>
          <w:p>
            <w:pPr>
              <w:spacing w:after="0" w:line="252" w:lineRule="auto"/>
              <w:jc w:val="left"/>
            </w:pPr>
            <w:r>
              <w:rPr>
                <w:rFonts w:ascii="Calibri" w:hAnsi="Calibri"/>
                <w:color w:val="1E293B"/>
                <w:sz w:val="15"/>
              </w:rPr>
              <w:t>Sampling bias</w:t>
            </w:r>
          </w:p>
        </w:tc>
        <w:tc>
          <w:tcPr>
            <w:tcW w:type="dxa" w:w="2952"/>
            <w:vAlign w:val="center"/>
          </w:tcPr>
          <w:p>
            <w:pPr>
              <w:spacing w:after="0" w:line="252" w:lineRule="auto"/>
              <w:jc w:val="left"/>
            </w:pPr>
            <w:r>
              <w:rPr>
                <w:rFonts w:ascii="Calibri" w:hAnsi="Calibri"/>
                <w:color w:val="1E293B"/>
                <w:sz w:val="15"/>
              </w:rPr>
              <w:t>Keeping only compilable drivers inflates apparent quality and hides model failure.</w:t>
            </w:r>
          </w:p>
        </w:tc>
        <w:tc>
          <w:tcPr>
            <w:tcW w:type="dxa" w:w="4896"/>
            <w:vAlign w:val="center"/>
          </w:tcPr>
          <w:p>
            <w:pPr>
              <w:spacing w:after="0" w:line="252" w:lineRule="auto"/>
              <w:jc w:val="left"/>
            </w:pPr>
            <w:r>
              <w:rPr>
                <w:rFonts w:ascii="Calibri" w:hAnsi="Calibri"/>
                <w:color w:val="1E293B"/>
                <w:sz w:val="15"/>
              </w:rPr>
              <w:t>Fixed 800 attempts; preserve all failures; report compilation flow and prevalence conditional on compilation.</w:t>
            </w:r>
          </w:p>
        </w:tc>
      </w:tr>
      <w:tr>
        <w:trPr>
          <w:cantSplit/>
        </w:trPr>
        <w:tc>
          <w:tcPr>
            <w:tcW w:type="dxa" w:w="1512"/>
            <w:vAlign w:val="center"/>
          </w:tcPr>
          <w:p>
            <w:pPr>
              <w:spacing w:after="0" w:line="252" w:lineRule="auto"/>
              <w:jc w:val="left"/>
            </w:pPr>
            <w:r>
              <w:rPr>
                <w:rFonts w:ascii="Calibri" w:hAnsi="Calibri"/>
                <w:color w:val="1E293B"/>
                <w:sz w:val="15"/>
              </w:rPr>
              <w:t>Rare positives</w:t>
            </w:r>
          </w:p>
        </w:tc>
        <w:tc>
          <w:tcPr>
            <w:tcW w:type="dxa" w:w="2952"/>
            <w:vAlign w:val="center"/>
          </w:tcPr>
          <w:p>
            <w:pPr>
              <w:spacing w:after="0" w:line="252" w:lineRule="auto"/>
              <w:jc w:val="left"/>
            </w:pPr>
            <w:r>
              <w:rPr>
                <w:rFonts w:ascii="Calibri" w:hAnsi="Calibri"/>
                <w:color w:val="1E293B"/>
                <w:sz w:val="15"/>
              </w:rPr>
              <w:t>Few natural defects yield unstable recall and category comparisons.</w:t>
            </w:r>
          </w:p>
        </w:tc>
        <w:tc>
          <w:tcPr>
            <w:tcW w:type="dxa" w:w="4896"/>
            <w:vAlign w:val="center"/>
          </w:tcPr>
          <w:p>
            <w:pPr>
              <w:spacing w:after="0" w:line="252" w:lineRule="auto"/>
              <w:jc w:val="left"/>
            </w:pPr>
            <w:r>
              <w:rPr>
                <w:rFonts w:ascii="Calibri" w:hAnsi="Calibri"/>
                <w:color w:val="1E293B"/>
                <w:sz w:val="15"/>
              </w:rPr>
              <w:t>Frozen clustered power curve, exact intervals, no post-hoc expansion, descriptive fallback, and separate 20-case/40-cap rule for repair.</w:t>
            </w:r>
          </w:p>
        </w:tc>
      </w:tr>
      <w:tr>
        <w:trPr>
          <w:cantSplit/>
        </w:trPr>
        <w:tc>
          <w:tcPr>
            <w:tcW w:type="dxa" w:w="1512"/>
            <w:vAlign w:val="center"/>
          </w:tcPr>
          <w:p>
            <w:pPr>
              <w:spacing w:after="0" w:line="252" w:lineRule="auto"/>
              <w:jc w:val="left"/>
            </w:pPr>
            <w:r>
              <w:rPr>
                <w:rFonts w:ascii="Calibri" w:hAnsi="Calibri"/>
                <w:color w:val="1E293B"/>
                <w:sz w:val="15"/>
              </w:rPr>
              <w:t>Path duplication</w:t>
            </w:r>
          </w:p>
        </w:tc>
        <w:tc>
          <w:tcPr>
            <w:tcW w:type="dxa" w:w="2952"/>
            <w:vAlign w:val="center"/>
          </w:tcPr>
          <w:p>
            <w:pPr>
              <w:spacing w:after="0" w:line="252" w:lineRule="auto"/>
              <w:jc w:val="left"/>
            </w:pPr>
            <w:r>
              <w:rPr>
                <w:rFonts w:ascii="Calibri" w:hAnsi="Calibri"/>
                <w:color w:val="1E293B"/>
                <w:sz w:val="15"/>
              </w:rPr>
              <w:t>Many similar CFG paths could create pseudo-replication.</w:t>
            </w:r>
          </w:p>
        </w:tc>
        <w:tc>
          <w:tcPr>
            <w:tcW w:type="dxa" w:w="4896"/>
            <w:vAlign w:val="center"/>
          </w:tcPr>
          <w:p>
            <w:pPr>
              <w:spacing w:after="0" w:line="252" w:lineRule="auto"/>
              <w:jc w:val="left"/>
            </w:pPr>
            <w:r>
              <w:rPr>
                <w:rFonts w:ascii="Calibri" w:hAnsi="Calibri"/>
                <w:color w:val="1E293B"/>
                <w:sz w:val="15"/>
              </w:rPr>
              <w:t>Normalized obligations merge equivalent paths; driver-level stratified bootstrap.</w:t>
            </w:r>
          </w:p>
        </w:tc>
      </w:tr>
      <w:tr>
        <w:trPr>
          <w:cantSplit/>
        </w:trPr>
        <w:tc>
          <w:tcPr>
            <w:tcW w:type="dxa" w:w="1512"/>
            <w:vAlign w:val="center"/>
          </w:tcPr>
          <w:p>
            <w:pPr>
              <w:spacing w:after="0" w:line="252" w:lineRule="auto"/>
              <w:jc w:val="left"/>
            </w:pPr>
            <w:r>
              <w:rPr>
                <w:rFonts w:ascii="Calibri" w:hAnsi="Calibri"/>
                <w:color w:val="1E293B"/>
                <w:sz w:val="15"/>
              </w:rPr>
              <w:t>Path feasibility</w:t>
            </w:r>
          </w:p>
        </w:tc>
        <w:tc>
          <w:tcPr>
            <w:tcW w:type="dxa" w:w="2952"/>
            <w:vAlign w:val="center"/>
          </w:tcPr>
          <w:p>
            <w:pPr>
              <w:spacing w:after="0" w:line="252" w:lineRule="auto"/>
              <w:jc w:val="left"/>
            </w:pPr>
            <w:r>
              <w:rPr>
                <w:rFonts w:ascii="Calibri" w:hAnsi="Calibri"/>
                <w:color w:val="1E293B"/>
                <w:sz w:val="15"/>
              </w:rPr>
              <w:t>Static analysis cannot prove general concrete feasibility.</w:t>
            </w:r>
          </w:p>
        </w:tc>
        <w:tc>
          <w:tcPr>
            <w:tcW w:type="dxa" w:w="4896"/>
            <w:vAlign w:val="center"/>
          </w:tcPr>
          <w:p>
            <w:pPr>
              <w:spacing w:after="0" w:line="252" w:lineRule="auto"/>
              <w:jc w:val="left"/>
            </w:pPr>
            <w:r>
              <w:rPr>
                <w:rFonts w:ascii="Calibri" w:hAnsi="Calibri"/>
                <w:color w:val="1E293B"/>
                <w:sz w:val="15"/>
              </w:rPr>
              <w:t>Use analyzer-consistent/abstractly feasible terminology and UNKNOWN for unsupported reasoning.</w:t>
            </w:r>
          </w:p>
        </w:tc>
      </w:tr>
      <w:tr>
        <w:trPr>
          <w:cantSplit/>
        </w:trPr>
        <w:tc>
          <w:tcPr>
            <w:tcW w:type="dxa" w:w="1512"/>
            <w:vAlign w:val="center"/>
          </w:tcPr>
          <w:p>
            <w:pPr>
              <w:spacing w:after="0" w:line="252" w:lineRule="auto"/>
              <w:jc w:val="left"/>
            </w:pPr>
            <w:r>
              <w:rPr>
                <w:rFonts w:ascii="Calibri" w:hAnsi="Calibri"/>
                <w:color w:val="1E293B"/>
                <w:sz w:val="15"/>
              </w:rPr>
              <w:t>Language scope</w:t>
            </w:r>
          </w:p>
        </w:tc>
        <w:tc>
          <w:tcPr>
            <w:tcW w:type="dxa" w:w="2952"/>
            <w:vAlign w:val="center"/>
          </w:tcPr>
          <w:p>
            <w:pPr>
              <w:spacing w:after="0" w:line="252" w:lineRule="auto"/>
              <w:jc w:val="left"/>
            </w:pPr>
            <w:r>
              <w:rPr>
                <w:rFonts w:ascii="Calibri" w:hAnsi="Calibri"/>
                <w:color w:val="1E293B"/>
                <w:sz w:val="15"/>
              </w:rPr>
              <w:t>C++ claims would exceed mostly C-style evaluation.</w:t>
            </w:r>
          </w:p>
        </w:tc>
        <w:tc>
          <w:tcPr>
            <w:tcW w:type="dxa" w:w="4896"/>
            <w:vAlign w:val="center"/>
          </w:tcPr>
          <w:p>
            <w:pPr>
              <w:spacing w:after="0" w:line="252" w:lineRule="auto"/>
              <w:jc w:val="left"/>
            </w:pPr>
            <w:r>
              <w:rPr>
                <w:rFonts w:ascii="Calibri" w:hAnsi="Calibri"/>
                <w:color w:val="1E293B"/>
                <w:sz w:val="15"/>
              </w:rPr>
              <w:t>Restrict to C libraries and C-compatible drivers; exclude general C++ semantics.</w:t>
            </w:r>
          </w:p>
        </w:tc>
      </w:tr>
      <w:tr>
        <w:trPr>
          <w:cantSplit/>
        </w:trPr>
        <w:tc>
          <w:tcPr>
            <w:tcW w:type="dxa" w:w="1512"/>
            <w:vAlign w:val="center"/>
          </w:tcPr>
          <w:p>
            <w:pPr>
              <w:spacing w:after="0" w:line="252" w:lineRule="auto"/>
              <w:jc w:val="left"/>
            </w:pPr>
            <w:r>
              <w:rPr>
                <w:rFonts w:ascii="Calibri" w:hAnsi="Calibri"/>
                <w:color w:val="1E293B"/>
                <w:sz w:val="15"/>
              </w:rPr>
              <w:t>Dynamic interpretation</w:t>
            </w:r>
          </w:p>
        </w:tc>
        <w:tc>
          <w:tcPr>
            <w:tcW w:type="dxa" w:w="2952"/>
            <w:vAlign w:val="center"/>
          </w:tcPr>
          <w:p>
            <w:pPr>
              <w:spacing w:after="0" w:line="252" w:lineRule="auto"/>
              <w:jc w:val="left"/>
            </w:pPr>
            <w:r>
              <w:rPr>
                <w:rFonts w:ascii="Calibri" w:hAnsi="Calibri"/>
                <w:color w:val="1E293B"/>
                <w:sz w:val="15"/>
              </w:rPr>
              <w:t>No sanitizer finding could be mistaken for semantic correctness.</w:t>
            </w:r>
          </w:p>
        </w:tc>
        <w:tc>
          <w:tcPr>
            <w:tcW w:type="dxa" w:w="4896"/>
            <w:vAlign w:val="center"/>
          </w:tcPr>
          <w:p>
            <w:pPr>
              <w:spacing w:after="0" w:line="252" w:lineRule="auto"/>
              <w:jc w:val="left"/>
            </w:pPr>
            <w:r>
              <w:rPr>
                <w:rFonts w:ascii="Calibri" w:hAnsi="Calibri"/>
                <w:color w:val="1E293B"/>
                <w:sz w:val="15"/>
              </w:rPr>
              <w:t>Describe runtime checks as complementary evidence and report reachability/budget explicitly.</w:t>
            </w:r>
          </w:p>
        </w:tc>
      </w:tr>
      <w:tr>
        <w:trPr>
          <w:cantSplit/>
        </w:trPr>
        <w:tc>
          <w:tcPr>
            <w:tcW w:type="dxa" w:w="1512"/>
            <w:vAlign w:val="center"/>
          </w:tcPr>
          <w:p>
            <w:pPr>
              <w:spacing w:after="0" w:line="252" w:lineRule="auto"/>
              <w:jc w:val="left"/>
            </w:pPr>
            <w:r>
              <w:rPr>
                <w:rFonts w:ascii="Calibri" w:hAnsi="Calibri"/>
                <w:color w:val="1E293B"/>
                <w:sz w:val="15"/>
              </w:rPr>
              <w:t>LLM reproducibility</w:t>
            </w:r>
          </w:p>
        </w:tc>
        <w:tc>
          <w:tcPr>
            <w:tcW w:type="dxa" w:w="2952"/>
            <w:vAlign w:val="center"/>
          </w:tcPr>
          <w:p>
            <w:pPr>
              <w:spacing w:after="0" w:line="252" w:lineRule="auto"/>
              <w:jc w:val="left"/>
            </w:pPr>
            <w:r>
              <w:rPr>
                <w:rFonts w:ascii="Calibri" w:hAnsi="Calibri"/>
                <w:color w:val="1E293B"/>
                <w:sz w:val="15"/>
              </w:rPr>
              <w:t>Model updates and nondeterminism can change results.</w:t>
            </w:r>
          </w:p>
        </w:tc>
        <w:tc>
          <w:tcPr>
            <w:tcW w:type="dxa" w:w="4896"/>
            <w:vAlign w:val="center"/>
          </w:tcPr>
          <w:p>
            <w:pPr>
              <w:spacing w:after="0" w:line="252" w:lineRule="auto"/>
              <w:jc w:val="left"/>
            </w:pPr>
            <w:r>
              <w:rPr>
                <w:rFonts w:ascii="Calibri" w:hAnsi="Calibri"/>
                <w:color w:val="1E293B"/>
                <w:sz w:val="15"/>
              </w:rPr>
              <w:t>Two low-cost API IDs and served versions, one frozen generation window, 10×5 scenarios, prompts/parameters, raw outputs, costs, and an immediate stop on served-version change.</w:t>
            </w:r>
          </w:p>
        </w:tc>
      </w:tr>
      <w:tr>
        <w:trPr>
          <w:cantSplit/>
        </w:trPr>
        <w:tc>
          <w:tcPr>
            <w:tcW w:type="dxa" w:w="1512"/>
            <w:vAlign w:val="center"/>
          </w:tcPr>
          <w:p>
            <w:pPr>
              <w:spacing w:after="0" w:line="252" w:lineRule="auto"/>
              <w:jc w:val="left"/>
            </w:pPr>
            <w:r>
              <w:rPr>
                <w:rFonts w:ascii="Calibri" w:hAnsi="Calibri"/>
                <w:color w:val="1E293B"/>
                <w:sz w:val="15"/>
              </w:rPr>
              <w:t>Repair gaming</w:t>
            </w:r>
          </w:p>
        </w:tc>
        <w:tc>
          <w:tcPr>
            <w:tcW w:type="dxa" w:w="2952"/>
            <w:vAlign w:val="center"/>
          </w:tcPr>
          <w:p>
            <w:pPr>
              <w:spacing w:after="0" w:line="252" w:lineRule="auto"/>
              <w:jc w:val="left"/>
            </w:pPr>
            <w:r>
              <w:rPr>
                <w:rFonts w:ascii="Calibri" w:hAnsi="Calibri"/>
                <w:color w:val="1E293B"/>
                <w:sz w:val="15"/>
              </w:rPr>
              <w:t>A patch can silence the checker by removing functionality.</w:t>
            </w:r>
          </w:p>
        </w:tc>
        <w:tc>
          <w:tcPr>
            <w:tcW w:type="dxa" w:w="4896"/>
            <w:vAlign w:val="center"/>
          </w:tcPr>
          <w:p>
            <w:pPr>
              <w:spacing w:after="0" w:line="252" w:lineRule="auto"/>
              <w:jc w:val="left"/>
            </w:pPr>
            <w:r>
              <w:rPr>
                <w:rFonts w:ascii="Calibri" w:hAnsi="Calibri"/>
                <w:color w:val="1E293B"/>
                <w:sz w:val="15"/>
              </w:rPr>
              <w:t>Gate V no-backflow, capped eligible set, five mandatory gates, API-retention prohibition, input-dependency check, independent review, and behavior measures.</w:t>
            </w:r>
          </w:p>
        </w:tc>
      </w:tr>
      <w:tr>
        <w:trPr>
          <w:cantSplit/>
        </w:trPr>
        <w:tc>
          <w:tcPr>
            <w:tcW w:type="dxa" w:w="1512"/>
            <w:vAlign w:val="center"/>
          </w:tcPr>
          <w:p>
            <w:pPr>
              <w:spacing w:after="0" w:line="252" w:lineRule="auto"/>
              <w:jc w:val="left"/>
            </w:pPr>
            <w:r>
              <w:rPr>
                <w:rFonts w:ascii="Calibri" w:hAnsi="Calibri"/>
                <w:color w:val="1E293B"/>
                <w:sz w:val="15"/>
              </w:rPr>
              <w:t>Clustering</w:t>
            </w:r>
          </w:p>
        </w:tc>
        <w:tc>
          <w:tcPr>
            <w:tcW w:type="dxa" w:w="2952"/>
            <w:vAlign w:val="center"/>
          </w:tcPr>
          <w:p>
            <w:pPr>
              <w:spacing w:after="0" w:line="252" w:lineRule="auto"/>
              <w:jc w:val="left"/>
            </w:pPr>
            <w:r>
              <w:rPr>
                <w:rFonts w:ascii="Calibri" w:hAnsi="Calibri"/>
                <w:color w:val="1E293B"/>
                <w:sz w:val="15"/>
              </w:rPr>
              <w:t>Calls within the same driver/library are dependent.</w:t>
            </w:r>
          </w:p>
        </w:tc>
        <w:tc>
          <w:tcPr>
            <w:tcW w:type="dxa" w:w="4896"/>
            <w:vAlign w:val="center"/>
          </w:tcPr>
          <w:p>
            <w:pPr>
              <w:spacing w:after="0" w:line="252" w:lineRule="auto"/>
              <w:jc w:val="left"/>
            </w:pPr>
            <w:r>
              <w:rPr>
                <w:rFonts w:ascii="Calibri" w:hAnsi="Calibri"/>
                <w:color w:val="1E293B"/>
                <w:sz w:val="15"/>
              </w:rPr>
              <w:t>Driver-level bootstrap within library strata; macro and micro results.</w:t>
            </w:r>
          </w:p>
        </w:tc>
      </w:tr>
      <w:tr>
        <w:trPr>
          <w:cantSplit/>
        </w:trPr>
        <w:tc>
          <w:tcPr>
            <w:tcW w:type="dxa" w:w="1512"/>
            <w:vAlign w:val="center"/>
          </w:tcPr>
          <w:p>
            <w:pPr>
              <w:spacing w:after="0" w:line="252" w:lineRule="auto"/>
              <w:jc w:val="left"/>
            </w:pPr>
            <w:r>
              <w:rPr>
                <w:rFonts w:ascii="Calibri" w:hAnsi="Calibri"/>
                <w:color w:val="1E293B"/>
                <w:sz w:val="15"/>
              </w:rPr>
              <w:t>External validity</w:t>
            </w:r>
          </w:p>
        </w:tc>
        <w:tc>
          <w:tcPr>
            <w:tcW w:type="dxa" w:w="2952"/>
            <w:vAlign w:val="center"/>
          </w:tcPr>
          <w:p>
            <w:pPr>
              <w:spacing w:after="0" w:line="252" w:lineRule="auto"/>
              <w:jc w:val="left"/>
            </w:pPr>
            <w:r>
              <w:rPr>
                <w:rFonts w:ascii="Calibri" w:hAnsi="Calibri"/>
                <w:color w:val="1E293B"/>
                <w:sz w:val="15"/>
              </w:rPr>
              <w:t>Eight libraries and two LLMs do not represent all APIs or generators.</w:t>
            </w:r>
          </w:p>
        </w:tc>
        <w:tc>
          <w:tcPr>
            <w:tcW w:type="dxa" w:w="4896"/>
            <w:vAlign w:val="center"/>
          </w:tcPr>
          <w:p>
            <w:pPr>
              <w:spacing w:after="0" w:line="252" w:lineRule="auto"/>
              <w:jc w:val="left"/>
            </w:pPr>
            <w:r>
              <w:rPr>
                <w:rFonts w:ascii="Calibri" w:hAnsi="Calibri"/>
                <w:color w:val="1E293B"/>
                <w:sz w:val="15"/>
              </w:rPr>
              <w:t>Frozen diverse protocol characteristics and claims limited to engine transferability in the evaluated scope.</w:t>
            </w:r>
          </w:p>
        </w:tc>
      </w:tr>
    </w:tbl>
    <w:p>
      <w:pPr>
        <w:spacing w:after="40"/>
      </w:pPr>
    </w:p>
    <w:p>
      <w:pPr>
        <w:pStyle w:val="Heading1"/>
        <w:keepNext/>
      </w:pPr>
      <w:r>
        <w:t>12. Feasibility, Milestones, and Freeze Gates</w:t>
      </w:r>
    </w:p>
    <w:p>
      <w:pPr>
        <w:spacing w:before="0" w:after="120" w:line="300" w:lineRule="auto"/>
        <w:jc w:val="both"/>
      </w:pPr>
      <w:r>
        <w:rPr>
          <w:rFonts w:ascii="Calibri" w:hAnsi="Calibri"/>
          <w:i w:val="0"/>
          <w:color w:val="1E293B"/>
          <w:sz w:val="22"/>
        </w:rPr>
        <w:t>The complete scope is conditionally feasible within sixteen active weeks for a solo master's project only under four non-negotiable bounds: intraprocedural Clang CFG analysis with simple aliases and no SVF dependency; automated preservation/build of all 800 attempts; no more than 140 dual-annotated compilable drivers; and a post-freeze repair set of at most 40 confirmed natural defects. Two non-author annotators and a third adjudicator must be secured before held-out scoring. Stage A has priority and must finish at Gate V before Stage B begins. No phase may silently alter data, rules, models, thresholds, or claims after its freeze.</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088"/>
        <w:gridCol w:w="7272"/>
      </w:tblGrid>
      <w:tr>
        <w:trPr>
          <w:tblHeader w:val="true"/>
          <w:cantSplit/>
        </w:trPr>
        <w:tc>
          <w:tcPr>
            <w:tcW w:type="dxa" w:w="2088"/>
            <w:tcMar>
              <w:top w:w="80" w:type="dxa"/>
              <w:start w:w="120" w:type="dxa"/>
              <w:bottom w:w="80" w:type="dxa"/>
              <w:end w:w="120" w:type="dxa"/>
            </w:tcMar>
            <w:shd w:fill="F4F6F9"/>
            <w:vAlign w:val="center"/>
          </w:tcPr>
          <w:p>
            <w:pPr>
              <w:spacing w:after="0" w:line="240" w:lineRule="auto"/>
              <w:jc w:val="center"/>
            </w:pPr>
            <w:r>
              <w:rPr>
                <w:rFonts w:ascii="Calibri" w:hAnsi="Calibri"/>
                <w:b/>
                <w:color w:val="1F4D78"/>
                <w:sz w:val="17"/>
              </w:rPr>
              <w:t>Gate</w:t>
            </w:r>
          </w:p>
        </w:tc>
        <w:tc>
          <w:tcPr>
            <w:tcW w:type="dxa" w:w="7272"/>
            <w:tcMar>
              <w:top w:w="80" w:type="dxa"/>
              <w:start w:w="120" w:type="dxa"/>
              <w:bottom w:w="80" w:type="dxa"/>
              <w:end w:w="120" w:type="dxa"/>
            </w:tcMar>
            <w:shd w:fill="F4F6F9"/>
            <w:vAlign w:val="center"/>
          </w:tcPr>
          <w:p>
            <w:pPr>
              <w:spacing w:after="0" w:line="240" w:lineRule="auto"/>
              <w:jc w:val="center"/>
            </w:pPr>
            <w:r>
              <w:rPr>
                <w:rFonts w:ascii="Calibri" w:hAnsi="Calibri"/>
                <w:b/>
                <w:color w:val="1F4D78"/>
                <w:sz w:val="17"/>
              </w:rPr>
              <w:t>Exit condition</w:t>
            </w:r>
          </w:p>
        </w:tc>
      </w:tr>
      <w:tr>
        <w:trPr>
          <w:cantSplit/>
        </w:trPr>
        <w:tc>
          <w:tcPr>
            <w:tcW w:type="dxa" w:w="2088"/>
            <w:vAlign w:val="center"/>
          </w:tcPr>
          <w:p>
            <w:pPr>
              <w:spacing w:after="0" w:line="252" w:lineRule="auto"/>
              <w:jc w:val="left"/>
            </w:pPr>
            <w:r>
              <w:rPr>
                <w:rFonts w:ascii="Calibri" w:hAnsi="Calibri"/>
                <w:color w:val="1E293B"/>
                <w:sz w:val="17"/>
              </w:rPr>
              <w:t>Gate 0 — Weeks 1–2: research lock</w:t>
            </w:r>
          </w:p>
        </w:tc>
        <w:tc>
          <w:tcPr>
            <w:tcW w:type="dxa" w:w="7272"/>
            <w:vAlign w:val="center"/>
          </w:tcPr>
          <w:p>
            <w:pPr>
              <w:spacing w:after="0" w:line="252" w:lineRule="auto"/>
              <w:jc w:val="left"/>
            </w:pPr>
            <w:r>
              <w:rPr>
                <w:rFonts w:ascii="Calibri" w:hAnsi="Calibri"/>
                <w:color w:val="1E293B"/>
                <w:sz w:val="17"/>
              </w:rPr>
              <w:t>Freeze title, C1–C4, RQ1–RQ5, 8 libraries, 2 low-cost APIs, 10×5 scenario design, metrics, power plan, repair cap, and no-backflow rule.</w:t>
            </w:r>
          </w:p>
        </w:tc>
      </w:tr>
      <w:tr>
        <w:trPr>
          <w:cantSplit/>
        </w:trPr>
        <w:tc>
          <w:tcPr>
            <w:tcW w:type="dxa" w:w="2088"/>
            <w:vAlign w:val="center"/>
          </w:tcPr>
          <w:p>
            <w:pPr>
              <w:spacing w:after="0" w:line="252" w:lineRule="auto"/>
              <w:jc w:val="left"/>
            </w:pPr>
            <w:r>
              <w:rPr>
                <w:rFonts w:ascii="Calibri" w:hAnsi="Calibri"/>
                <w:color w:val="1E293B"/>
                <w:sz w:val="17"/>
              </w:rPr>
              <w:t>Gate 1 — Weeks 1–2: specification foundation</w:t>
            </w:r>
          </w:p>
        </w:tc>
        <w:tc>
          <w:tcPr>
            <w:tcW w:type="dxa" w:w="7272"/>
            <w:vAlign w:val="center"/>
          </w:tcPr>
          <w:p>
            <w:pPr>
              <w:spacing w:after="0" w:line="252" w:lineRule="auto"/>
              <w:jc w:val="left"/>
            </w:pPr>
            <w:r>
              <w:rPr>
                <w:rFonts w:ascii="Calibri" w:hAnsi="Calibri"/>
                <w:color w:val="1E293B"/>
                <w:sz w:val="17"/>
              </w:rPr>
              <w:t>Finalize obligation/provenance schema, taxonomy, normalization, scenario manifest, sampling plan, annotation protocol, and leakage controls.</w:t>
            </w:r>
          </w:p>
        </w:tc>
      </w:tr>
      <w:tr>
        <w:trPr>
          <w:cantSplit/>
        </w:trPr>
        <w:tc>
          <w:tcPr>
            <w:tcW w:type="dxa" w:w="2088"/>
            <w:vAlign w:val="center"/>
          </w:tcPr>
          <w:p>
            <w:pPr>
              <w:spacing w:after="0" w:line="252" w:lineRule="auto"/>
              <w:jc w:val="left"/>
            </w:pPr>
            <w:r>
              <w:rPr>
                <w:rFonts w:ascii="Calibri" w:hAnsi="Calibri"/>
                <w:color w:val="1E293B"/>
                <w:sz w:val="17"/>
              </w:rPr>
              <w:t>Gate 2 — Weeks 3–6: zlib verification development</w:t>
            </w:r>
          </w:p>
        </w:tc>
        <w:tc>
          <w:tcPr>
            <w:tcW w:type="dxa" w:w="7272"/>
            <w:vAlign w:val="center"/>
          </w:tcPr>
          <w:p>
            <w:pPr>
              <w:spacing w:after="0" w:line="252" w:lineRule="auto"/>
              <w:jc w:val="left"/>
            </w:pPr>
            <w:r>
              <w:rPr>
                <w:rFonts w:ascii="Calibri" w:hAnsi="Calibri"/>
                <w:color w:val="1E293B"/>
                <w:sz w:val="17"/>
              </w:rPr>
              <w:t>Author zlib rules; implement Clang front end, state propagation, path-insensitive baseline, verdict contract, tests, and frozen textual repair-template specification—no repair execution.</w:t>
            </w:r>
          </w:p>
        </w:tc>
      </w:tr>
      <w:tr>
        <w:trPr>
          <w:cantSplit/>
        </w:trPr>
        <w:tc>
          <w:tcPr>
            <w:tcW w:type="dxa" w:w="2088"/>
            <w:vAlign w:val="center"/>
          </w:tcPr>
          <w:p>
            <w:pPr>
              <w:spacing w:after="0" w:line="252" w:lineRule="auto"/>
              <w:jc w:val="left"/>
            </w:pPr>
            <w:r>
              <w:rPr>
                <w:rFonts w:ascii="Calibri" w:hAnsi="Calibri"/>
                <w:color w:val="1E293B"/>
                <w:sz w:val="17"/>
              </w:rPr>
              <w:t>Gate 3 — Weeks 7–9: libpcap validation</w:t>
            </w:r>
          </w:p>
        </w:tc>
        <w:tc>
          <w:tcPr>
            <w:tcW w:type="dxa" w:w="7272"/>
            <w:vAlign w:val="center"/>
          </w:tcPr>
          <w:p>
            <w:pPr>
              <w:spacing w:after="0" w:line="252" w:lineRule="auto"/>
              <w:jc w:val="left"/>
            </w:pPr>
            <w:r>
              <w:rPr>
                <w:rFonts w:ascii="Calibri" w:hAnsi="Calibri"/>
                <w:color w:val="1E293B"/>
                <w:sz w:val="17"/>
              </w:rPr>
              <w:t>Blindly validate libpcap, log at most one authorized correction, then freeze the final verification engine and all bounds.</w:t>
            </w:r>
          </w:p>
        </w:tc>
      </w:tr>
      <w:tr>
        <w:trPr>
          <w:cantSplit/>
        </w:trPr>
        <w:tc>
          <w:tcPr>
            <w:tcW w:type="dxa" w:w="2088"/>
            <w:vAlign w:val="center"/>
          </w:tcPr>
          <w:p>
            <w:pPr>
              <w:spacing w:after="0" w:line="252" w:lineRule="auto"/>
              <w:jc w:val="left"/>
            </w:pPr>
            <w:r>
              <w:rPr>
                <w:rFonts w:ascii="Calibri" w:hAnsi="Calibri"/>
                <w:color w:val="1E293B"/>
                <w:sz w:val="17"/>
              </w:rPr>
              <w:t>Gate 4 — Weeks 10–12: held-out preparation</w:t>
            </w:r>
          </w:p>
        </w:tc>
        <w:tc>
          <w:tcPr>
            <w:tcW w:type="dxa" w:w="7272"/>
            <w:vAlign w:val="center"/>
          </w:tcPr>
          <w:p>
            <w:pPr>
              <w:spacing w:after="0" w:line="252" w:lineRule="auto"/>
              <w:jc w:val="left"/>
            </w:pPr>
            <w:r>
              <w:rPr>
                <w:rFonts w:ascii="Calibri" w:hAnsi="Calibri"/>
                <w:color w:val="1E293B"/>
                <w:sz w:val="17"/>
              </w:rPr>
              <w:t>Freeze six held-out specifications and scenarios, run 800-call generation/build pipeline, draw the up-to-140 sample, and complete blind dual annotation.</w:t>
            </w:r>
          </w:p>
        </w:tc>
      </w:tr>
      <w:tr>
        <w:trPr>
          <w:cantSplit/>
        </w:trPr>
        <w:tc>
          <w:tcPr>
            <w:tcW w:type="dxa" w:w="2088"/>
            <w:vAlign w:val="center"/>
          </w:tcPr>
          <w:p>
            <w:pPr>
              <w:spacing w:after="0" w:line="252" w:lineRule="auto"/>
              <w:jc w:val="left"/>
            </w:pPr>
            <w:r>
              <w:rPr>
                <w:rFonts w:ascii="Calibri" w:hAnsi="Calibri"/>
                <w:color w:val="1E293B"/>
                <w:sz w:val="17"/>
              </w:rPr>
              <w:t>Gate 5 — Weeks 13–14: held-out verification</w:t>
            </w:r>
          </w:p>
        </w:tc>
        <w:tc>
          <w:tcPr>
            <w:tcW w:type="dxa" w:w="7272"/>
            <w:vAlign w:val="center"/>
          </w:tcPr>
          <w:p>
            <w:pPr>
              <w:spacing w:after="0" w:line="252" w:lineRule="auto"/>
              <w:jc w:val="left"/>
            </w:pPr>
            <w:r>
              <w:rPr>
                <w:rFonts w:ascii="Calibri" w:hAnsi="Calibri"/>
                <w:color w:val="1E293B"/>
                <w:sz w:val="17"/>
              </w:rPr>
              <w:t>Run frozen verifier, baselines, ablations, and clustered statistics; complete RQ1–RQ3/RQ5 before repair access.</w:t>
            </w:r>
          </w:p>
        </w:tc>
      </w:tr>
      <w:tr>
        <w:trPr>
          <w:cantSplit/>
        </w:trPr>
        <w:tc>
          <w:tcPr>
            <w:tcW w:type="dxa" w:w="2088"/>
            <w:vAlign w:val="center"/>
          </w:tcPr>
          <w:p>
            <w:pPr>
              <w:spacing w:after="0" w:line="252" w:lineRule="auto"/>
              <w:jc w:val="left"/>
            </w:pPr>
            <w:r>
              <w:rPr>
                <w:rFonts w:ascii="Calibri" w:hAnsi="Calibri"/>
                <w:color w:val="1E293B"/>
                <w:sz w:val="17"/>
              </w:rPr>
              <w:t>Gate V — End of Week 14: verification freeze</w:t>
            </w:r>
          </w:p>
        </w:tc>
        <w:tc>
          <w:tcPr>
            <w:tcW w:type="dxa" w:w="7272"/>
            <w:vAlign w:val="center"/>
          </w:tcPr>
          <w:p>
            <w:pPr>
              <w:spacing w:after="0" w:line="252" w:lineRule="auto"/>
              <w:jc w:val="left"/>
            </w:pPr>
            <w:r>
              <w:rPr>
                <w:rFonts w:ascii="Calibri" w:hAnsi="Calibri"/>
                <w:color w:val="1E293B"/>
                <w:sz w:val="17"/>
              </w:rPr>
              <w:t>Version and lock corpus, gold labels, analyzer, thresholds, baseline mappings, results, and verification claims; enforce no backflow.</w:t>
            </w:r>
          </w:p>
        </w:tc>
      </w:tr>
      <w:tr>
        <w:trPr>
          <w:cantSplit/>
        </w:trPr>
        <w:tc>
          <w:tcPr>
            <w:tcW w:type="dxa" w:w="2088"/>
            <w:vAlign w:val="center"/>
          </w:tcPr>
          <w:p>
            <w:pPr>
              <w:spacing w:after="0" w:line="252" w:lineRule="auto"/>
              <w:jc w:val="left"/>
            </w:pPr>
            <w:r>
              <w:rPr>
                <w:rFonts w:ascii="Calibri" w:hAnsi="Calibri"/>
                <w:color w:val="1E293B"/>
                <w:sz w:val="17"/>
              </w:rPr>
              <w:t>Gate 6 — Weeks 15–16: repair and final artifact</w:t>
            </w:r>
          </w:p>
        </w:tc>
        <w:tc>
          <w:tcPr>
            <w:tcW w:type="dxa" w:w="7272"/>
            <w:vAlign w:val="center"/>
          </w:tcPr>
          <w:p>
            <w:pPr>
              <w:spacing w:after="0" w:line="252" w:lineRule="auto"/>
              <w:jc w:val="left"/>
            </w:pPr>
            <w:r>
              <w:rPr>
                <w:rFonts w:ascii="Calibri" w:hAnsi="Calibri"/>
                <w:color w:val="1E293B"/>
                <w:sz w:val="17"/>
              </w:rPr>
              <w:t>Implement/freeze repair from preregistered templates on synthetic/zlib tests; evaluate up to 40 quarantined natural defects; finish RQ4, thesis, and artifact.</w:t>
            </w:r>
          </w:p>
        </w:tc>
      </w:tr>
    </w:tbl>
    <w:p>
      <w:pPr>
        <w:spacing w:after="40"/>
      </w:pPr>
    </w:p>
    <w:p>
      <w:pPr>
        <w:pStyle w:val="Heading1"/>
        <w:keepNext/>
      </w:pPr>
      <w:r>
        <w:t>13. Expected Deliverables</w:t>
      </w:r>
    </w:p>
    <w:p>
      <w:pPr>
        <w:spacing w:after="80" w:line="290" w:lineRule="auto"/>
        <w:ind w:left="540" w:hanging="279"/>
        <w:numPr>
          <w:ilvl w:val="0"/>
          <w:numId w:val="10"/>
        </w:numPr>
      </w:pPr>
      <w:r>
        <w:rPr>
          <w:rFonts w:ascii="Calibri" w:hAnsi="Calibri"/>
          <w:color w:val="1E293B"/>
          <w:sz w:val="22"/>
        </w:rPr>
        <w:t>A versioned protocol-obligation schema and evidence-provenance format for the eight pinned C libraries.</w:t>
      </w:r>
    </w:p>
    <w:p>
      <w:pPr>
        <w:spacing w:after="80" w:line="290" w:lineRule="auto"/>
        <w:ind w:left="540" w:hanging="279"/>
        <w:numPr>
          <w:ilvl w:val="0"/>
          <w:numId w:val="10"/>
        </w:numPr>
      </w:pPr>
      <w:r>
        <w:rPr>
          <w:rFonts w:ascii="Calibri" w:hAnsi="Calibri"/>
          <w:color w:val="1E293B"/>
          <w:sz w:val="22"/>
        </w:rPr>
        <w:t>A Clang LibTooling/Clang CFG analyzer with custom bounded resource-state propagation and explicit UNKNOWN outcomes.</w:t>
      </w:r>
    </w:p>
    <w:p>
      <w:pPr>
        <w:spacing w:after="80" w:line="290" w:lineRule="auto"/>
        <w:ind w:left="540" w:hanging="279"/>
        <w:numPr>
          <w:ilvl w:val="0"/>
          <w:numId w:val="10"/>
        </w:numPr>
      </w:pPr>
      <w:r>
        <w:rPr>
          <w:rFonts w:ascii="Calibri" w:hAnsi="Calibri"/>
          <w:color w:val="1E293B"/>
          <w:sz w:val="22"/>
        </w:rPr>
        <w:t>A post-Gate-V deterministic constrained-repair implementation and machine-checkable acceptance records for the capped confirmed-defect set.</w:t>
      </w:r>
    </w:p>
    <w:p>
      <w:pPr>
        <w:spacing w:after="80" w:line="290" w:lineRule="auto"/>
        <w:ind w:left="540" w:hanging="279"/>
        <w:numPr>
          <w:ilvl w:val="0"/>
          <w:numId w:val="10"/>
        </w:numPr>
      </w:pPr>
      <w:r>
        <w:rPr>
          <w:rFonts w:ascii="Calibri" w:hAnsi="Calibri"/>
          <w:color w:val="1E293B"/>
          <w:sz w:val="22"/>
        </w:rPr>
        <w:t>An 800-attempt generation manifest preserving raw outputs, failures, build logs, model metadata, and cost.</w:t>
      </w:r>
    </w:p>
    <w:p>
      <w:pPr>
        <w:spacing w:after="80" w:line="290" w:lineRule="auto"/>
        <w:ind w:left="540" w:hanging="279"/>
        <w:numPr>
          <w:ilvl w:val="0"/>
          <w:numId w:val="10"/>
        </w:numPr>
      </w:pPr>
      <w:r>
        <w:rPr>
          <w:rFonts w:ascii="Calibri" w:hAnsi="Calibri"/>
          <w:color w:val="1E293B"/>
          <w:sz w:val="22"/>
        </w:rPr>
        <w:t>Blind obligation-, defect-, and driver-level annotations with agreement and adjudication records.</w:t>
      </w:r>
    </w:p>
    <w:p>
      <w:pPr>
        <w:spacing w:after="80" w:line="290" w:lineRule="auto"/>
        <w:ind w:left="540" w:hanging="279"/>
        <w:numPr>
          <w:ilvl w:val="0"/>
          <w:numId w:val="10"/>
        </w:numPr>
      </w:pPr>
      <w:r>
        <w:rPr>
          <w:rFonts w:ascii="Calibri" w:hAnsi="Calibri"/>
          <w:color w:val="1E293B"/>
          <w:sz w:val="22"/>
        </w:rPr>
        <w:t>Matched detector/repair baseline outputs, ablations, complementary runtime evidence, and statistical scripts.</w:t>
      </w:r>
    </w:p>
    <w:p>
      <w:pPr>
        <w:spacing w:after="80" w:line="290" w:lineRule="auto"/>
        <w:ind w:left="540" w:hanging="279"/>
        <w:numPr>
          <w:ilvl w:val="0"/>
          <w:numId w:val="10"/>
        </w:numPr>
      </w:pPr>
      <w:r>
        <w:rPr>
          <w:rFonts w:ascii="Calibri" w:hAnsi="Calibri"/>
          <w:color w:val="1E293B"/>
          <w:sz w:val="22"/>
        </w:rPr>
        <w:t>A reproducibility package and thesis/paper whose numerical claims link to frozen evidence.</w:t>
      </w:r>
    </w:p>
    <w:p>
      <w:pPr>
        <w:pStyle w:val="Heading1"/>
        <w:keepNext/>
      </w:pPr>
      <w:r>
        <w:t>14. Supervisor-Review Alignment Matrix</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648"/>
        <w:gridCol w:w="2232"/>
        <w:gridCol w:w="6480"/>
      </w:tblGrid>
      <w:tr>
        <w:trPr>
          <w:tblHeader w:val="true"/>
          <w:cantSplit/>
        </w:trPr>
        <w:tc>
          <w:tcPr>
            <w:tcW w:type="dxa" w:w="648"/>
            <w:tcMar>
              <w:top w:w="80" w:type="dxa"/>
              <w:start w:w="120" w:type="dxa"/>
              <w:bottom w:w="80" w:type="dxa"/>
              <w:end w:w="120" w:type="dxa"/>
            </w:tcMar>
            <w:shd w:fill="F4F6F9"/>
            <w:vAlign w:val="center"/>
          </w:tcPr>
          <w:p>
            <w:pPr>
              <w:spacing w:after="0" w:line="240" w:lineRule="auto"/>
              <w:jc w:val="center"/>
            </w:pPr>
            <w:r>
              <w:rPr>
                <w:rFonts w:ascii="Calibri" w:hAnsi="Calibri"/>
                <w:b/>
                <w:color w:val="1F4D78"/>
                <w:sz w:val="16"/>
              </w:rPr>
              <w:t>No.</w:t>
            </w:r>
          </w:p>
        </w:tc>
        <w:tc>
          <w:tcPr>
            <w:tcW w:type="dxa" w:w="2232"/>
            <w:tcMar>
              <w:top w:w="80" w:type="dxa"/>
              <w:start w:w="120" w:type="dxa"/>
              <w:bottom w:w="80" w:type="dxa"/>
              <w:end w:w="120" w:type="dxa"/>
            </w:tcMar>
            <w:shd w:fill="F4F6F9"/>
            <w:vAlign w:val="center"/>
          </w:tcPr>
          <w:p>
            <w:pPr>
              <w:spacing w:after="0" w:line="240" w:lineRule="auto"/>
              <w:jc w:val="center"/>
            </w:pPr>
            <w:r>
              <w:rPr>
                <w:rFonts w:ascii="Calibri" w:hAnsi="Calibri"/>
                <w:b/>
                <w:color w:val="1F4D78"/>
                <w:sz w:val="16"/>
              </w:rPr>
              <w:t>Supervisor concern</w:t>
            </w:r>
          </w:p>
        </w:tc>
        <w:tc>
          <w:tcPr>
            <w:tcW w:type="dxa" w:w="6480"/>
            <w:tcMar>
              <w:top w:w="80" w:type="dxa"/>
              <w:start w:w="120" w:type="dxa"/>
              <w:bottom w:w="80" w:type="dxa"/>
              <w:end w:w="120" w:type="dxa"/>
            </w:tcMar>
            <w:shd w:fill="F4F6F9"/>
            <w:vAlign w:val="center"/>
          </w:tcPr>
          <w:p>
            <w:pPr>
              <w:spacing w:after="0" w:line="240" w:lineRule="auto"/>
              <w:jc w:val="center"/>
            </w:pPr>
            <w:r>
              <w:rPr>
                <w:rFonts w:ascii="Calibri" w:hAnsi="Calibri"/>
                <w:b/>
                <w:color w:val="1F4D78"/>
                <w:sz w:val="16"/>
              </w:rPr>
              <w:t>Implemented revision</w:t>
            </w:r>
          </w:p>
        </w:tc>
      </w:tr>
      <w:tr>
        <w:trPr>
          <w:cantSplit/>
        </w:trPr>
        <w:tc>
          <w:tcPr>
            <w:tcW w:type="dxa" w:w="648"/>
            <w:vAlign w:val="center"/>
          </w:tcPr>
          <w:p>
            <w:pPr>
              <w:spacing w:after="0" w:line="252" w:lineRule="auto"/>
              <w:jc w:val="left"/>
            </w:pPr>
            <w:r>
              <w:rPr>
                <w:rFonts w:ascii="Calibri" w:hAnsi="Calibri"/>
                <w:color w:val="1E293B"/>
                <w:sz w:val="16"/>
              </w:rPr>
              <w:t>1</w:t>
            </w:r>
          </w:p>
        </w:tc>
        <w:tc>
          <w:tcPr>
            <w:tcW w:type="dxa" w:w="2232"/>
            <w:vAlign w:val="center"/>
          </w:tcPr>
          <w:p>
            <w:pPr>
              <w:spacing w:after="0" w:line="252" w:lineRule="auto"/>
              <w:jc w:val="left"/>
            </w:pPr>
            <w:r>
              <w:rPr>
                <w:rFonts w:ascii="Calibri" w:hAnsi="Calibri"/>
                <w:color w:val="1E293B"/>
                <w:sz w:val="16"/>
              </w:rPr>
              <w:t>Innovation boundary</w:t>
            </w:r>
          </w:p>
        </w:tc>
        <w:tc>
          <w:tcPr>
            <w:tcW w:type="dxa" w:w="6480"/>
            <w:vAlign w:val="center"/>
          </w:tcPr>
          <w:p>
            <w:pPr>
              <w:spacing w:after="0" w:line="252" w:lineRule="auto"/>
              <w:jc w:val="left"/>
            </w:pPr>
            <w:r>
              <w:t>Excluded protocol checking, lifecycle checking, auditing, repair, and general typestate as novelty; made C2 the primary technical contribution and added direct-comparison, ablation, and falsification criteria.</w:t>
            </w:r>
          </w:p>
        </w:tc>
      </w:tr>
      <w:tr>
        <w:trPr>
          <w:cantSplit/>
        </w:trPr>
        <w:tc>
          <w:tcPr>
            <w:tcW w:type="dxa" w:w="648"/>
            <w:vAlign w:val="center"/>
          </w:tcPr>
          <w:p>
            <w:pPr>
              <w:spacing w:after="0" w:line="252" w:lineRule="auto"/>
              <w:jc w:val="left"/>
            </w:pPr>
            <w:r>
              <w:rPr>
                <w:rFonts w:ascii="Calibri" w:hAnsi="Calibri"/>
                <w:color w:val="1E293B"/>
                <w:sz w:val="16"/>
              </w:rPr>
              <w:t>2</w:t>
            </w:r>
          </w:p>
        </w:tc>
        <w:tc>
          <w:tcPr>
            <w:tcW w:type="dxa" w:w="2232"/>
            <w:vAlign w:val="center"/>
          </w:tcPr>
          <w:p>
            <w:pPr>
              <w:spacing w:after="0" w:line="252" w:lineRule="auto"/>
              <w:jc w:val="left"/>
            </w:pPr>
            <w:r>
              <w:rPr>
                <w:rFonts w:ascii="Calibri" w:hAnsi="Calibri"/>
                <w:color w:val="1E293B"/>
                <w:sz w:val="16"/>
              </w:rPr>
              <w:t>QuartetFuzz evidence</w:t>
            </w:r>
          </w:p>
        </w:tc>
        <w:tc>
          <w:tcPr>
            <w:tcW w:type="dxa" w:w="6480"/>
            <w:vAlign w:val="center"/>
          </w:tcPr>
          <w:p>
            <w:pPr>
              <w:spacing w:after="0" w:line="252" w:lineRule="auto"/>
              <w:jc w:val="left"/>
            </w:pPr>
            <w:r>
              <w:t>Added primary-source overlap analysis, same-driver pinned QuartetFuzz P2 comparison, matched hypotheses, configuration logging, and no-imitation/no-superiority fallback rule.</w:t>
            </w:r>
          </w:p>
        </w:tc>
      </w:tr>
      <w:tr>
        <w:trPr>
          <w:cantSplit/>
        </w:trPr>
        <w:tc>
          <w:tcPr>
            <w:tcW w:type="dxa" w:w="648"/>
            <w:vAlign w:val="center"/>
          </w:tcPr>
          <w:p>
            <w:pPr>
              <w:spacing w:after="0" w:line="252" w:lineRule="auto"/>
              <w:jc w:val="left"/>
            </w:pPr>
            <w:r>
              <w:rPr>
                <w:rFonts w:ascii="Calibri" w:hAnsi="Calibri"/>
                <w:color w:val="1E293B"/>
                <w:sz w:val="16"/>
              </w:rPr>
              <w:t>3</w:t>
            </w:r>
          </w:p>
        </w:tc>
        <w:tc>
          <w:tcPr>
            <w:tcW w:type="dxa" w:w="2232"/>
            <w:vAlign w:val="center"/>
          </w:tcPr>
          <w:p>
            <w:pPr>
              <w:spacing w:after="0" w:line="252" w:lineRule="auto"/>
              <w:jc w:val="left"/>
            </w:pPr>
            <w:r>
              <w:rPr>
                <w:rFonts w:ascii="Calibri" w:hAnsi="Calibri"/>
                <w:color w:val="1E293B"/>
                <w:sz w:val="16"/>
              </w:rPr>
              <w:t>Dataset split</w:t>
            </w:r>
          </w:p>
        </w:tc>
        <w:tc>
          <w:tcPr>
            <w:tcW w:type="dxa" w:w="6480"/>
            <w:vAlign w:val="center"/>
          </w:tcPr>
          <w:p>
            <w:pPr>
              <w:spacing w:after="0" w:line="252" w:lineRule="auto"/>
              <w:jc w:val="left"/>
            </w:pPr>
            <w:r>
              <w:rPr>
                <w:rFonts w:ascii="Calibri" w:hAnsi="Calibri"/>
                <w:color w:val="1E293B"/>
                <w:sz w:val="16"/>
              </w:rPr>
              <w:t>Fixed exactly zlib development, libpcap validation, and six final held-out libraries; defined freeze and correction roles.</w:t>
            </w:r>
          </w:p>
        </w:tc>
      </w:tr>
      <w:tr>
        <w:trPr>
          <w:cantSplit/>
        </w:trPr>
        <w:tc>
          <w:tcPr>
            <w:tcW w:type="dxa" w:w="648"/>
            <w:vAlign w:val="center"/>
          </w:tcPr>
          <w:p>
            <w:pPr>
              <w:spacing w:after="0" w:line="252" w:lineRule="auto"/>
              <w:jc w:val="left"/>
            </w:pPr>
            <w:r>
              <w:rPr>
                <w:rFonts w:ascii="Calibri" w:hAnsi="Calibri"/>
                <w:color w:val="1E293B"/>
                <w:sz w:val="16"/>
              </w:rPr>
              <w:t>4</w:t>
            </w:r>
          </w:p>
        </w:tc>
        <w:tc>
          <w:tcPr>
            <w:tcW w:type="dxa" w:w="2232"/>
            <w:vAlign w:val="center"/>
          </w:tcPr>
          <w:p>
            <w:pPr>
              <w:spacing w:after="0" w:line="252" w:lineRule="auto"/>
              <w:jc w:val="left"/>
            </w:pPr>
            <w:r>
              <w:rPr>
                <w:rFonts w:ascii="Calibri" w:hAnsi="Calibri"/>
                <w:color w:val="1E293B"/>
                <w:sz w:val="16"/>
              </w:rPr>
              <w:t>Generalization wording</w:t>
            </w:r>
          </w:p>
        </w:tc>
        <w:tc>
          <w:tcPr>
            <w:tcW w:type="dxa" w:w="6480"/>
            <w:vAlign w:val="center"/>
          </w:tcPr>
          <w:p>
            <w:pPr>
              <w:spacing w:after="0" w:line="252" w:lineRule="auto"/>
              <w:jc w:val="left"/>
            </w:pPr>
            <w:r>
              <w:rPr>
                <w:rFonts w:ascii="Calibri" w:hAnsi="Calibri"/>
                <w:color w:val="1E293B"/>
                <w:sz w:val="16"/>
              </w:rPr>
              <w:t>Replaced cross-library generalization with analysis-engine transferability when a new specification is supplied.</w:t>
            </w:r>
          </w:p>
        </w:tc>
      </w:tr>
      <w:tr>
        <w:trPr>
          <w:cantSplit/>
        </w:trPr>
        <w:tc>
          <w:tcPr>
            <w:tcW w:type="dxa" w:w="648"/>
            <w:vAlign w:val="center"/>
          </w:tcPr>
          <w:p>
            <w:pPr>
              <w:spacing w:after="0" w:line="252" w:lineRule="auto"/>
              <w:jc w:val="left"/>
            </w:pPr>
            <w:r>
              <w:rPr>
                <w:rFonts w:ascii="Calibri" w:hAnsi="Calibri"/>
                <w:color w:val="1E293B"/>
                <w:sz w:val="16"/>
              </w:rPr>
              <w:t>5</w:t>
            </w:r>
          </w:p>
        </w:tc>
        <w:tc>
          <w:tcPr>
            <w:tcW w:type="dxa" w:w="2232"/>
            <w:vAlign w:val="center"/>
          </w:tcPr>
          <w:p>
            <w:pPr>
              <w:spacing w:after="0" w:line="252" w:lineRule="auto"/>
              <w:jc w:val="left"/>
            </w:pPr>
            <w:r>
              <w:rPr>
                <w:rFonts w:ascii="Calibri" w:hAnsi="Calibri"/>
                <w:color w:val="1E293B"/>
                <w:sz w:val="16"/>
              </w:rPr>
              <w:t>Specification leakage</w:t>
            </w:r>
          </w:p>
        </w:tc>
        <w:tc>
          <w:tcPr>
            <w:tcW w:type="dxa" w:w="6480"/>
            <w:vAlign w:val="center"/>
          </w:tcPr>
          <w:p>
            <w:pPr>
              <w:spacing w:after="0" w:line="252" w:lineRule="auto"/>
              <w:jc w:val="left"/>
            </w:pPr>
            <w:r>
              <w:rPr>
                <w:rFonts w:ascii="Calibri" w:hAnsi="Calibri"/>
                <w:color w:val="1E293B"/>
                <w:sz w:val="16"/>
              </w:rPr>
              <w:t>Added approved/prohibited sources, authors, dates, revisions, evidence digests, pre-inspection freeze, and separate specification-error analysis.</w:t>
            </w:r>
          </w:p>
        </w:tc>
      </w:tr>
      <w:tr>
        <w:trPr>
          <w:cantSplit/>
        </w:trPr>
        <w:tc>
          <w:tcPr>
            <w:tcW w:type="dxa" w:w="648"/>
            <w:vAlign w:val="center"/>
          </w:tcPr>
          <w:p>
            <w:pPr>
              <w:spacing w:after="0" w:line="252" w:lineRule="auto"/>
              <w:jc w:val="left"/>
            </w:pPr>
            <w:r>
              <w:rPr>
                <w:rFonts w:ascii="Calibri" w:hAnsi="Calibri"/>
                <w:color w:val="1E293B"/>
                <w:sz w:val="16"/>
              </w:rPr>
              <w:t>6</w:t>
            </w:r>
          </w:p>
        </w:tc>
        <w:tc>
          <w:tcPr>
            <w:tcW w:type="dxa" w:w="2232"/>
            <w:vAlign w:val="center"/>
          </w:tcPr>
          <w:p>
            <w:pPr>
              <w:spacing w:after="0" w:line="252" w:lineRule="auto"/>
              <w:jc w:val="left"/>
            </w:pPr>
            <w:r>
              <w:rPr>
                <w:rFonts w:ascii="Calibri" w:hAnsi="Calibri"/>
                <w:color w:val="1E293B"/>
                <w:sz w:val="16"/>
              </w:rPr>
              <w:t>Sampling bias</w:t>
            </w:r>
          </w:p>
        </w:tc>
        <w:tc>
          <w:tcPr>
            <w:tcW w:type="dxa" w:w="6480"/>
            <w:vAlign w:val="center"/>
          </w:tcPr>
          <w:p>
            <w:pPr>
              <w:spacing w:after="0" w:line="252" w:lineRule="auto"/>
              <w:jc w:val="left"/>
            </w:pPr>
            <w:r>
              <w:rPr>
                <w:rFonts w:ascii="Calibri" w:hAnsi="Calibri"/>
                <w:color w:val="1E293B"/>
                <w:sz w:val="16"/>
              </w:rPr>
              <w:t>Fixed 800 attempts, preserved all outputs, and separated compilation rate from prevalence among compilable drivers.</w:t>
            </w:r>
          </w:p>
        </w:tc>
      </w:tr>
      <w:tr>
        <w:trPr>
          <w:cantSplit/>
        </w:trPr>
        <w:tc>
          <w:tcPr>
            <w:tcW w:type="dxa" w:w="648"/>
            <w:vAlign w:val="center"/>
          </w:tcPr>
          <w:p>
            <w:pPr>
              <w:spacing w:after="0" w:line="252" w:lineRule="auto"/>
              <w:jc w:val="left"/>
            </w:pPr>
            <w:r>
              <w:rPr>
                <w:rFonts w:ascii="Calibri" w:hAnsi="Calibri"/>
                <w:color w:val="1E293B"/>
                <w:sz w:val="16"/>
              </w:rPr>
              <w:t>7</w:t>
            </w:r>
          </w:p>
        </w:tc>
        <w:tc>
          <w:tcPr>
            <w:tcW w:type="dxa" w:w="2232"/>
            <w:vAlign w:val="center"/>
          </w:tcPr>
          <w:p>
            <w:pPr>
              <w:spacing w:after="0" w:line="252" w:lineRule="auto"/>
              <w:jc w:val="left"/>
            </w:pPr>
            <w:r>
              <w:rPr>
                <w:rFonts w:ascii="Calibri" w:hAnsi="Calibri"/>
                <w:color w:val="1E293B"/>
                <w:sz w:val="16"/>
              </w:rPr>
              <w:t>Limited positives</w:t>
            </w:r>
          </w:p>
        </w:tc>
        <w:tc>
          <w:tcPr>
            <w:tcW w:type="dxa" w:w="6480"/>
            <w:vAlign w:val="center"/>
          </w:tcPr>
          <w:p>
            <w:pPr>
              <w:spacing w:after="0" w:line="252" w:lineRule="auto"/>
              <w:jc w:val="left"/>
            </w:pPr>
            <w:r>
              <w:rPr>
                <w:rFonts w:ascii="Calibri" w:hAnsi="Calibri"/>
                <w:color w:val="1E293B"/>
                <w:sz w:val="16"/>
              </w:rPr>
              <w:t>Added minimum-evidence thresholds, exact intervals, no post hoc expansion, and strict separation of mutations from natural prevalence.</w:t>
            </w:r>
          </w:p>
        </w:tc>
      </w:tr>
      <w:tr>
        <w:trPr>
          <w:cantSplit/>
        </w:trPr>
        <w:tc>
          <w:tcPr>
            <w:tcW w:type="dxa" w:w="648"/>
            <w:vAlign w:val="center"/>
          </w:tcPr>
          <w:p>
            <w:pPr>
              <w:spacing w:after="0" w:line="252" w:lineRule="auto"/>
              <w:jc w:val="left"/>
            </w:pPr>
            <w:r>
              <w:rPr>
                <w:rFonts w:ascii="Calibri" w:hAnsi="Calibri"/>
                <w:color w:val="1E293B"/>
                <w:sz w:val="16"/>
              </w:rPr>
              <w:t>8</w:t>
            </w:r>
          </w:p>
        </w:tc>
        <w:tc>
          <w:tcPr>
            <w:tcW w:type="dxa" w:w="2232"/>
            <w:vAlign w:val="center"/>
          </w:tcPr>
          <w:p>
            <w:pPr>
              <w:spacing w:after="0" w:line="252" w:lineRule="auto"/>
              <w:jc w:val="left"/>
            </w:pPr>
            <w:r>
              <w:rPr>
                <w:rFonts w:ascii="Calibri" w:hAnsi="Calibri"/>
                <w:color w:val="1E293B"/>
                <w:sz w:val="16"/>
              </w:rPr>
              <w:t>Path-level units</w:t>
            </w:r>
          </w:p>
        </w:tc>
        <w:tc>
          <w:tcPr>
            <w:tcW w:type="dxa" w:w="6480"/>
            <w:vAlign w:val="center"/>
          </w:tcPr>
          <w:p>
            <w:pPr>
              <w:spacing w:after="0" w:line="252" w:lineRule="auto"/>
              <w:jc w:val="left"/>
            </w:pPr>
            <w:r>
              <w:rPr>
                <w:rFonts w:ascii="Calibri" w:hAnsi="Calibri"/>
                <w:color w:val="1E293B"/>
                <w:sz w:val="16"/>
              </w:rPr>
              <w:t>Defined normalized obligation as the primary unit, equivalent-path merging, and obligation/defect/driver reporting.</w:t>
            </w:r>
          </w:p>
        </w:tc>
      </w:tr>
      <w:tr>
        <w:trPr>
          <w:cantSplit/>
        </w:trPr>
        <w:tc>
          <w:tcPr>
            <w:tcW w:type="dxa" w:w="648"/>
            <w:vAlign w:val="center"/>
          </w:tcPr>
          <w:p>
            <w:pPr>
              <w:spacing w:after="0" w:line="252" w:lineRule="auto"/>
              <w:jc w:val="left"/>
            </w:pPr>
            <w:r>
              <w:rPr>
                <w:rFonts w:ascii="Calibri" w:hAnsi="Calibri"/>
                <w:color w:val="1E293B"/>
                <w:sz w:val="16"/>
              </w:rPr>
              <w:t>9</w:t>
            </w:r>
          </w:p>
        </w:tc>
        <w:tc>
          <w:tcPr>
            <w:tcW w:type="dxa" w:w="2232"/>
            <w:vAlign w:val="center"/>
          </w:tcPr>
          <w:p>
            <w:pPr>
              <w:spacing w:after="0" w:line="252" w:lineRule="auto"/>
              <w:jc w:val="left"/>
            </w:pPr>
            <w:r>
              <w:rPr>
                <w:rFonts w:ascii="Calibri" w:hAnsi="Calibri"/>
                <w:color w:val="1E293B"/>
                <w:sz w:val="16"/>
              </w:rPr>
              <w:t>Feasible paths</w:t>
            </w:r>
          </w:p>
        </w:tc>
        <w:tc>
          <w:tcPr>
            <w:tcW w:type="dxa" w:w="6480"/>
            <w:vAlign w:val="center"/>
          </w:tcPr>
          <w:p>
            <w:pPr>
              <w:spacing w:after="0" w:line="252" w:lineRule="auto"/>
              <w:jc w:val="left"/>
            </w:pPr>
            <w:r>
              <w:rPr>
                <w:rFonts w:ascii="Calibri" w:hAnsi="Calibri"/>
                <w:color w:val="1E293B"/>
                <w:sz w:val="16"/>
              </w:rPr>
              <w:t>Replaced general feasibility claims with analyzer-consistent/abstractly feasible paths and VALID/VIOLATION/UNKNOWN outcomes.</w:t>
            </w:r>
          </w:p>
        </w:tc>
      </w:tr>
      <w:tr>
        <w:trPr>
          <w:cantSplit/>
        </w:trPr>
        <w:tc>
          <w:tcPr>
            <w:tcW w:type="dxa" w:w="648"/>
            <w:vAlign w:val="center"/>
          </w:tcPr>
          <w:p>
            <w:pPr>
              <w:spacing w:after="0" w:line="252" w:lineRule="auto"/>
              <w:jc w:val="left"/>
            </w:pPr>
            <w:r>
              <w:rPr>
                <w:rFonts w:ascii="Calibri" w:hAnsi="Calibri"/>
                <w:color w:val="1E293B"/>
                <w:sz w:val="16"/>
              </w:rPr>
              <w:t>10</w:t>
            </w:r>
          </w:p>
        </w:tc>
        <w:tc>
          <w:tcPr>
            <w:tcW w:type="dxa" w:w="2232"/>
            <w:vAlign w:val="center"/>
          </w:tcPr>
          <w:p>
            <w:pPr>
              <w:spacing w:after="0" w:line="252" w:lineRule="auto"/>
              <w:jc w:val="left"/>
            </w:pPr>
            <w:r>
              <w:rPr>
                <w:rFonts w:ascii="Calibri" w:hAnsi="Calibri"/>
                <w:color w:val="1E293B"/>
                <w:sz w:val="16"/>
              </w:rPr>
              <w:t>C/C++ scope</w:t>
            </w:r>
          </w:p>
        </w:tc>
        <w:tc>
          <w:tcPr>
            <w:tcW w:type="dxa" w:w="6480"/>
            <w:vAlign w:val="center"/>
          </w:tcPr>
          <w:p>
            <w:pPr>
              <w:spacing w:after="0" w:line="252" w:lineRule="auto"/>
              <w:jc w:val="left"/>
            </w:pPr>
            <w:r>
              <w:rPr>
                <w:rFonts w:ascii="Calibri" w:hAnsi="Calibri"/>
                <w:color w:val="1E293B"/>
                <w:sz w:val="16"/>
              </w:rPr>
              <w:t>Restricted claims to C libraries and C-compatible drivers; excluded general C++ semantics.</w:t>
            </w:r>
          </w:p>
        </w:tc>
      </w:tr>
      <w:tr>
        <w:trPr>
          <w:cantSplit/>
        </w:trPr>
        <w:tc>
          <w:tcPr>
            <w:tcW w:type="dxa" w:w="648"/>
            <w:vAlign w:val="center"/>
          </w:tcPr>
          <w:p>
            <w:pPr>
              <w:spacing w:after="0" w:line="252" w:lineRule="auto"/>
              <w:jc w:val="left"/>
            </w:pPr>
            <w:r>
              <w:rPr>
                <w:rFonts w:ascii="Calibri" w:hAnsi="Calibri"/>
                <w:color w:val="1E293B"/>
                <w:sz w:val="16"/>
              </w:rPr>
              <w:t>11</w:t>
            </w:r>
          </w:p>
        </w:tc>
        <w:tc>
          <w:tcPr>
            <w:tcW w:type="dxa" w:w="2232"/>
            <w:vAlign w:val="center"/>
          </w:tcPr>
          <w:p>
            <w:pPr>
              <w:spacing w:after="0" w:line="252" w:lineRule="auto"/>
              <w:jc w:val="left"/>
            </w:pPr>
            <w:r>
              <w:rPr>
                <w:rFonts w:ascii="Calibri" w:hAnsi="Calibri"/>
                <w:color w:val="1E293B"/>
                <w:sz w:val="16"/>
              </w:rPr>
              <w:t>Implementation</w:t>
            </w:r>
          </w:p>
        </w:tc>
        <w:tc>
          <w:tcPr>
            <w:tcW w:type="dxa" w:w="6480"/>
            <w:vAlign w:val="center"/>
          </w:tcPr>
          <w:p>
            <w:pPr>
              <w:spacing w:after="0" w:line="252" w:lineRule="auto"/>
              <w:jc w:val="left"/>
            </w:pPr>
            <w:r>
              <w:rPr>
                <w:rFonts w:ascii="Calibri" w:hAnsi="Calibri"/>
                <w:color w:val="1E293B"/>
                <w:sz w:val="16"/>
              </w:rPr>
              <w:t>Fixed Clang LibTooling + Clang CFG + custom bounded state propagation; SVF is optional later work only.</w:t>
            </w:r>
          </w:p>
        </w:tc>
      </w:tr>
      <w:tr>
        <w:trPr>
          <w:cantSplit/>
        </w:trPr>
        <w:tc>
          <w:tcPr>
            <w:tcW w:type="dxa" w:w="648"/>
            <w:vAlign w:val="center"/>
          </w:tcPr>
          <w:p>
            <w:pPr>
              <w:spacing w:after="0" w:line="252" w:lineRule="auto"/>
              <w:jc w:val="left"/>
            </w:pPr>
            <w:r>
              <w:rPr>
                <w:rFonts w:ascii="Calibri" w:hAnsi="Calibri"/>
                <w:color w:val="1E293B"/>
                <w:sz w:val="16"/>
              </w:rPr>
              <w:t>12</w:t>
            </w:r>
          </w:p>
        </w:tc>
        <w:tc>
          <w:tcPr>
            <w:tcW w:type="dxa" w:w="2232"/>
            <w:vAlign w:val="center"/>
          </w:tcPr>
          <w:p>
            <w:pPr>
              <w:spacing w:after="0" w:line="252" w:lineRule="auto"/>
              <w:jc w:val="left"/>
            </w:pPr>
            <w:r>
              <w:rPr>
                <w:rFonts w:ascii="Calibri" w:hAnsi="Calibri"/>
                <w:color w:val="1E293B"/>
                <w:sz w:val="16"/>
              </w:rPr>
              <w:t>Soundness/completeness</w:t>
            </w:r>
          </w:p>
        </w:tc>
        <w:tc>
          <w:tcPr>
            <w:tcW w:type="dxa" w:w="6480"/>
            <w:vAlign w:val="center"/>
          </w:tcPr>
          <w:p>
            <w:pPr>
              <w:spacing w:after="0" w:line="252" w:lineRule="auto"/>
              <w:jc w:val="left"/>
            </w:pPr>
            <w:r>
              <w:rPr>
                <w:rFonts w:ascii="Calibri" w:hAnsi="Calibri"/>
                <w:color w:val="1E293B"/>
                <w:sz w:val="16"/>
              </w:rPr>
              <w:t>Defined MUST, MAY, VALID, UNKNOWN, decision coverage, and bounded empirical claim language.</w:t>
            </w:r>
          </w:p>
        </w:tc>
      </w:tr>
      <w:tr>
        <w:trPr>
          <w:cantSplit/>
        </w:trPr>
        <w:tc>
          <w:tcPr>
            <w:tcW w:type="dxa" w:w="648"/>
            <w:vAlign w:val="center"/>
          </w:tcPr>
          <w:p>
            <w:pPr>
              <w:spacing w:after="0" w:line="252" w:lineRule="auto"/>
              <w:jc w:val="left"/>
            </w:pPr>
            <w:r>
              <w:rPr>
                <w:rFonts w:ascii="Calibri" w:hAnsi="Calibri"/>
                <w:color w:val="1E293B"/>
                <w:sz w:val="16"/>
              </w:rPr>
              <w:t>13</w:t>
            </w:r>
          </w:p>
        </w:tc>
        <w:tc>
          <w:tcPr>
            <w:tcW w:type="dxa" w:w="2232"/>
            <w:vAlign w:val="center"/>
          </w:tcPr>
          <w:p>
            <w:pPr>
              <w:spacing w:after="0" w:line="252" w:lineRule="auto"/>
              <w:jc w:val="left"/>
            </w:pPr>
            <w:r>
              <w:rPr>
                <w:rFonts w:ascii="Calibri" w:hAnsi="Calibri"/>
                <w:color w:val="1E293B"/>
                <w:sz w:val="16"/>
              </w:rPr>
              <w:t>Dynamic baselines</w:t>
            </w:r>
          </w:p>
        </w:tc>
        <w:tc>
          <w:tcPr>
            <w:tcW w:type="dxa" w:w="6480"/>
            <w:vAlign w:val="center"/>
          </w:tcPr>
          <w:p>
            <w:pPr>
              <w:spacing w:after="0" w:line="252" w:lineRule="auto"/>
              <w:jc w:val="left"/>
            </w:pPr>
            <w:r>
              <w:rPr>
                <w:rFonts w:ascii="Calibri" w:hAnsi="Calibri"/>
                <w:color w:val="1E293B"/>
                <w:sz w:val="16"/>
              </w:rPr>
              <w:t>Defined sanitizers as complementary runtime evidence, never an equivalent detector or proof of validity.</w:t>
            </w:r>
          </w:p>
        </w:tc>
      </w:tr>
      <w:tr>
        <w:trPr>
          <w:cantSplit/>
        </w:trPr>
        <w:tc>
          <w:tcPr>
            <w:tcW w:type="dxa" w:w="648"/>
            <w:vAlign w:val="center"/>
          </w:tcPr>
          <w:p>
            <w:pPr>
              <w:spacing w:after="0" w:line="252" w:lineRule="auto"/>
              <w:jc w:val="left"/>
            </w:pPr>
            <w:r>
              <w:rPr>
                <w:rFonts w:ascii="Calibri" w:hAnsi="Calibri"/>
                <w:color w:val="1E293B"/>
                <w:sz w:val="16"/>
              </w:rPr>
              <w:t>14</w:t>
            </w:r>
          </w:p>
        </w:tc>
        <w:tc>
          <w:tcPr>
            <w:tcW w:type="dxa" w:w="2232"/>
            <w:vAlign w:val="center"/>
          </w:tcPr>
          <w:p>
            <w:pPr>
              <w:spacing w:after="0" w:line="252" w:lineRule="auto"/>
              <w:jc w:val="left"/>
            </w:pPr>
            <w:r>
              <w:rPr>
                <w:rFonts w:ascii="Calibri" w:hAnsi="Calibri"/>
                <w:color w:val="1E293B"/>
                <w:sz w:val="16"/>
              </w:rPr>
              <w:t>LLM protocol</w:t>
            </w:r>
          </w:p>
        </w:tc>
        <w:tc>
          <w:tcPr>
            <w:tcW w:type="dxa" w:w="6480"/>
            <w:vAlign w:val="center"/>
          </w:tcPr>
          <w:p>
            <w:pPr>
              <w:spacing w:after="0" w:line="252" w:lineRule="auto"/>
              <w:jc w:val="left"/>
            </w:pPr>
            <w:r>
              <w:rPr>
                <w:rFonts w:ascii="Calibri" w:hAnsi="Calibri"/>
                <w:color w:val="1E293B"/>
                <w:sz w:val="16"/>
              </w:rPr>
              <w:t>Specified two low-cost API IDs/served versions, 10×5 scenarios, prompts, non/minimum-thinking modes, metadata, costs, and Model-B three-run review/repair baselines.</w:t>
            </w:r>
          </w:p>
        </w:tc>
      </w:tr>
      <w:tr>
        <w:trPr>
          <w:cantSplit/>
        </w:trPr>
        <w:tc>
          <w:tcPr>
            <w:tcW w:type="dxa" w:w="648"/>
            <w:vAlign w:val="center"/>
          </w:tcPr>
          <w:p>
            <w:pPr>
              <w:spacing w:after="0" w:line="252" w:lineRule="auto"/>
              <w:jc w:val="left"/>
            </w:pPr>
            <w:r>
              <w:rPr>
                <w:rFonts w:ascii="Calibri" w:hAnsi="Calibri"/>
                <w:color w:val="1E293B"/>
                <w:sz w:val="16"/>
              </w:rPr>
              <w:t>15</w:t>
            </w:r>
          </w:p>
        </w:tc>
        <w:tc>
          <w:tcPr>
            <w:tcW w:type="dxa" w:w="2232"/>
            <w:vAlign w:val="center"/>
          </w:tcPr>
          <w:p>
            <w:pPr>
              <w:spacing w:after="0" w:line="252" w:lineRule="auto"/>
              <w:jc w:val="left"/>
            </w:pPr>
            <w:r>
              <w:rPr>
                <w:rFonts w:ascii="Calibri" w:hAnsi="Calibri"/>
                <w:color w:val="1E293B"/>
                <w:sz w:val="16"/>
              </w:rPr>
              <w:t>Repair baselines</w:t>
            </w:r>
          </w:p>
        </w:tc>
        <w:tc>
          <w:tcPr>
            <w:tcW w:type="dxa" w:w="6480"/>
            <w:vAlign w:val="center"/>
          </w:tcPr>
          <w:p>
            <w:pPr>
              <w:spacing w:after="0" w:line="252" w:lineRule="auto"/>
              <w:jc w:val="left"/>
            </w:pPr>
            <w:r>
              <w:rPr>
                <w:rFonts w:ascii="Calibri" w:hAnsi="Calibri"/>
                <w:color w:val="1E293B"/>
                <w:sz w:val="16"/>
              </w:rPr>
              <w:t>Retained no repair, generic LLM, evidence-feedback LLM, and deterministic repair, but moved all repair after Gate V with a 20-case threshold and 40-case cap.</w:t>
            </w:r>
          </w:p>
        </w:tc>
      </w:tr>
      <w:tr>
        <w:trPr>
          <w:cantSplit/>
        </w:trPr>
        <w:tc>
          <w:tcPr>
            <w:tcW w:type="dxa" w:w="648"/>
            <w:vAlign w:val="center"/>
          </w:tcPr>
          <w:p>
            <w:pPr>
              <w:spacing w:after="0" w:line="252" w:lineRule="auto"/>
              <w:jc w:val="left"/>
            </w:pPr>
            <w:r>
              <w:rPr>
                <w:rFonts w:ascii="Calibri" w:hAnsi="Calibri"/>
                <w:color w:val="1E293B"/>
                <w:sz w:val="16"/>
              </w:rPr>
              <w:t>16</w:t>
            </w:r>
          </w:p>
        </w:tc>
        <w:tc>
          <w:tcPr>
            <w:tcW w:type="dxa" w:w="2232"/>
            <w:vAlign w:val="center"/>
          </w:tcPr>
          <w:p>
            <w:pPr>
              <w:spacing w:after="0" w:line="252" w:lineRule="auto"/>
              <w:jc w:val="left"/>
            </w:pPr>
            <w:r>
              <w:rPr>
                <w:rFonts w:ascii="Calibri" w:hAnsi="Calibri"/>
                <w:color w:val="1E293B"/>
                <w:sz w:val="16"/>
              </w:rPr>
              <w:t>Repair acceptance</w:t>
            </w:r>
          </w:p>
        </w:tc>
        <w:tc>
          <w:tcPr>
            <w:tcW w:type="dxa" w:w="6480"/>
            <w:vAlign w:val="center"/>
          </w:tcPr>
          <w:p>
            <w:pPr>
              <w:spacing w:after="0" w:line="252" w:lineRule="auto"/>
              <w:jc w:val="left"/>
            </w:pPr>
            <w:r>
              <w:rPr>
                <w:rFonts w:ascii="Calibri" w:hAnsi="Calibri"/>
                <w:color w:val="1E293B"/>
                <w:sz w:val="16"/>
              </w:rPr>
              <w:t>Formalized five gates and relative minimality; added quarantine, post-freeze implementation, and no-backflow controls.</w:t>
            </w:r>
          </w:p>
        </w:tc>
      </w:tr>
      <w:tr>
        <w:trPr>
          <w:cantSplit/>
        </w:trPr>
        <w:tc>
          <w:tcPr>
            <w:tcW w:type="dxa" w:w="648"/>
            <w:vAlign w:val="center"/>
          </w:tcPr>
          <w:p>
            <w:pPr>
              <w:spacing w:after="0" w:line="252" w:lineRule="auto"/>
              <w:jc w:val="left"/>
            </w:pPr>
            <w:r>
              <w:rPr>
                <w:rFonts w:ascii="Calibri" w:hAnsi="Calibri"/>
                <w:color w:val="1E293B"/>
                <w:sz w:val="16"/>
              </w:rPr>
              <w:t>17</w:t>
            </w:r>
          </w:p>
        </w:tc>
        <w:tc>
          <w:tcPr>
            <w:tcW w:type="dxa" w:w="2232"/>
            <w:vAlign w:val="center"/>
          </w:tcPr>
          <w:p>
            <w:pPr>
              <w:spacing w:after="0" w:line="252" w:lineRule="auto"/>
              <w:jc w:val="left"/>
            </w:pPr>
            <w:r>
              <w:rPr>
                <w:rFonts w:ascii="Calibri" w:hAnsi="Calibri"/>
                <w:color w:val="1E293B"/>
                <w:sz w:val="16"/>
              </w:rPr>
              <w:t>Clustering</w:t>
            </w:r>
          </w:p>
        </w:tc>
        <w:tc>
          <w:tcPr>
            <w:tcW w:type="dxa" w:w="6480"/>
            <w:vAlign w:val="center"/>
          </w:tcPr>
          <w:p>
            <w:pPr>
              <w:spacing w:after="0" w:line="252" w:lineRule="auto"/>
              <w:jc w:val="left"/>
            </w:pPr>
            <w:r>
              <w:rPr>
                <w:rFonts w:ascii="Calibri" w:hAnsi="Calibri"/>
                <w:color w:val="1E293B"/>
                <w:sz w:val="16"/>
              </w:rPr>
              <w:t>Added driver-level bootstrap within library strata, macro/micro averages, and cluster-aware paired comparisons.</w:t>
            </w:r>
          </w:p>
        </w:tc>
      </w:tr>
      <w:tr>
        <w:trPr>
          <w:cantSplit/>
        </w:trPr>
        <w:tc>
          <w:tcPr>
            <w:tcW w:type="dxa" w:w="648"/>
            <w:vAlign w:val="center"/>
          </w:tcPr>
          <w:p>
            <w:pPr>
              <w:spacing w:after="0" w:line="252" w:lineRule="auto"/>
              <w:jc w:val="left"/>
            </w:pPr>
            <w:r>
              <w:rPr>
                <w:rFonts w:ascii="Calibri" w:hAnsi="Calibri"/>
                <w:color w:val="1E293B"/>
                <w:sz w:val="16"/>
              </w:rPr>
              <w:t>18</w:t>
            </w:r>
          </w:p>
        </w:tc>
        <w:tc>
          <w:tcPr>
            <w:tcW w:type="dxa" w:w="2232"/>
            <w:vAlign w:val="center"/>
          </w:tcPr>
          <w:p>
            <w:pPr>
              <w:spacing w:after="0" w:line="252" w:lineRule="auto"/>
              <w:jc w:val="left"/>
            </w:pPr>
            <w:r>
              <w:rPr>
                <w:rFonts w:ascii="Calibri" w:hAnsi="Calibri"/>
                <w:color w:val="1E293B"/>
                <w:sz w:val="16"/>
              </w:rPr>
              <w:t>Model/library freeze</w:t>
            </w:r>
          </w:p>
        </w:tc>
        <w:tc>
          <w:tcPr>
            <w:tcW w:type="dxa" w:w="6480"/>
            <w:vAlign w:val="center"/>
          </w:tcPr>
          <w:p>
            <w:pPr>
              <w:spacing w:after="0" w:line="252" w:lineRule="auto"/>
              <w:jc w:val="left"/>
            </w:pPr>
            <w:r>
              <w:rPr>
                <w:rFonts w:ascii="Calibri" w:hAnsi="Calibri"/>
                <w:color w:val="1E293B"/>
                <w:sz w:val="16"/>
              </w:rPr>
              <w:t>Fixed eight libraries, DeepSeek V4 Flash-0731 and Gemini 3.1 Flash-Lite, ten scenarios × five attempts per cell, and a served-version amendment stop rule.</w:t>
            </w:r>
          </w:p>
        </w:tc>
      </w:tr>
    </w:tbl>
    <w:p>
      <w:pPr>
        <w:spacing w:after="40"/>
      </w:pPr>
    </w:p>
    <w:p>
      <w:pPr>
        <w:pStyle w:val="Heading1"/>
        <w:keepNext/>
      </w:pPr>
      <w:r>
        <w:t>15. Pre-Experiment Registration Checklist</w:t>
      </w:r>
    </w:p>
    <w:p>
      <w:pPr>
        <w:spacing w:after="100" w:line="290" w:lineRule="auto"/>
        <w:ind w:left="720" w:hanging="360"/>
      </w:pPr>
      <w:r>
        <w:rPr>
          <w:rFonts w:ascii="Calibri" w:hAnsi="Calibri"/>
          <w:color w:val="1E293B"/>
          <w:sz w:val="22"/>
        </w:rPr>
        <w:t>☐ Exact source commit and build recipe for each of the eight libraries recorded.</w:t>
      </w:r>
    </w:p>
    <w:p>
      <w:pPr>
        <w:spacing w:after="100" w:line="290" w:lineRule="auto"/>
        <w:ind w:left="720" w:hanging="360"/>
      </w:pPr>
      <w:r>
        <w:rPr>
          <w:rFonts w:ascii="Calibri" w:hAnsi="Calibri"/>
          <w:color w:val="1E293B"/>
          <w:sz w:val="22"/>
        </w:rPr>
        <w:t>☐ `deepseek-v4-flash`/DeepSeek-V4-Flash-0731 and `gemini-3.1-flash-lite` availability, returned versions, price sheets, and one generation window recorded.</w:t>
      </w:r>
    </w:p>
    <w:p>
      <w:pPr>
        <w:spacing w:after="100" w:line="290" w:lineRule="auto"/>
        <w:ind w:left="720" w:hanging="360"/>
      </w:pPr>
      <w:r>
        <w:rPr>
          <w:rFonts w:ascii="Calibri" w:hAnsi="Calibri"/>
          <w:color w:val="1E293B"/>
          <w:sz w:val="22"/>
        </w:rPr>
        <w:t>☐ Ten scenarios per library, exact API bindings, five attempts per scenario/model, prompts, parameters, 800-attempt manifest, retry policy, and compilation procedure frozen.</w:t>
      </w:r>
    </w:p>
    <w:p>
      <w:pPr>
        <w:spacing w:after="100" w:line="290" w:lineRule="auto"/>
        <w:ind w:left="720" w:hanging="360"/>
      </w:pPr>
      <w:r>
        <w:rPr>
          <w:rFonts w:ascii="Calibri" w:hAnsi="Calibri"/>
          <w:color w:val="1E293B"/>
          <w:sz w:val="22"/>
        </w:rPr>
        <w:t>☐ Protocol source whitelist/prohibited-source policy, authors, reviewers, creation dates, and evidence digests recorded.</w:t>
      </w:r>
    </w:p>
    <w:p>
      <w:pPr>
        <w:spacing w:after="100" w:line="290" w:lineRule="auto"/>
        <w:ind w:left="720" w:hanging="360"/>
      </w:pPr>
      <w:r>
        <w:rPr>
          <w:rFonts w:ascii="Calibri" w:hAnsi="Calibri"/>
          <w:color w:val="1E293B"/>
          <w:sz w:val="22"/>
        </w:rPr>
        <w:t>☐ Obligation normalization, VALID/VIOLATION/UNKNOWN, MUST/MAY, and UNKNOWN limitation codes frozen.</w:t>
      </w:r>
    </w:p>
    <w:p>
      <w:pPr>
        <w:spacing w:after="100" w:line="290" w:lineRule="auto"/>
        <w:ind w:left="720" w:hanging="360"/>
      </w:pPr>
      <w:r>
        <w:rPr>
          <w:rFonts w:ascii="Calibri" w:hAnsi="Calibri"/>
          <w:color w:val="1E293B"/>
          <w:sz w:val="22"/>
        </w:rPr>
        <w:t>☐ Clang/LLVM/compiler/sanitizer versions and all state/alias/loop bounds frozen.</w:t>
      </w:r>
    </w:p>
    <w:p>
      <w:pPr>
        <w:spacing w:after="100" w:line="290" w:lineRule="auto"/>
        <w:ind w:left="720" w:hanging="360"/>
      </w:pPr>
      <w:r>
        <w:rPr>
          <w:rFonts w:ascii="Calibri" w:hAnsi="Calibri"/>
          <w:color w:val="1E293B"/>
          <w:sz w:val="22"/>
        </w:rPr>
        <w:t>☐ Up-to-140 sampling probabilities, whole-driver dual annotation, developer exclusion, exposure quarantine, third adjudication, agreement metrics, power curve, and minimum-positive rules frozen.</w:t>
      </w:r>
    </w:p>
    <w:p>
      <w:pPr>
        <w:spacing w:after="100" w:line="290" w:lineRule="auto"/>
        <w:ind w:left="720" w:hanging="360"/>
      </w:pPr>
      <w:r>
        <w:rPr>
          <w:rFonts w:ascii="Calibri" w:hAnsi="Calibri"/>
          <w:color w:val="1E293B"/>
          <w:sz w:val="22"/>
        </w:rPr>
        <w:t>☐ QuartetFuzz commit, model, stage configuration, shared subset, and execution-failure rule frozen.</w:t>
      </w:r>
    </w:p>
    <w:p>
      <w:pPr>
        <w:spacing w:after="100" w:line="290" w:lineRule="auto"/>
        <w:ind w:left="720" w:hanging="360"/>
      </w:pPr>
      <w:r>
        <w:rPr>
          <w:rFonts w:ascii="Calibri" w:hAnsi="Calibri"/>
          <w:color w:val="1E293B"/>
          <w:sz w:val="22"/>
        </w:rPr>
        <w:t>☐ Gate V no-backflow rule, 20-case confirmatory threshold, 40-case cap, repair templates, five gates, minimality order, Model-B repair prompts, repeats, and cost protocol frozen.</w:t>
      </w:r>
    </w:p>
    <w:p>
      <w:pPr>
        <w:spacing w:after="100" w:line="290" w:lineRule="auto"/>
        <w:ind w:left="720" w:hanging="360"/>
      </w:pPr>
      <w:r>
        <w:rPr>
          <w:rFonts w:ascii="Calibri" w:hAnsi="Calibri"/>
          <w:color w:val="1E293B"/>
          <w:sz w:val="22"/>
        </w:rPr>
        <w:t>☐ Driver-level stratified bootstrap, macro/micro metrics, multiplicity rule, and mutation separation frozen.</w:t>
      </w:r>
    </w:p>
    <w:p>
      <w:pPr>
        <w:pStyle w:val="Heading1"/>
        <w:keepNext/>
      </w:pPr>
      <w:r>
        <w:t>References</w:t>
      </w:r>
    </w:p>
    <w:p>
      <w:pPr>
        <w:spacing w:after="60" w:line="240" w:lineRule="auto"/>
        <w:ind w:left="403" w:hanging="403"/>
      </w:pPr>
      <w:r>
        <w:rPr>
          <w:rFonts w:ascii="Calibri" w:hAnsi="Calibri"/>
          <w:b/>
          <w:color w:val="1F4D78"/>
          <w:sz w:val="17"/>
        </w:rPr>
        <w:t xml:space="preserve">[1] </w:t>
      </w:r>
      <w:r>
        <w:rPr>
          <w:rFonts w:ascii="Calibri" w:hAnsi="Calibri"/>
          <w:color w:val="1E293B"/>
          <w:sz w:val="17"/>
        </w:rPr>
        <w:t xml:space="preserve">Z. Sheng et al., “Quality-Assured Fuzz Harness Generation via the Four Principles Framework,” arXiv:2605.21824, 2026. </w:t>
      </w:r>
      <w:hyperlink r:id="rId12">
        <w:r>
          <w:rPr>
            <w:rFonts w:ascii="Calibri" w:hAnsi="Calibri"/>
            <w:color w:val="2E74B5"/>
            <w:u w:val="single"/>
          </w:rPr>
          <w:t>https://arxiv.org/abs/2605.21824</w:t>
        </w:r>
      </w:hyperlink>
    </w:p>
    <w:p>
      <w:pPr>
        <w:spacing w:after="60" w:line="240" w:lineRule="auto"/>
        <w:ind w:left="403" w:hanging="403"/>
      </w:pPr>
      <w:r>
        <w:rPr>
          <w:rFonts w:ascii="Calibri" w:hAnsi="Calibri"/>
          <w:b/>
          <w:color w:val="1F4D78"/>
          <w:sz w:val="17"/>
        </w:rPr>
        <w:t xml:space="preserve">[2] </w:t>
      </w:r>
      <w:r>
        <w:rPr>
          <w:rFonts w:ascii="Calibri" w:hAnsi="Calibri"/>
          <w:color w:val="1E293B"/>
          <w:sz w:val="17"/>
        </w:rPr>
        <w:t xml:space="preserve">OwenSanzas, “QuartetFuzz: Reproduction Artifact,” GitHub repository, accessed 2 August 2026. </w:t>
      </w:r>
      <w:hyperlink r:id="rId13">
        <w:r>
          <w:rPr>
            <w:rFonts w:ascii="Calibri" w:hAnsi="Calibri"/>
            <w:color w:val="2E74B5"/>
            <w:u w:val="single"/>
          </w:rPr>
          <w:t>https://github.com/OwenSanzas/QuartetFuzz</w:t>
        </w:r>
      </w:hyperlink>
    </w:p>
    <w:p>
      <w:pPr>
        <w:spacing w:after="60" w:line="240" w:lineRule="auto"/>
        <w:ind w:left="403" w:hanging="403"/>
      </w:pPr>
      <w:r>
        <w:rPr>
          <w:rFonts w:ascii="Calibri" w:hAnsi="Calibri"/>
          <w:b/>
          <w:color w:val="1F4D78"/>
          <w:sz w:val="17"/>
        </w:rPr>
        <w:t xml:space="preserve">[3] </w:t>
      </w:r>
      <w:r>
        <w:rPr>
          <w:rFonts w:ascii="Calibri" w:hAnsi="Calibri"/>
          <w:color w:val="1E293B"/>
          <w:sz w:val="17"/>
        </w:rPr>
        <w:t xml:space="preserve">Y. Lyu, Y. Xie, P. Chen, and H. Chen, “Prompt Fuzzing for Fuzz Driver Generation,” ACM CCS, 2024. </w:t>
      </w:r>
      <w:hyperlink r:id="rId14">
        <w:r>
          <w:rPr>
            <w:rFonts w:ascii="Calibri" w:hAnsi="Calibri"/>
            <w:color w:val="2E74B5"/>
            <w:u w:val="single"/>
          </w:rPr>
          <w:t>https://dl.acm.org/doi/10.1145/3658644.3670396</w:t>
        </w:r>
      </w:hyperlink>
    </w:p>
    <w:p>
      <w:pPr>
        <w:spacing w:after="60" w:line="240" w:lineRule="auto"/>
        <w:ind w:left="403" w:hanging="403"/>
      </w:pPr>
      <w:r>
        <w:rPr>
          <w:rFonts w:ascii="Calibri" w:hAnsi="Calibri"/>
          <w:b/>
          <w:color w:val="1F4D78"/>
          <w:sz w:val="17"/>
        </w:rPr>
        <w:t xml:space="preserve">[4] </w:t>
      </w:r>
      <w:r>
        <w:rPr>
          <w:rFonts w:ascii="Calibri" w:hAnsi="Calibri"/>
          <w:color w:val="1E293B"/>
          <w:sz w:val="17"/>
        </w:rPr>
        <w:t xml:space="preserve">H. Xu et al., “CKGFuzzer: LLM-Based Fuzz Driver Generation Enhanced by Code Knowledge Graph,” ICSE Companion, 2025. </w:t>
      </w:r>
      <w:hyperlink r:id="rId15">
        <w:r>
          <w:rPr>
            <w:rFonts w:ascii="Calibri" w:hAnsi="Calibri"/>
            <w:color w:val="2E74B5"/>
            <w:u w:val="single"/>
          </w:rPr>
          <w:t>https://dl.acm.org/doi/10.1109/ICSE-Companion66252.2025.00079</w:t>
        </w:r>
      </w:hyperlink>
    </w:p>
    <w:p>
      <w:pPr>
        <w:spacing w:after="60" w:line="240" w:lineRule="auto"/>
        <w:ind w:left="403" w:hanging="403"/>
      </w:pPr>
      <w:r>
        <w:rPr>
          <w:rFonts w:ascii="Calibri" w:hAnsi="Calibri"/>
          <w:b/>
          <w:color w:val="1F4D78"/>
          <w:sz w:val="17"/>
        </w:rPr>
        <w:t xml:space="preserve">[5] </w:t>
      </w:r>
      <w:r>
        <w:rPr>
          <w:rFonts w:ascii="Calibri" w:hAnsi="Calibri"/>
          <w:color w:val="1E293B"/>
          <w:sz w:val="17"/>
        </w:rPr>
        <w:t xml:space="preserve">Y. Liu et al., “PromeFuzz: A Knowledge-Driven Approach to Fuzzing Harness Generation with Large Language Models,” ACM CCS, 2025. </w:t>
      </w:r>
      <w:hyperlink r:id="rId16">
        <w:r>
          <w:rPr>
            <w:rFonts w:ascii="Calibri" w:hAnsi="Calibri"/>
            <w:color w:val="2E74B5"/>
            <w:u w:val="single"/>
          </w:rPr>
          <w:t>https://dl.acm.org/doi/10.1145/3719027.3765222</w:t>
        </w:r>
      </w:hyperlink>
    </w:p>
    <w:p>
      <w:pPr>
        <w:spacing w:after="60" w:line="240" w:lineRule="auto"/>
        <w:ind w:left="403" w:hanging="403"/>
      </w:pPr>
      <w:r>
        <w:rPr>
          <w:rFonts w:ascii="Calibri" w:hAnsi="Calibri"/>
          <w:b/>
          <w:color w:val="1F4D78"/>
          <w:sz w:val="17"/>
        </w:rPr>
        <w:t xml:space="preserve">[6] </w:t>
      </w:r>
      <w:r>
        <w:rPr>
          <w:rFonts w:ascii="Calibri" w:hAnsi="Calibri"/>
          <w:color w:val="1E293B"/>
          <w:sz w:val="17"/>
        </w:rPr>
        <w:t xml:space="preserve">Google, “OSS-Fuzz-Gen: Automated Fuzz Target Generation via Large Language Models,” GitHub repository. </w:t>
      </w:r>
      <w:hyperlink r:id="rId17">
        <w:r>
          <w:rPr>
            <w:rFonts w:ascii="Calibri" w:hAnsi="Calibri"/>
            <w:color w:val="2E74B5"/>
            <w:u w:val="single"/>
          </w:rPr>
          <w:t>https://github.com/google/oss-fuzz-gen</w:t>
        </w:r>
      </w:hyperlink>
    </w:p>
    <w:p>
      <w:pPr>
        <w:spacing w:after="60" w:line="240" w:lineRule="auto"/>
        <w:ind w:left="403" w:hanging="403"/>
      </w:pPr>
      <w:r>
        <w:rPr>
          <w:rFonts w:ascii="Calibri" w:hAnsi="Calibri"/>
          <w:b/>
          <w:color w:val="1F4D78"/>
          <w:sz w:val="17"/>
        </w:rPr>
        <w:t xml:space="preserve">[7] </w:t>
      </w:r>
      <w:r>
        <w:rPr>
          <w:rFonts w:ascii="Calibri" w:hAnsi="Calibri"/>
          <w:color w:val="1E293B"/>
          <w:sz w:val="17"/>
        </w:rPr>
        <w:t xml:space="preserve">K. Yang et al., “HarnessAgent: Scaling Automatic Fuzzing Harness Construction with Tool-Augmented LLM Pipelines,” arXiv:2512.03420, 2025. </w:t>
      </w:r>
      <w:hyperlink r:id="rId18">
        <w:r>
          <w:rPr>
            <w:rFonts w:ascii="Calibri" w:hAnsi="Calibri"/>
            <w:color w:val="2E74B5"/>
            <w:u w:val="single"/>
          </w:rPr>
          <w:t>https://arxiv.org/abs/2512.03420</w:t>
        </w:r>
      </w:hyperlink>
    </w:p>
    <w:p>
      <w:pPr>
        <w:spacing w:after="60" w:line="240" w:lineRule="auto"/>
        <w:ind w:left="403" w:hanging="403"/>
      </w:pPr>
      <w:r>
        <w:rPr>
          <w:rFonts w:ascii="Calibri" w:hAnsi="Calibri"/>
          <w:b/>
          <w:color w:val="1F4D78"/>
          <w:sz w:val="17"/>
        </w:rPr>
        <w:t xml:space="preserve">[8] </w:t>
      </w:r>
      <w:r>
        <w:rPr>
          <w:rFonts w:ascii="Calibri" w:hAnsi="Calibri"/>
          <w:color w:val="1E293B"/>
          <w:sz w:val="17"/>
        </w:rPr>
        <w:t xml:space="preserve">G. Sherman and S. Nagy, “No Harness, No Problem: Oracle-Guided Harnessing for Auto-Generating C API Fuzzing Harnesses,” ICSE, 2025. </w:t>
      </w:r>
      <w:hyperlink r:id="rId19">
        <w:r>
          <w:rPr>
            <w:rFonts w:ascii="Calibri" w:hAnsi="Calibri"/>
            <w:color w:val="2E74B5"/>
            <w:u w:val="single"/>
          </w:rPr>
          <w:t>https://dl.acm.org/doi/10.1109/ICSE55347.2025.00239</w:t>
        </w:r>
      </w:hyperlink>
    </w:p>
    <w:p>
      <w:pPr>
        <w:spacing w:after="60" w:line="240" w:lineRule="auto"/>
        <w:ind w:left="403" w:hanging="403"/>
      </w:pPr>
      <w:r>
        <w:rPr>
          <w:rFonts w:ascii="Calibri" w:hAnsi="Calibri"/>
          <w:b/>
          <w:color w:val="1F4D78"/>
          <w:sz w:val="17"/>
        </w:rPr>
        <w:t xml:space="preserve">[9] </w:t>
      </w:r>
      <w:r>
        <w:rPr>
          <w:rFonts w:ascii="Calibri" w:hAnsi="Calibri"/>
          <w:color w:val="1E293B"/>
          <w:sz w:val="17"/>
        </w:rPr>
        <w:t xml:space="preserve">D. Babić et al., “FUDGE: Fuzz Driver Generation at Scale,” ESEC/FSE, 2019. </w:t>
      </w:r>
      <w:hyperlink r:id="rId20">
        <w:r>
          <w:rPr>
            <w:rFonts w:ascii="Calibri" w:hAnsi="Calibri"/>
            <w:color w:val="2E74B5"/>
            <w:u w:val="single"/>
          </w:rPr>
          <w:t>https://dl.acm.org/doi/10.1145/3338906.3340456</w:t>
        </w:r>
      </w:hyperlink>
    </w:p>
    <w:p>
      <w:pPr>
        <w:spacing w:after="60" w:line="240" w:lineRule="auto"/>
        <w:ind w:left="403" w:hanging="403"/>
      </w:pPr>
      <w:r>
        <w:rPr>
          <w:rFonts w:ascii="Calibri" w:hAnsi="Calibri"/>
          <w:b/>
          <w:color w:val="1F4D78"/>
          <w:sz w:val="17"/>
        </w:rPr>
        <w:t xml:space="preserve">[10] </w:t>
      </w:r>
      <w:r>
        <w:rPr>
          <w:rFonts w:ascii="Calibri" w:hAnsi="Calibri"/>
          <w:color w:val="1E293B"/>
          <w:sz w:val="17"/>
        </w:rPr>
        <w:t xml:space="preserve">K. K. Ispoglou et al., “FuzzGen: Automatic Fuzzer Generation,” USENIX Security, 2020. </w:t>
      </w:r>
      <w:hyperlink r:id="rId21">
        <w:r>
          <w:rPr>
            <w:rFonts w:ascii="Calibri" w:hAnsi="Calibri"/>
            <w:color w:val="2E74B5"/>
            <w:u w:val="single"/>
          </w:rPr>
          <w:t>https://www.usenix.org/conference/usenixsecurity20/presentation/ispoglou</w:t>
        </w:r>
      </w:hyperlink>
    </w:p>
    <w:p>
      <w:pPr>
        <w:spacing w:after="60" w:line="240" w:lineRule="auto"/>
        <w:ind w:left="403" w:hanging="403"/>
      </w:pPr>
      <w:r>
        <w:rPr>
          <w:rFonts w:ascii="Calibri" w:hAnsi="Calibri"/>
          <w:b/>
          <w:color w:val="1F4D78"/>
          <w:sz w:val="17"/>
        </w:rPr>
        <w:t xml:space="preserve">[11] </w:t>
      </w:r>
      <w:r>
        <w:rPr>
          <w:rFonts w:ascii="Calibri" w:hAnsi="Calibri"/>
          <w:color w:val="1E293B"/>
          <w:sz w:val="17"/>
        </w:rPr>
        <w:t xml:space="preserve">H. Green and T. Avgerinos, “GraphFuzz: Library API Fuzzing with Lifetime-Aware Dataflow Graphs,” ICSE, 2022. </w:t>
      </w:r>
      <w:hyperlink r:id="rId22">
        <w:r>
          <w:rPr>
            <w:rFonts w:ascii="Calibri" w:hAnsi="Calibri"/>
            <w:color w:val="2E74B5"/>
            <w:u w:val="single"/>
          </w:rPr>
          <w:t>https://dl.acm.org/doi/10.1145/3510003.3510228</w:t>
        </w:r>
      </w:hyperlink>
    </w:p>
    <w:p>
      <w:pPr>
        <w:spacing w:after="60" w:line="240" w:lineRule="auto"/>
        <w:ind w:left="403" w:hanging="403"/>
      </w:pPr>
      <w:r>
        <w:rPr>
          <w:rFonts w:ascii="Calibri" w:hAnsi="Calibri"/>
          <w:b/>
          <w:color w:val="1F4D78"/>
          <w:sz w:val="17"/>
        </w:rPr>
        <w:t xml:space="preserve">[12] </w:t>
      </w:r>
      <w:r>
        <w:rPr>
          <w:rFonts w:ascii="Calibri" w:hAnsi="Calibri"/>
          <w:color w:val="1E293B"/>
          <w:sz w:val="17"/>
        </w:rPr>
        <w:t xml:space="preserve">P. Chen et al., “HOPPER: Interpretative Fuzzing for Libraries,” ACM CCS, 2023. </w:t>
      </w:r>
      <w:hyperlink r:id="rId23">
        <w:r>
          <w:rPr>
            <w:rFonts w:ascii="Calibri" w:hAnsi="Calibri"/>
            <w:color w:val="2E74B5"/>
            <w:u w:val="single"/>
          </w:rPr>
          <w:t>https://dl.acm.org/doi/10.1145/3576915.3616610</w:t>
        </w:r>
      </w:hyperlink>
    </w:p>
    <w:p>
      <w:pPr>
        <w:spacing w:after="60" w:line="240" w:lineRule="auto"/>
        <w:ind w:left="403" w:hanging="403"/>
      </w:pPr>
      <w:r>
        <w:rPr>
          <w:rFonts w:ascii="Calibri" w:hAnsi="Calibri"/>
          <w:b/>
          <w:color w:val="1F4D78"/>
          <w:sz w:val="17"/>
        </w:rPr>
        <w:t xml:space="preserve">[13] </w:t>
      </w:r>
      <w:r>
        <w:rPr>
          <w:rFonts w:ascii="Calibri" w:hAnsi="Calibri"/>
          <w:color w:val="1E293B"/>
          <w:sz w:val="17"/>
        </w:rPr>
        <w:t xml:space="preserve">B. Jeong et al., “UTopia: Automatic Generation of Fuzz Driver Using Unit Tests,” IEEE S&amp;P, 2023. </w:t>
      </w:r>
      <w:hyperlink r:id="rId24">
        <w:r>
          <w:rPr>
            <w:rFonts w:ascii="Calibri" w:hAnsi="Calibri"/>
            <w:color w:val="2E74B5"/>
            <w:u w:val="single"/>
          </w:rPr>
          <w:t>https://ieeexplore.ieee.org/document/10179394</w:t>
        </w:r>
      </w:hyperlink>
    </w:p>
    <w:p>
      <w:pPr>
        <w:spacing w:after="60" w:line="240" w:lineRule="auto"/>
        <w:ind w:left="403" w:hanging="403"/>
      </w:pPr>
      <w:r>
        <w:rPr>
          <w:rFonts w:ascii="Calibri" w:hAnsi="Calibri"/>
          <w:b/>
          <w:color w:val="1F4D78"/>
          <w:sz w:val="17"/>
        </w:rPr>
        <w:t xml:space="preserve">[14] </w:t>
      </w:r>
      <w:r>
        <w:rPr>
          <w:rFonts w:ascii="Calibri" w:hAnsi="Calibri"/>
          <w:color w:val="1E293B"/>
          <w:sz w:val="17"/>
        </w:rPr>
        <w:t xml:space="preserve">C. Zhang et al., “Automata-Guided Control-Flow-Sensitive Fuzz Driver Generation,” USENIX Security, 2023. </w:t>
      </w:r>
      <w:hyperlink r:id="rId25">
        <w:r>
          <w:rPr>
            <w:rFonts w:ascii="Calibri" w:hAnsi="Calibri"/>
            <w:color w:val="2E74B5"/>
            <w:u w:val="single"/>
          </w:rPr>
          <w:t>https://www.usenix.org/conference/usenixsecurity23/presentation/zhang-cen</w:t>
        </w:r>
      </w:hyperlink>
    </w:p>
    <w:p>
      <w:pPr>
        <w:spacing w:after="60" w:line="240" w:lineRule="auto"/>
        <w:ind w:left="403" w:hanging="403"/>
      </w:pPr>
      <w:r>
        <w:rPr>
          <w:rFonts w:ascii="Calibri" w:hAnsi="Calibri"/>
          <w:b/>
          <w:color w:val="1F4D78"/>
          <w:sz w:val="17"/>
        </w:rPr>
        <w:t xml:space="preserve">[15] </w:t>
      </w:r>
      <w:r>
        <w:rPr>
          <w:rFonts w:ascii="Calibri" w:hAnsi="Calibri"/>
          <w:color w:val="1E293B"/>
          <w:sz w:val="17"/>
        </w:rPr>
        <w:t xml:space="preserve">C. Zhang et al., “APICraft: Fuzz Driver Generation for Closed-Source SDK Libraries,” USENIX Security, 2021. </w:t>
      </w:r>
      <w:hyperlink r:id="rId26">
        <w:r>
          <w:rPr>
            <w:rFonts w:ascii="Calibri" w:hAnsi="Calibri"/>
            <w:color w:val="2E74B5"/>
            <w:u w:val="single"/>
          </w:rPr>
          <w:t>https://www.usenix.org/conference/usenixsecurity21/presentation/zhang-cen</w:t>
        </w:r>
      </w:hyperlink>
    </w:p>
    <w:p>
      <w:pPr>
        <w:spacing w:after="60" w:line="240" w:lineRule="auto"/>
        <w:ind w:left="403" w:hanging="403"/>
      </w:pPr>
      <w:r>
        <w:rPr>
          <w:rFonts w:ascii="Calibri" w:hAnsi="Calibri"/>
          <w:b/>
          <w:color w:val="1F4D78"/>
          <w:sz w:val="17"/>
        </w:rPr>
        <w:t xml:space="preserve">[16] </w:t>
      </w:r>
      <w:r>
        <w:rPr>
          <w:rFonts w:ascii="Calibri" w:hAnsi="Calibri"/>
          <w:color w:val="1E293B"/>
          <w:sz w:val="17"/>
        </w:rPr>
        <w:t xml:space="preserve">I. Yun et al., “APISan: Sanitizing API Usages through Semantic Cross-Checking,” USENIX Security, 2016. </w:t>
      </w:r>
      <w:hyperlink r:id="rId27">
        <w:r>
          <w:rPr>
            <w:rFonts w:ascii="Calibri" w:hAnsi="Calibri"/>
            <w:color w:val="2E74B5"/>
            <w:u w:val="single"/>
          </w:rPr>
          <w:t>https://www.usenix.org/conference/usenixsecurity16/technical-sessions/presentation/yun</w:t>
        </w:r>
      </w:hyperlink>
    </w:p>
    <w:p>
      <w:pPr>
        <w:spacing w:after="60" w:line="240" w:lineRule="auto"/>
        <w:ind w:left="403" w:hanging="403"/>
      </w:pPr>
      <w:r>
        <w:rPr>
          <w:rFonts w:ascii="Calibri" w:hAnsi="Calibri"/>
          <w:b/>
          <w:color w:val="1F4D78"/>
          <w:sz w:val="17"/>
        </w:rPr>
        <w:t xml:space="preserve">[17] </w:t>
      </w:r>
      <w:r>
        <w:rPr>
          <w:rFonts w:ascii="Calibri" w:hAnsi="Calibri"/>
          <w:color w:val="1E293B"/>
          <w:sz w:val="17"/>
        </w:rPr>
        <w:t xml:space="preserve">D. Wang et al., “CarpetFuzz: Automatic Program Option Constraint Extraction from Documentation for Fuzzing,” USENIX Security, 2023. </w:t>
      </w:r>
      <w:hyperlink r:id="rId28">
        <w:r>
          <w:rPr>
            <w:rFonts w:ascii="Calibri" w:hAnsi="Calibri"/>
            <w:color w:val="2E74B5"/>
            <w:u w:val="single"/>
          </w:rPr>
          <w:t>https://www.usenix.org/conference/usenixsecurity23/presentation/wang-dawei</w:t>
        </w:r>
      </w:hyperlink>
    </w:p>
    <w:p>
      <w:pPr>
        <w:spacing w:after="60" w:line="240" w:lineRule="auto"/>
        <w:ind w:left="403" w:hanging="403"/>
      </w:pPr>
      <w:r>
        <w:rPr>
          <w:rFonts w:ascii="Calibri" w:hAnsi="Calibri"/>
          <w:b/>
          <w:color w:val="1F4D78"/>
          <w:sz w:val="17"/>
        </w:rPr>
        <w:t xml:space="preserve">[18] </w:t>
      </w:r>
      <w:r>
        <w:rPr>
          <w:rFonts w:ascii="Calibri" w:hAnsi="Calibri"/>
          <w:color w:val="1E293B"/>
          <w:sz w:val="17"/>
        </w:rPr>
        <w:t xml:space="preserve">Y. Sui and J. Xue, “SVF: Interprocedural Static Value-Flow Analysis in LLVM,” Compiler Construction, 2016. </w:t>
      </w:r>
      <w:hyperlink r:id="rId29">
        <w:r>
          <w:rPr>
            <w:rFonts w:ascii="Calibri" w:hAnsi="Calibri"/>
            <w:color w:val="2E74B5"/>
            <w:u w:val="single"/>
          </w:rPr>
          <w:t>https://dl.acm.org/doi/10.1145/2892208.2892235</w:t>
        </w:r>
      </w:hyperlink>
    </w:p>
    <w:p>
      <w:pPr>
        <w:spacing w:after="60" w:line="240" w:lineRule="auto"/>
        <w:ind w:left="403" w:hanging="403"/>
      </w:pPr>
      <w:r>
        <w:rPr>
          <w:rFonts w:ascii="Calibri" w:hAnsi="Calibri"/>
          <w:b/>
          <w:color w:val="1F4D78"/>
          <w:sz w:val="17"/>
        </w:rPr>
        <w:t xml:space="preserve">[19] </w:t>
      </w:r>
      <w:r>
        <w:rPr>
          <w:rFonts w:ascii="Calibri" w:hAnsi="Calibri"/>
          <w:color w:val="1E293B"/>
          <w:sz w:val="17"/>
        </w:rPr>
        <w:t xml:space="preserve">LLVM Project, “libFuzzer — a Library for Coverage-Guided Fuzz Testing.” </w:t>
      </w:r>
      <w:hyperlink r:id="rId30">
        <w:r>
          <w:rPr>
            <w:rFonts w:ascii="Calibri" w:hAnsi="Calibri"/>
            <w:color w:val="2E74B5"/>
            <w:u w:val="single"/>
          </w:rPr>
          <w:t>https://llvm.org/docs/LibFuzzer.html</w:t>
        </w:r>
      </w:hyperlink>
    </w:p>
    <w:p>
      <w:pPr>
        <w:spacing w:after="60" w:line="240" w:lineRule="auto"/>
        <w:ind w:left="403" w:hanging="403"/>
      </w:pPr>
      <w:r>
        <w:rPr>
          <w:rFonts w:ascii="Calibri" w:hAnsi="Calibri"/>
          <w:b/>
          <w:color w:val="1F4D78"/>
          <w:sz w:val="17"/>
        </w:rPr>
        <w:t xml:space="preserve">[20] </w:t>
      </w:r>
      <w:r>
        <w:rPr>
          <w:rFonts w:ascii="Calibri" w:hAnsi="Calibri"/>
          <w:color w:val="1E293B"/>
          <w:sz w:val="17"/>
        </w:rPr>
        <w:t xml:space="preserve">K. Serebryany et al., “AddressSanitizer: A Fast Address Sanity Checker,” USENIX ATC, 2012. </w:t>
      </w:r>
      <w:hyperlink r:id="rId31">
        <w:r>
          <w:rPr>
            <w:rFonts w:ascii="Calibri" w:hAnsi="Calibri"/>
            <w:color w:val="2E74B5"/>
            <w:u w:val="single"/>
          </w:rPr>
          <w:t>https://www.usenix.org/conference/atc12/technical-sessions/presentation/serebryany</w:t>
        </w:r>
      </w:hyperlink>
    </w:p>
    <w:p>
      <w:pPr>
        <w:spacing w:after="60" w:line="240" w:lineRule="auto"/>
        <w:ind w:left="403" w:hanging="403"/>
      </w:pPr>
      <w:r>
        <w:rPr>
          <w:rFonts w:ascii="Calibri" w:hAnsi="Calibri"/>
          <w:b/>
          <w:color w:val="1F4D78"/>
          <w:sz w:val="17"/>
        </w:rPr>
        <w:t xml:space="preserve">[21] </w:t>
      </w:r>
      <w:r>
        <w:rPr>
          <w:rFonts w:ascii="Calibri" w:hAnsi="Calibri"/>
          <w:color w:val="1E293B"/>
          <w:sz w:val="17"/>
        </w:rPr>
        <w:t xml:space="preserve">LLVM Project, “Clang LibTooling.” </w:t>
      </w:r>
      <w:hyperlink r:id="rId32">
        <w:r>
          <w:rPr>
            <w:rFonts w:ascii="Calibri" w:hAnsi="Calibri"/>
            <w:color w:val="2E74B5"/>
            <w:u w:val="single"/>
          </w:rPr>
          <w:t>https://clang.llvm.org/docs/LibTooling.html</w:t>
        </w:r>
      </w:hyperlink>
    </w:p>
    <w:p>
      <w:pPr>
        <w:spacing w:after="60" w:line="240" w:lineRule="auto"/>
        <w:ind w:left="403" w:hanging="403"/>
      </w:pPr>
      <w:r>
        <w:rPr>
          <w:rFonts w:ascii="Calibri" w:hAnsi="Calibri"/>
          <w:b/>
          <w:color w:val="1F4D78"/>
          <w:sz w:val="17"/>
        </w:rPr>
        <w:t xml:space="preserve">[22] </w:t>
      </w:r>
      <w:r>
        <w:rPr>
          <w:rFonts w:ascii="Calibri" w:hAnsi="Calibri"/>
          <w:color w:val="1E293B"/>
          <w:sz w:val="17"/>
        </w:rPr>
        <w:t xml:space="preserve">LLVM Project, “clang::CFG Class Reference.” </w:t>
      </w:r>
      <w:hyperlink r:id="rId33">
        <w:r>
          <w:rPr>
            <w:rFonts w:ascii="Calibri" w:hAnsi="Calibri"/>
            <w:color w:val="2E74B5"/>
            <w:u w:val="single"/>
          </w:rPr>
          <w:t>https://clang.llvm.org/doxygen/classclang_1_1CFG.html</w:t>
        </w:r>
      </w:hyperlink>
    </w:p>
    <w:p>
      <w:pPr/>
      <w:r>
        <w:t>[23] DeepSeek, “Models &amp; Pricing: deepseek-v4-flash / DeepSeek-V4-Flash-0731,” accessed 5 August 2026. https://api-docs.deepseek.com/quick_start/pricing/</w:t>
      </w:r>
    </w:p>
    <w:p>
      <w:pPr/>
      <w:r>
        <w:t>[24] LLVM Project, “Clang Static Analyzer,” accessed 5 August 2026. https://clang.llvm.org/docs/ClangStaticAnalyzer.html</w:t>
      </w:r>
    </w:p>
    <w:p>
      <w:pPr/>
      <w:r>
        <w:t>[25] R. E. Strom and S. Yemini, “Typestate: A Programming Language Concept for Enhancing Software Reliability,” IEEE Transactions on Software Engineering, vol. 12, no. 1, pp. 157–171, 1986. https://doi.org/10.1109/TSE.1986.6312929</w:t>
      </w:r>
    </w:p>
    <w:p>
      <w:pPr/>
      <w:r>
        <w:t>[26] T. Ball and S. K. Rajamani, “The SLAM Project: Debugging System Software via Static Analysis,” POPL, 2002. https://doi.org/10.1145/503272.503274</w:t>
      </w:r>
    </w:p>
    <w:p>
      <w:pPr/>
      <w:r>
        <w:t>[27] T. Ball et al., “SLAM and Static Driver Verifier: Technology Transfer of Formal Methods inside Microsoft,” Microsoft Research Technical Report MSR-TR-2004-08, 2004. https://www.microsoft.com/en-us/research/wp-content/uploads/2016/02/tr-2004-08.pdf</w:t>
      </w:r>
    </w:p>
    <w:p>
      <w:pPr/>
      <w:r>
        <w:t>[28] Google, “Gemini 3.1 Flash-Lite,” accessed 5 August 2026. https://ai.google.dev/gemini-api/docs/models/gemini-3.1-flash-lite</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t>SemanticVerify-Fuzz | Final Supervisor-Ready Research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80"/>
      </w:pPr>
      <w:rPr>
        <w:rFonts w:ascii="Calibri" w:hAnsi="Calibri"/>
      </w:rPr>
    </w:lvl>
  </w:abstractNum>
  <w:num w:numId="10">
    <w:abstractNumId w:val="9"/>
  </w:num>
  <w:abstractNum w:abstractNumId="10">
    <w:multiLevelType w:val="singleLevel"/>
    <w:lvl w:ilvl="0">
      <w:start w:val="1"/>
      <w:numFmt w:val="decimal"/>
      <w:lvlText w:val="%1."/>
      <w:lvlJc w:val="left"/>
      <w:pPr>
        <w:tabs>
          <w:tab w:val="num" w:pos="540"/>
        </w:tabs>
        <w:ind w:left="540" w:hanging="280"/>
      </w:pPr>
      <w:rPr>
        <w:rFonts w:ascii="Calibri" w:hAnsi="Calibri"/>
      </w:rPr>
    </w:lvl>
  </w:abstractNum>
  <w:num w:numId="11">
    <w:abstractNumId w:val="10"/>
  </w:num>
  <w:abstractNum w:abstractNumId="11">
    <w:multiLevelType w:val="singleLevel"/>
    <w:lvl w:ilvl="0">
      <w:start w:val="1"/>
      <w:numFmt w:val="decimal"/>
      <w:lvlText w:val="%1."/>
      <w:lvlJc w:val="left"/>
      <w:pPr>
        <w:tabs>
          <w:tab w:val="num" w:pos="540"/>
        </w:tabs>
        <w:ind w:left="540" w:hanging="280"/>
      </w:pPr>
      <w:rPr>
        <w:rFonts w:ascii="Calibri" w:hAnsi="Calibri"/>
      </w:rPr>
    </w:lvl>
  </w:abstractNum>
  <w:num w:numId="12">
    <w:abstractNumId w:val="11"/>
  </w:num>
  <w:abstractNum w:abstractNumId="12">
    <w:multiLevelType w:val="singleLevel"/>
    <w:lvl w:ilvl="0">
      <w:start w:val="1"/>
      <w:numFmt w:val="decimal"/>
      <w:lvlText w:val="%1."/>
      <w:lvlJc w:val="left"/>
      <w:pPr>
        <w:tabs>
          <w:tab w:val="num" w:pos="540"/>
        </w:tabs>
        <w:ind w:left="540" w:hanging="280"/>
      </w:pPr>
      <w:rPr>
        <w:rFonts w:ascii="Calibri" w:hAnsi="Calibri"/>
      </w:rPr>
    </w:lvl>
  </w:abstractNum>
  <w:num w:numId="13">
    <w:abstractNumId w:val="12"/>
  </w:num>
  <w:abstractNum w:abstractNumId="13">
    <w:multiLevelType w:val="singleLevel"/>
    <w:lvl w:ilvl="0">
      <w:start w:val="1"/>
      <w:numFmt w:val="decimal"/>
      <w:lvlText w:val="%1."/>
      <w:lvlJc w:val="left"/>
      <w:pPr>
        <w:tabs>
          <w:tab w:val="num" w:pos="540"/>
        </w:tabs>
        <w:ind w:left="540" w:hanging="280"/>
      </w:pPr>
      <w:rPr>
        <w:rFonts w:ascii="Calibri" w:hAnsi="Calibri"/>
      </w:rPr>
    </w:lvl>
  </w:abstract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jc w:val="both"/>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arxiv.org/abs/2605.21824" TargetMode="External"/><Relationship Id="rId13" Type="http://schemas.openxmlformats.org/officeDocument/2006/relationships/hyperlink" Target="https://github.com/OwenSanzas/QuartetFuzz" TargetMode="External"/><Relationship Id="rId14" Type="http://schemas.openxmlformats.org/officeDocument/2006/relationships/hyperlink" Target="https://dl.acm.org/doi/10.1145/3658644.3670396" TargetMode="External"/><Relationship Id="rId15" Type="http://schemas.openxmlformats.org/officeDocument/2006/relationships/hyperlink" Target="https://dl.acm.org/doi/10.1109/ICSE-Companion66252.2025.00079" TargetMode="External"/><Relationship Id="rId16" Type="http://schemas.openxmlformats.org/officeDocument/2006/relationships/hyperlink" Target="https://dl.acm.org/doi/10.1145/3719027.3765222" TargetMode="External"/><Relationship Id="rId17" Type="http://schemas.openxmlformats.org/officeDocument/2006/relationships/hyperlink" Target="https://github.com/google/oss-fuzz-gen" TargetMode="External"/><Relationship Id="rId18" Type="http://schemas.openxmlformats.org/officeDocument/2006/relationships/hyperlink" Target="https://arxiv.org/abs/2512.03420" TargetMode="External"/><Relationship Id="rId19" Type="http://schemas.openxmlformats.org/officeDocument/2006/relationships/hyperlink" Target="https://dl.acm.org/doi/10.1109/ICSE55347.2025.00239" TargetMode="External"/><Relationship Id="rId20" Type="http://schemas.openxmlformats.org/officeDocument/2006/relationships/hyperlink" Target="https://dl.acm.org/doi/10.1145/3338906.3340456" TargetMode="External"/><Relationship Id="rId21" Type="http://schemas.openxmlformats.org/officeDocument/2006/relationships/hyperlink" Target="https://www.usenix.org/conference/usenixsecurity20/presentation/ispoglou" TargetMode="External"/><Relationship Id="rId22" Type="http://schemas.openxmlformats.org/officeDocument/2006/relationships/hyperlink" Target="https://dl.acm.org/doi/10.1145/3510003.3510228" TargetMode="External"/><Relationship Id="rId23" Type="http://schemas.openxmlformats.org/officeDocument/2006/relationships/hyperlink" Target="https://dl.acm.org/doi/10.1145/3576915.3616610" TargetMode="External"/><Relationship Id="rId24" Type="http://schemas.openxmlformats.org/officeDocument/2006/relationships/hyperlink" Target="https://ieeexplore.ieee.org/document/10179394" TargetMode="External"/><Relationship Id="rId25" Type="http://schemas.openxmlformats.org/officeDocument/2006/relationships/hyperlink" Target="https://www.usenix.org/conference/usenixsecurity23/presentation/zhang-cen" TargetMode="External"/><Relationship Id="rId26" Type="http://schemas.openxmlformats.org/officeDocument/2006/relationships/hyperlink" Target="https://www.usenix.org/conference/usenixsecurity21/presentation/zhang-cen" TargetMode="External"/><Relationship Id="rId27" Type="http://schemas.openxmlformats.org/officeDocument/2006/relationships/hyperlink" Target="https://www.usenix.org/conference/usenixsecurity16/technical-sessions/presentation/yun" TargetMode="External"/><Relationship Id="rId28" Type="http://schemas.openxmlformats.org/officeDocument/2006/relationships/hyperlink" Target="https://www.usenix.org/conference/usenixsecurity23/presentation/wang-dawei" TargetMode="External"/><Relationship Id="rId29" Type="http://schemas.openxmlformats.org/officeDocument/2006/relationships/hyperlink" Target="https://dl.acm.org/doi/10.1145/2892208.2892235" TargetMode="External"/><Relationship Id="rId30" Type="http://schemas.openxmlformats.org/officeDocument/2006/relationships/hyperlink" Target="https://llvm.org/docs/LibFuzzer.html" TargetMode="External"/><Relationship Id="rId31" Type="http://schemas.openxmlformats.org/officeDocument/2006/relationships/hyperlink" Target="https://www.usenix.org/conference/atc12/technical-sessions/presentation/serebryany" TargetMode="External"/><Relationship Id="rId32" Type="http://schemas.openxmlformats.org/officeDocument/2006/relationships/hyperlink" Target="https://clang.llvm.org/docs/LibTooling.html" TargetMode="External"/><Relationship Id="rId33" Type="http://schemas.openxmlformats.org/officeDocument/2006/relationships/hyperlink" Target="https://clang.llvm.org/doxygen/classclang_1_1CF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SemanticVerify-Fuzz: Verification-First and Staged Repair Research Proposal</dc:title>
  <dc:subject>Resource-centered path-sensitive verification followed by post-freeze constrained repair</dc:subject>
  <dc:creator>Researcher</dc:creator>
  <cp:keywords>fuzz testing, fuzz drivers, API protocols, static analysis, path sensitivity, resource states, uncertainty, constrained repair, QuartetFuzz</cp:keywords>
  <dc:description>Revised 5 August 2026: two low-cost API models, 10×5 scenario design, independent annotation, Gate V, and capped post-freeze repair.</dc:description>
  <cp:lastModifiedBy/>
  <cp:revision>1</cp:revision>
  <dcterms:created xsi:type="dcterms:W3CDTF">2013-12-23T23:15:00Z</dcterms:created>
  <dcterms:modified xsi:type="dcterms:W3CDTF">2013-12-23T23:15:00Z</dcterms:modified>
  <cp:category/>
</cp:coreProperties>
</file>