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F172A"/>
          <w:sz w:val="48"/>
        </w:rPr>
        <w:t>Machine Learning Curriculum &amp; Mastery Roadmap</w:t>
      </w:r>
    </w:p>
    <w:p>
      <w:pPr>
        <w:spacing w:after="320"/>
      </w:pPr>
      <w:r>
        <w:rPr>
          <w:rFonts w:ascii="Calibri" w:hAnsi="Calibri"/>
          <w:i/>
          <w:color w:val="0D9488"/>
          <w:sz w:val="24"/>
        </w:rPr>
        <w:t>Structured Guide for Applied Data Science &amp; Predictive Modeling</w:t>
      </w:r>
    </w:p>
    <w:p>
      <w:pPr>
        <w:keepNext/>
        <w:spacing w:before="0" w:after="120"/>
      </w:pPr>
      <w:r>
        <w:rPr>
          <w:rFonts w:ascii="Calibri" w:hAnsi="Calibri"/>
          <w:b/>
          <w:color w:val="0F172A"/>
          <w:sz w:val="30"/>
        </w:rPr>
        <w:t>1. Executive Summary</w:t>
      </w:r>
    </w:p>
    <w:p>
      <w:pPr>
        <w:spacing w:after="240"/>
      </w:pPr>
      <w:r>
        <w:t>With a solid foundation in Data Preprocessing and Exploratory Data Analysis (EDA) using Pandas, NumPy, Matplotlib, and Seaborn, this roadmap defines the practical progression into Machine Learning. The emphasis is placed on leveraging Scikit-Learn to construct end-to-end predictive pipelines.</w:t>
      </w:r>
    </w:p>
    <w:p>
      <w:pPr>
        <w:keepNext/>
        <w:spacing w:before="320" w:after="120"/>
      </w:pPr>
      <w:r>
        <w:rPr>
          <w:rFonts w:ascii="Calibri" w:hAnsi="Calibri"/>
          <w:b/>
          <w:color w:val="0F172A"/>
          <w:sz w:val="30"/>
        </w:rPr>
        <w:t>2. Machine Learning Roadmap</w:t>
      </w:r>
    </w:p>
    <w:tbl>
      <w:tblPr>
        <w:tblW w:type="auto" w:w="0"/>
        <w:jc w:val="center"/>
        <w:tblLook w:firstColumn="1" w:firstRow="1" w:lastColumn="0" w:lastRow="0" w:noHBand="0" w:noVBand="1" w:val="04A0"/>
      </w:tblPr>
      <w:tblGrid>
        <w:gridCol w:w="4680"/>
        <w:gridCol w:w="4680"/>
      </w:tblGrid>
      <w:tr>
        <w:tc>
          <w:tcPr>
            <w:tcW w:type="dxa" w:w="3168"/>
            <w:shd w:fill="0F172A"/>
            <w:tcMar>
              <w:top w:w="120" w:type="dxa"/>
              <w:bottom w:w="120" w:type="dxa"/>
              <w:left w:w="150" w:type="dxa"/>
              <w:right w:w="150" w:type="dxa"/>
            </w:tcMar>
          </w:tcPr>
          <w:p>
            <w:pPr>
              <w:spacing w:after="0"/>
            </w:pPr>
            <w:r>
              <w:rPr>
                <w:b/>
                <w:color w:val="FFFFFF"/>
              </w:rPr>
              <w:t>Learning Phase</w:t>
            </w:r>
          </w:p>
        </w:tc>
        <w:tc>
          <w:tcPr>
            <w:tcW w:type="dxa" w:w="6192"/>
            <w:shd w:fill="0F172A"/>
            <w:tcMar>
              <w:top w:w="120" w:type="dxa"/>
              <w:bottom w:w="120" w:type="dxa"/>
              <w:left w:w="150" w:type="dxa"/>
              <w:right w:w="150" w:type="dxa"/>
            </w:tcMar>
          </w:tcPr>
          <w:p>
            <w:pPr>
              <w:spacing w:after="0"/>
            </w:pPr>
            <w:r>
              <w:rPr>
                <w:b/>
                <w:color w:val="FFFFFF"/>
              </w:rPr>
              <w:t>Core Concepts &amp; Tools Covered</w:t>
            </w:r>
          </w:p>
        </w:tc>
      </w:tr>
      <w:tr>
        <w:tc>
          <w:tcPr>
            <w:tcW w:type="dxa" w:w="3168"/>
            <w:shd w:fill="F8FAFC"/>
            <w:tcMar>
              <w:top w:w="100" w:type="dxa"/>
              <w:bottom w:w="100" w:type="dxa"/>
              <w:left w:w="150" w:type="dxa"/>
              <w:right w:w="150" w:type="dxa"/>
            </w:tcMar>
          </w:tcPr>
          <w:p>
            <w:pPr>
              <w:spacing w:after="0"/>
            </w:pPr>
            <w:r>
              <w:rPr>
                <w:b/>
                <w:color w:val="0F172A"/>
              </w:rPr>
              <w:t>Phase 1: Foundations &amp; Core Pipeline</w:t>
            </w:r>
          </w:p>
        </w:tc>
        <w:tc>
          <w:tcPr>
            <w:tcW w:type="dxa" w:w="6192"/>
            <w:shd w:fill="F8FAFC"/>
            <w:tcMar>
              <w:top w:w="100" w:type="dxa"/>
              <w:bottom w:w="100" w:type="dxa"/>
              <w:left w:w="150" w:type="dxa"/>
              <w:right w:w="150" w:type="dxa"/>
            </w:tcMar>
          </w:tcPr>
          <w:p>
            <w:pPr>
              <w:spacing w:after="0"/>
            </w:pPr>
            <w:r>
              <w:rPr>
                <w:color w:val="334155"/>
              </w:rPr>
              <w:t>Supervised vs. Unsupervised Learning, Feature/Target Structuring (X and y), Train/Test Splitting (train_test_split), Scikit-Learn Model API (fit, predict).</w:t>
            </w:r>
          </w:p>
        </w:tc>
      </w:tr>
      <w:tr>
        <w:tc>
          <w:tcPr>
            <w:tcW w:type="dxa" w:w="3168"/>
            <w:shd w:fill="FFFFFF"/>
            <w:tcMar>
              <w:top w:w="100" w:type="dxa"/>
              <w:bottom w:w="100" w:type="dxa"/>
              <w:left w:w="150" w:type="dxa"/>
              <w:right w:w="150" w:type="dxa"/>
            </w:tcMar>
          </w:tcPr>
          <w:p>
            <w:pPr>
              <w:spacing w:after="0"/>
            </w:pPr>
            <w:r>
              <w:rPr>
                <w:b/>
                <w:color w:val="0F172A"/>
              </w:rPr>
              <w:t>Phase 2: Preprocessing &amp; Engineering</w:t>
            </w:r>
          </w:p>
        </w:tc>
        <w:tc>
          <w:tcPr>
            <w:tcW w:type="dxa" w:w="6192"/>
            <w:shd w:fill="FFFFFF"/>
            <w:tcMar>
              <w:top w:w="100" w:type="dxa"/>
              <w:bottom w:w="100" w:type="dxa"/>
              <w:left w:w="150" w:type="dxa"/>
              <w:right w:w="150" w:type="dxa"/>
            </w:tcMar>
          </w:tcPr>
          <w:p>
            <w:pPr>
              <w:spacing w:after="0"/>
            </w:pPr>
            <w:r>
              <w:rPr>
                <w:color w:val="334155"/>
              </w:rPr>
              <w:t>Categorical Encoding (OneHotEncoder, OrdinalEncoder), Feature Scaling (StandardScaler, MinMaxScaler), Imputation, ColumnTransformers &amp; Pipelines.</w:t>
            </w:r>
          </w:p>
        </w:tc>
      </w:tr>
      <w:tr>
        <w:tc>
          <w:tcPr>
            <w:tcW w:type="dxa" w:w="3168"/>
            <w:shd w:fill="F8FAFC"/>
            <w:tcMar>
              <w:top w:w="100" w:type="dxa"/>
              <w:bottom w:w="100" w:type="dxa"/>
              <w:left w:w="150" w:type="dxa"/>
              <w:right w:w="150" w:type="dxa"/>
            </w:tcMar>
          </w:tcPr>
          <w:p>
            <w:pPr>
              <w:spacing w:after="0"/>
            </w:pPr>
            <w:r>
              <w:rPr>
                <w:b/>
                <w:color w:val="0F172A"/>
              </w:rPr>
              <w:t>Phase 3: Core Supervised Algorithms</w:t>
            </w:r>
          </w:p>
        </w:tc>
        <w:tc>
          <w:tcPr>
            <w:tcW w:type="dxa" w:w="6192"/>
            <w:shd w:fill="F8FAFC"/>
            <w:tcMar>
              <w:top w:w="100" w:type="dxa"/>
              <w:bottom w:w="100" w:type="dxa"/>
              <w:left w:w="150" w:type="dxa"/>
              <w:right w:w="150" w:type="dxa"/>
            </w:tcMar>
          </w:tcPr>
          <w:p>
            <w:pPr>
              <w:spacing w:after="0"/>
            </w:pPr>
            <w:r>
              <w:rPr>
                <w:color w:val="334155"/>
              </w:rPr>
              <w:t>Regression (Linear Regression, Decision Tree, Random Forest) &amp; Classification (Logistic Regression, Decision Trees, Random Forests, SVM, KNN).</w:t>
            </w:r>
          </w:p>
        </w:tc>
      </w:tr>
      <w:tr>
        <w:tc>
          <w:tcPr>
            <w:tcW w:type="dxa" w:w="3168"/>
            <w:shd w:fill="FFFFFF"/>
            <w:tcMar>
              <w:top w:w="100" w:type="dxa"/>
              <w:bottom w:w="100" w:type="dxa"/>
              <w:left w:w="150" w:type="dxa"/>
              <w:right w:w="150" w:type="dxa"/>
            </w:tcMar>
          </w:tcPr>
          <w:p>
            <w:pPr>
              <w:spacing w:after="0"/>
            </w:pPr>
            <w:r>
              <w:rPr>
                <w:b/>
                <w:color w:val="0F172A"/>
              </w:rPr>
              <w:t>Phase 4: Evaluation &amp; Tuning</w:t>
            </w:r>
          </w:p>
        </w:tc>
        <w:tc>
          <w:tcPr>
            <w:tcW w:type="dxa" w:w="6192"/>
            <w:shd w:fill="FFFFFF"/>
            <w:tcMar>
              <w:top w:w="100" w:type="dxa"/>
              <w:bottom w:w="100" w:type="dxa"/>
              <w:left w:w="150" w:type="dxa"/>
              <w:right w:w="150" w:type="dxa"/>
            </w:tcMar>
          </w:tcPr>
          <w:p>
            <w:pPr>
              <w:spacing w:after="0"/>
            </w:pPr>
            <w:r>
              <w:rPr>
                <w:color w:val="334155"/>
              </w:rPr>
              <w:t>Regression Metrics (MAE, MSE, R²), Classification Metrics (Accuracy, Precision, Recall, F1, Confusion Matrix, ROC-AUC), K-Fold CV, GridSearchCV.</w:t>
            </w:r>
          </w:p>
        </w:tc>
      </w:tr>
      <w:tr>
        <w:tc>
          <w:tcPr>
            <w:tcW w:type="dxa" w:w="3168"/>
            <w:shd w:fill="F8FAFC"/>
            <w:tcMar>
              <w:top w:w="100" w:type="dxa"/>
              <w:bottom w:w="100" w:type="dxa"/>
              <w:left w:w="150" w:type="dxa"/>
              <w:right w:w="150" w:type="dxa"/>
            </w:tcMar>
          </w:tcPr>
          <w:p>
            <w:pPr>
              <w:spacing w:after="0"/>
            </w:pPr>
            <w:r>
              <w:rPr>
                <w:b/>
                <w:color w:val="0F172A"/>
              </w:rPr>
              <w:t>Phase 5: Unsupervised &amp; Advanced ML</w:t>
            </w:r>
          </w:p>
        </w:tc>
        <w:tc>
          <w:tcPr>
            <w:tcW w:type="dxa" w:w="6192"/>
            <w:shd w:fill="F8FAFC"/>
            <w:tcMar>
              <w:top w:w="100" w:type="dxa"/>
              <w:bottom w:w="100" w:type="dxa"/>
              <w:left w:w="150" w:type="dxa"/>
              <w:right w:w="150" w:type="dxa"/>
            </w:tcMar>
          </w:tcPr>
          <w:p>
            <w:pPr>
              <w:spacing w:after="0"/>
            </w:pPr>
            <w:r>
              <w:rPr>
                <w:color w:val="334155"/>
              </w:rPr>
              <w:t>Clustering (K-Means, DBSCAN), Dimensionality Reduction (PCA), Gradient Boosting (XGBoost, LightGBM, CatBoost).</w:t>
            </w:r>
          </w:p>
        </w:tc>
      </w:tr>
    </w:tbl>
    <w:p>
      <w:pPr>
        <w:keepNext/>
        <w:spacing w:before="320" w:after="120"/>
      </w:pPr>
      <w:r>
        <w:rPr>
          <w:rFonts w:ascii="Calibri" w:hAnsi="Calibri"/>
          <w:b/>
          <w:color w:val="0F172A"/>
          <w:sz w:val="30"/>
        </w:rPr>
        <w:t>3. Practical Project Milestones</w:t>
      </w:r>
    </w:p>
    <w:p>
      <w:pPr>
        <w:spacing w:after="80" w:before="40"/>
        <w:ind w:left="360"/>
      </w:pPr>
      <w:r>
        <w:rPr>
          <w:b/>
          <w:color w:val="0D9488"/>
        </w:rPr>
        <w:t xml:space="preserve">• </w:t>
      </w:r>
      <w:r>
        <w:rPr>
          <w:b/>
          <w:color w:val="0F172A"/>
        </w:rPr>
        <w:t xml:space="preserve">Milestone 1: Binary Classification on GTD Dataset: </w:t>
      </w:r>
      <w:r>
        <w:rPr>
          <w:color w:val="334155"/>
        </w:rPr>
        <w:t>Apply train_test_split and Logistic Regression on the Global Terrorism Database subset to predict attack success rates (success column). Evaluate using Confusion Matrix and Accuracy metrics.</w:t>
      </w:r>
    </w:p>
    <w:p>
      <w:pPr>
        <w:spacing w:after="80" w:before="40"/>
        <w:ind w:left="360"/>
      </w:pPr>
      <w:r>
        <w:rPr>
          <w:b/>
          <w:color w:val="0D9488"/>
        </w:rPr>
        <w:t xml:space="preserve">• </w:t>
      </w:r>
      <w:r>
        <w:rPr>
          <w:b/>
          <w:color w:val="0F172A"/>
        </w:rPr>
        <w:t xml:space="preserve">Milestone 2: Housing Price &amp; Fatality Regressor: </w:t>
      </w:r>
      <w:r>
        <w:rPr>
          <w:color w:val="334155"/>
        </w:rPr>
        <w:t>Build a full regression workflow utilizing StandardScaler, OneHotEncoder, and RandomForestRegressor to predict numerical targets with R² evaluation.</w:t>
      </w:r>
    </w:p>
    <w:p>
      <w:pPr>
        <w:spacing w:after="80" w:before="40"/>
        <w:ind w:left="360"/>
      </w:pPr>
      <w:r>
        <w:rPr>
          <w:b/>
          <w:color w:val="0D9488"/>
        </w:rPr>
        <w:t xml:space="preserve">• </w:t>
      </w:r>
      <w:r>
        <w:rPr>
          <w:b/>
          <w:color w:val="0F172A"/>
        </w:rPr>
        <w:t xml:space="preserve">Milestone 3: Customer Churn End-to-End Pipeline: </w:t>
      </w:r>
      <w:r>
        <w:rPr>
          <w:color w:val="334155"/>
        </w:rPr>
        <w:t>Construct a robust Scikit-Learn Pipeline with ColumnTransformer, tuning hyperparameters via GridSearchCV and modeling with XGBoost.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