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205" w:rsidRPr="00B46205" w:rsidRDefault="00B46205" w:rsidP="00B46205">
      <w:pPr>
        <w:spacing w:before="100" w:beforeAutospacing="1" w:after="100" w:afterAutospacing="1" w:line="240" w:lineRule="auto"/>
        <w:jc w:val="center"/>
        <w:outlineLvl w:val="0"/>
        <w:rPr>
          <w:rFonts w:ascii="Arial Black" w:eastAsia="Times New Roman" w:hAnsi="Arial Black" w:cstheme="minorHAnsi"/>
          <w:b/>
          <w:bCs/>
          <w:kern w:val="36"/>
          <w:sz w:val="48"/>
          <w:szCs w:val="48"/>
        </w:rPr>
      </w:pPr>
      <w:r w:rsidRPr="00B46205">
        <w:rPr>
          <w:rFonts w:ascii="Arial Black" w:eastAsia="Times New Roman" w:hAnsi="Arial Black" w:cstheme="minorHAnsi"/>
          <w:b/>
          <w:bCs/>
          <w:kern w:val="36"/>
          <w:sz w:val="48"/>
          <w:szCs w:val="48"/>
        </w:rPr>
        <w:t>DENTCARE AI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center"/>
        <w:outlineLvl w:val="0"/>
        <w:rPr>
          <w:rFonts w:ascii="Arial Black" w:eastAsia="Times New Roman" w:hAnsi="Arial Black" w:cstheme="minorHAnsi"/>
          <w:b/>
          <w:bCs/>
          <w:kern w:val="36"/>
          <w:sz w:val="36"/>
          <w:szCs w:val="36"/>
        </w:rPr>
      </w:pPr>
      <w:r w:rsidRPr="00B46205">
        <w:rPr>
          <w:rFonts w:ascii="Arial Black" w:eastAsia="Times New Roman" w:hAnsi="Arial Black" w:cstheme="minorHAnsi"/>
          <w:b/>
          <w:bCs/>
          <w:kern w:val="36"/>
          <w:sz w:val="36"/>
          <w:szCs w:val="36"/>
        </w:rPr>
        <w:t>Automated Dental Pathologies Detection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4"/>
          <w:szCs w:val="24"/>
        </w:rPr>
        <w:t>DentCare AI is a comprehensive diagnostic system designed to assist dentists by automating the detection of dental issues like Cavities, Fillings, Implants, and Impacted Teeth. The system processes both Clinical Images and X-ray (OPG) Images using state-of-the-art Deep Learning models.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46205">
        <w:rPr>
          <w:rFonts w:eastAsia="Times New Roman" w:cstheme="minorHAnsi"/>
          <w:b/>
          <w:bCs/>
          <w:sz w:val="36"/>
          <w:szCs w:val="36"/>
        </w:rPr>
        <w:t>Methodology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4"/>
          <w:szCs w:val="24"/>
        </w:rPr>
        <w:t>The project follows a dual-stream pipeline to handle different data types:</w:t>
      </w:r>
    </w:p>
    <w:p w:rsidR="00B46205" w:rsidRPr="00B46205" w:rsidRDefault="00B46205" w:rsidP="00B462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Clinical Stream:</w:t>
      </w:r>
      <w:r w:rsidRPr="00B46205">
        <w:rPr>
          <w:rFonts w:eastAsia="Times New Roman" w:cstheme="minorHAnsi"/>
          <w:sz w:val="24"/>
          <w:szCs w:val="24"/>
        </w:rPr>
        <w:t xml:space="preserve"> Focuses on visible pathologies using Mask Annotation and Normalization.</w:t>
      </w:r>
    </w:p>
    <w:p w:rsidR="00B46205" w:rsidRDefault="00B46205" w:rsidP="00B462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X-ray Stream:</w:t>
      </w:r>
      <w:r w:rsidRPr="00B46205">
        <w:rPr>
          <w:rFonts w:eastAsia="Times New Roman" w:cstheme="minorHAnsi"/>
          <w:sz w:val="24"/>
          <w:szCs w:val="24"/>
        </w:rPr>
        <w:t xml:space="preserve"> Processes OPG images with advanced feature extraction and class balancing.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4"/>
          <w:szCs w:val="24"/>
        </w:rPr>
        <w:drawing>
          <wp:inline distT="0" distB="0" distL="0" distR="0" wp14:anchorId="1008325C" wp14:editId="6242C735">
            <wp:extent cx="4465917" cy="375274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141"/>
                    <a:stretch/>
                  </pic:blipFill>
                  <pic:spPr bwMode="auto">
                    <a:xfrm>
                      <a:off x="0" y="0"/>
                      <a:ext cx="4467159" cy="3753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6205" w:rsidRDefault="00B46205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br w:type="page"/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46205">
        <w:rPr>
          <w:rFonts w:eastAsia="Times New Roman" w:cstheme="minorHAnsi"/>
          <w:b/>
          <w:bCs/>
          <w:sz w:val="36"/>
          <w:szCs w:val="36"/>
        </w:rPr>
        <w:lastRenderedPageBreak/>
        <w:t>Performance &amp; Results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46205">
        <w:rPr>
          <w:rFonts w:eastAsia="Times New Roman" w:cstheme="minorHAnsi"/>
          <w:b/>
          <w:bCs/>
          <w:sz w:val="27"/>
          <w:szCs w:val="27"/>
        </w:rPr>
        <w:t>1. Clinical Dataset Results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4"/>
          <w:szCs w:val="24"/>
        </w:rPr>
        <w:t xml:space="preserve">We experimented with multiple YOLOv8 variants. </w:t>
      </w:r>
      <w:r w:rsidRPr="00B46205">
        <w:rPr>
          <w:rFonts w:eastAsia="Times New Roman" w:cstheme="minorHAnsi"/>
          <w:b/>
          <w:bCs/>
          <w:sz w:val="24"/>
          <w:szCs w:val="24"/>
        </w:rPr>
        <w:t>YOLOv8l-seg (Large)</w:t>
      </w:r>
      <w:r w:rsidRPr="00B46205">
        <w:rPr>
          <w:rFonts w:eastAsia="Times New Roman" w:cstheme="minorHAnsi"/>
          <w:sz w:val="24"/>
          <w:szCs w:val="24"/>
        </w:rPr>
        <w:t xml:space="preserve"> achieved the best performance for instance segmentation.</w:t>
      </w:r>
    </w:p>
    <w:p w:rsidR="00B46205" w:rsidRDefault="00B46205" w:rsidP="00B46205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46205">
        <w:rPr>
          <w:rFonts w:eastAsia="Times New Roman" w:cstheme="minorHAnsi"/>
          <w:b/>
          <w:bCs/>
          <w:sz w:val="27"/>
          <w:szCs w:val="27"/>
        </w:rPr>
        <w:drawing>
          <wp:inline distT="0" distB="0" distL="0" distR="0" wp14:anchorId="59EAF442" wp14:editId="499AC406">
            <wp:extent cx="5943600" cy="27260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46205">
        <w:rPr>
          <w:rFonts w:eastAsia="Times New Roman" w:cstheme="minorHAnsi"/>
          <w:b/>
          <w:bCs/>
          <w:sz w:val="27"/>
          <w:szCs w:val="27"/>
        </w:rPr>
        <w:t>2. X-ray (OPG) Dataset Results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4"/>
          <w:szCs w:val="24"/>
        </w:rPr>
        <w:t xml:space="preserve">For X-ray analysis, </w:t>
      </w:r>
      <w:r w:rsidRPr="00B46205">
        <w:rPr>
          <w:rFonts w:eastAsia="Times New Roman" w:cstheme="minorHAnsi"/>
          <w:b/>
          <w:bCs/>
          <w:sz w:val="24"/>
          <w:szCs w:val="24"/>
        </w:rPr>
        <w:t>YOLOv8n-OBB</w:t>
      </w:r>
      <w:r w:rsidRPr="00B46205">
        <w:rPr>
          <w:rFonts w:eastAsia="Times New Roman" w:cstheme="minorHAnsi"/>
          <w:sz w:val="24"/>
          <w:szCs w:val="24"/>
        </w:rPr>
        <w:t xml:space="preserve"> (Oriented Bounding Boxes) outperformed other architectures, including RT-DETR and standard CNNs.</w:t>
      </w:r>
    </w:p>
    <w:p w:rsidR="00B46205" w:rsidRDefault="00B46205" w:rsidP="00B46205">
      <w:pPr>
        <w:spacing w:before="100" w:beforeAutospacing="1" w:after="100" w:afterAutospacing="1" w:line="240" w:lineRule="auto"/>
        <w:jc w:val="center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B46205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5BFCBD98" wp14:editId="772975B6">
            <wp:extent cx="5943600" cy="19862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46205">
        <w:rPr>
          <w:rFonts w:eastAsia="Times New Roman" w:cstheme="minorHAnsi"/>
          <w:b/>
          <w:bCs/>
          <w:sz w:val="36"/>
          <w:szCs w:val="36"/>
        </w:rPr>
        <w:t>Key Features</w:t>
      </w:r>
    </w:p>
    <w:p w:rsidR="00B46205" w:rsidRPr="00B46205" w:rsidRDefault="00B46205" w:rsidP="00B462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Dual-Model Support:</w:t>
      </w:r>
      <w:r w:rsidRPr="00B46205">
        <w:rPr>
          <w:rFonts w:eastAsia="Times New Roman" w:cstheme="minorHAnsi"/>
          <w:sz w:val="24"/>
          <w:szCs w:val="24"/>
        </w:rPr>
        <w:t xml:space="preserve"> Specialized models for both clinical photos and radiographs.</w:t>
      </w:r>
    </w:p>
    <w:p w:rsidR="00B46205" w:rsidRPr="00B46205" w:rsidRDefault="00B46205" w:rsidP="00B462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High Accuracy:</w:t>
      </w:r>
      <w:r w:rsidRPr="00B46205">
        <w:rPr>
          <w:rFonts w:eastAsia="Times New Roman" w:cstheme="minorHAnsi"/>
          <w:sz w:val="24"/>
          <w:szCs w:val="24"/>
        </w:rPr>
        <w:t xml:space="preserve"> Up to </w:t>
      </w:r>
      <w:r w:rsidRPr="00B46205">
        <w:rPr>
          <w:rFonts w:eastAsia="Times New Roman" w:cstheme="minorHAnsi"/>
          <w:b/>
          <w:bCs/>
          <w:sz w:val="24"/>
          <w:szCs w:val="24"/>
        </w:rPr>
        <w:t>95.2% mAP</w:t>
      </w:r>
      <w:r w:rsidRPr="00B46205">
        <w:rPr>
          <w:rFonts w:eastAsia="Times New Roman" w:cstheme="minorHAnsi"/>
          <w:sz w:val="24"/>
          <w:szCs w:val="24"/>
        </w:rPr>
        <w:t xml:space="preserve"> on X-ray datasets.</w:t>
      </w:r>
    </w:p>
    <w:p w:rsidR="00B46205" w:rsidRPr="00B46205" w:rsidRDefault="00B46205" w:rsidP="00B462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Real-time Assistance:</w:t>
      </w:r>
      <w:r w:rsidRPr="00B46205">
        <w:rPr>
          <w:rFonts w:eastAsia="Times New Roman" w:cstheme="minorHAnsi"/>
          <w:sz w:val="24"/>
          <w:szCs w:val="24"/>
        </w:rPr>
        <w:t xml:space="preserve"> Designed for rapid inference to support clinical decision-making.</w:t>
      </w:r>
      <w:bookmarkStart w:id="0" w:name="_GoBack"/>
      <w:bookmarkEnd w:id="0"/>
    </w:p>
    <w:p w:rsidR="00B46205" w:rsidRPr="00B46205" w:rsidRDefault="00B46205" w:rsidP="00B4620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b/>
          <w:bCs/>
          <w:sz w:val="24"/>
          <w:szCs w:val="24"/>
        </w:rPr>
        <w:t>Full-Stack Integration:</w:t>
      </w:r>
      <w:r w:rsidRPr="00B46205">
        <w:rPr>
          <w:rFonts w:eastAsia="Times New Roman" w:cstheme="minorHAnsi"/>
          <w:sz w:val="24"/>
          <w:szCs w:val="24"/>
        </w:rPr>
        <w:t xml:space="preserve"> Backend developed in [Flask/Django] with a responsive frontend.</w:t>
      </w:r>
    </w:p>
    <w:p w:rsidR="00B46205" w:rsidRPr="00B46205" w:rsidRDefault="00B46205" w:rsidP="00B4620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B46205">
        <w:rPr>
          <w:rFonts w:eastAsia="Times New Roman" w:cstheme="minorHAnsi"/>
          <w:b/>
          <w:bCs/>
          <w:sz w:val="36"/>
          <w:szCs w:val="36"/>
        </w:rPr>
        <w:lastRenderedPageBreak/>
        <w:t>Repository Structure</w:t>
      </w:r>
    </w:p>
    <w:p w:rsidR="00B46205" w:rsidRPr="00B46205" w:rsidRDefault="00B46205" w:rsidP="00B462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0"/>
          <w:szCs w:val="20"/>
        </w:rPr>
        <w:t>/backend</w:t>
      </w:r>
      <w:r w:rsidRPr="00B46205">
        <w:rPr>
          <w:rFonts w:eastAsia="Times New Roman" w:cstheme="minorHAnsi"/>
          <w:sz w:val="24"/>
          <w:szCs w:val="24"/>
        </w:rPr>
        <w:t>: API and Inference logic.</w:t>
      </w:r>
    </w:p>
    <w:p w:rsidR="00B46205" w:rsidRPr="00B46205" w:rsidRDefault="00B46205" w:rsidP="00B462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0"/>
          <w:szCs w:val="20"/>
        </w:rPr>
        <w:t>/frontend</w:t>
      </w:r>
      <w:r w:rsidRPr="00B46205">
        <w:rPr>
          <w:rFonts w:eastAsia="Times New Roman" w:cstheme="minorHAnsi"/>
          <w:sz w:val="24"/>
          <w:szCs w:val="24"/>
        </w:rPr>
        <w:t>: User Dashboard code.</w:t>
      </w:r>
    </w:p>
    <w:p w:rsidR="00B46205" w:rsidRPr="00B46205" w:rsidRDefault="00B46205" w:rsidP="00B462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0"/>
          <w:szCs w:val="20"/>
        </w:rPr>
        <w:t>/models</w:t>
      </w:r>
      <w:r w:rsidRPr="00B46205">
        <w:rPr>
          <w:rFonts w:eastAsia="Times New Roman" w:cstheme="minorHAnsi"/>
          <w:sz w:val="24"/>
          <w:szCs w:val="24"/>
        </w:rPr>
        <w:t xml:space="preserve">: Trained </w:t>
      </w:r>
      <w:r w:rsidRPr="00B46205">
        <w:rPr>
          <w:rFonts w:eastAsia="Times New Roman" w:cstheme="minorHAnsi"/>
          <w:sz w:val="20"/>
          <w:szCs w:val="20"/>
        </w:rPr>
        <w:t>.pt</w:t>
      </w:r>
      <w:r w:rsidRPr="00B46205">
        <w:rPr>
          <w:rFonts w:eastAsia="Times New Roman" w:cstheme="minorHAnsi"/>
          <w:sz w:val="24"/>
          <w:szCs w:val="24"/>
        </w:rPr>
        <w:t xml:space="preserve"> weights for YOLOv8 and RT-DETR.</w:t>
      </w:r>
    </w:p>
    <w:p w:rsidR="00B46205" w:rsidRPr="00B46205" w:rsidRDefault="00B46205" w:rsidP="00B4620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B46205">
        <w:rPr>
          <w:rFonts w:eastAsia="Times New Roman" w:cstheme="minorHAnsi"/>
          <w:sz w:val="20"/>
          <w:szCs w:val="20"/>
        </w:rPr>
        <w:t>/docs</w:t>
      </w:r>
      <w:r w:rsidRPr="00B46205">
        <w:rPr>
          <w:rFonts w:eastAsia="Times New Roman" w:cstheme="minorHAnsi"/>
          <w:sz w:val="24"/>
          <w:szCs w:val="24"/>
        </w:rPr>
        <w:t>: Methodology diagrams, result tables, and performance graphs.</w:t>
      </w:r>
    </w:p>
    <w:p w:rsidR="00B46205" w:rsidRPr="00B46205" w:rsidRDefault="00B46205" w:rsidP="00B46205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:rsidR="00B46205" w:rsidRPr="00B46205" w:rsidRDefault="00B46205" w:rsidP="00B4620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</w:rPr>
      </w:pPr>
      <w:r w:rsidRPr="00B46205">
        <w:rPr>
          <w:rFonts w:eastAsia="Times New Roman" w:cstheme="minorHAnsi"/>
          <w:i/>
          <w:iCs/>
          <w:sz w:val="28"/>
          <w:szCs w:val="28"/>
        </w:rPr>
        <w:t>Developed as a Final Year Project at UET Mardan.</w:t>
      </w:r>
    </w:p>
    <w:p w:rsidR="00A00DD6" w:rsidRPr="00B46205" w:rsidRDefault="00B46205" w:rsidP="00B46205">
      <w:pPr>
        <w:jc w:val="both"/>
        <w:rPr>
          <w:rFonts w:cstheme="minorHAnsi"/>
        </w:rPr>
      </w:pPr>
    </w:p>
    <w:sectPr w:rsidR="00A00DD6" w:rsidRPr="00B46205" w:rsidSect="00B46205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E6FBB"/>
    <w:multiLevelType w:val="multilevel"/>
    <w:tmpl w:val="5AB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53D7E"/>
    <w:multiLevelType w:val="multilevel"/>
    <w:tmpl w:val="B042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866A14"/>
    <w:multiLevelType w:val="multilevel"/>
    <w:tmpl w:val="A66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205"/>
    <w:rsid w:val="000C6BA3"/>
    <w:rsid w:val="00237E75"/>
    <w:rsid w:val="00B4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4FD8C"/>
  <w15:chartTrackingRefBased/>
  <w15:docId w15:val="{0AE3951B-49C6-40C6-BEA3-B20073BB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2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6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6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62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62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6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62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46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Ayoub</dc:creator>
  <cp:keywords/>
  <dc:description/>
  <cp:lastModifiedBy>Umar Ayoub</cp:lastModifiedBy>
  <cp:revision>1</cp:revision>
  <dcterms:created xsi:type="dcterms:W3CDTF">2026-04-22T16:43:00Z</dcterms:created>
  <dcterms:modified xsi:type="dcterms:W3CDTF">2026-04-22T16:57:00Z</dcterms:modified>
</cp:coreProperties>
</file>