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B4A"/>
          <w:sz w:val="48"/>
        </w:rPr>
        <w:t>Customer Churn Analysis and Prediction</w:t>
      </w:r>
    </w:p>
    <w:p>
      <w:pPr>
        <w:jc w:val="center"/>
      </w:pPr>
      <w:r>
        <w:rPr>
          <w:i/>
          <w:color w:val="2563EB"/>
          <w:sz w:val="32"/>
        </w:rPr>
        <w:t>An AI-Powered Customer Retention Dashboard</w:t>
      </w:r>
    </w:p>
    <w:p/>
    <w:p/>
    <w:p>
      <w:pPr>
        <w:jc w:val="center"/>
      </w:pPr>
      <w:r>
        <w:rPr>
          <w:b/>
          <w:color w:val="1A2B4A"/>
          <w:sz w:val="26"/>
        </w:rPr>
        <w:t>Author: Umar Rahi</w:t>
      </w:r>
    </w:p>
    <w:p>
      <w:pPr>
        <w:jc w:val="center"/>
      </w:pPr>
      <w:r>
        <w:rPr>
          <w:b w:val="0"/>
          <w:color w:val="6B7280"/>
          <w:sz w:val="22"/>
        </w:rPr>
        <w:t>Internship: AICTE | IBM SkillsBuild Data Analytics with AI Internship 2026</w:t>
      </w:r>
    </w:p>
    <w:p>
      <w:pPr>
        <w:jc w:val="center"/>
      </w:pPr>
      <w:r>
        <w:rPr>
          <w:b w:val="0"/>
          <w:color w:val="6B7280"/>
          <w:sz w:val="22"/>
        </w:rPr>
        <w:t>Organization: BharatCares</w:t>
      </w:r>
    </w:p>
    <w:p>
      <w:pPr>
        <w:jc w:val="center"/>
      </w:pPr>
      <w:r>
        <w:rPr>
          <w:b w:val="0"/>
          <w:color w:val="6B7280"/>
          <w:sz w:val="22"/>
        </w:rPr>
        <w:t>Date: October 2026</w:t>
      </w:r>
    </w:p>
    <w:p>
      <w:pPr>
        <w:jc w:val="center"/>
      </w:pPr>
      <w:r>
        <w:rPr>
          <w:b w:val="0"/>
          <w:color w:val="6B7280"/>
          <w:sz w:val="20"/>
        </w:rPr>
        <w:t>GitHub: https://github.com/Umar-Rahi/Customer-Churn-Analysis</w:t>
      </w:r>
    </w:p>
    <w:p>
      <w:r>
        <w:br w:type="page"/>
      </w:r>
    </w:p>
    <w:p>
      <w:pPr>
        <w:pStyle w:val="Heading1"/>
      </w:pPr>
      <w:r>
        <w:rPr>
          <w:b/>
          <w:color w:val="1A2B4A"/>
        </w:rPr>
        <w:t>Table of Contents</w:t>
      </w:r>
    </w:p>
    <w:p>
      <w:pPr>
        <w:spacing w:after="40"/>
      </w:pPr>
      <w:r>
        <w:rPr>
          <w:b/>
        </w:rPr>
        <w:t xml:space="preserve">1.  </w:t>
      </w:r>
      <w:r>
        <w:t>Abstract / Executive Summary</w:t>
      </w:r>
    </w:p>
    <w:p>
      <w:pPr>
        <w:spacing w:after="40"/>
      </w:pPr>
      <w:r>
        <w:rPr>
          <w:b/>
        </w:rPr>
        <w:t xml:space="preserve">2.  </w:t>
      </w:r>
      <w:r>
        <w:t>Introduction and Business Problem</w:t>
      </w:r>
    </w:p>
    <w:p>
      <w:pPr>
        <w:spacing w:after="40"/>
      </w:pPr>
      <w:r>
        <w:rPr>
          <w:b/>
        </w:rPr>
        <w:t xml:space="preserve">3.  </w:t>
      </w:r>
      <w:r>
        <w:t>Project Objectives and Scope</w:t>
      </w:r>
    </w:p>
    <w:p>
      <w:pPr>
        <w:spacing w:after="40"/>
      </w:pPr>
      <w:r>
        <w:rPr>
          <w:b/>
        </w:rPr>
        <w:t xml:space="preserve">4.  </w:t>
      </w:r>
      <w:r>
        <w:t>Dataset Description and Data Dictionary</w:t>
      </w:r>
    </w:p>
    <w:p>
      <w:pPr>
        <w:spacing w:after="40"/>
      </w:pPr>
      <w:r>
        <w:rPr>
          <w:b/>
        </w:rPr>
        <w:t xml:space="preserve">5.  </w:t>
      </w:r>
      <w:r>
        <w:t>Data Cleaning and Preprocessing Methodology</w:t>
      </w:r>
    </w:p>
    <w:p>
      <w:pPr>
        <w:spacing w:after="40"/>
      </w:pPr>
      <w:r>
        <w:rPr>
          <w:b/>
        </w:rPr>
        <w:t xml:space="preserve">6.  </w:t>
      </w:r>
      <w:r>
        <w:t>Data Integration and Churn Definition</w:t>
      </w:r>
    </w:p>
    <w:p>
      <w:pPr>
        <w:spacing w:after="40"/>
      </w:pPr>
      <w:r>
        <w:rPr>
          <w:b/>
        </w:rPr>
        <w:t xml:space="preserve">7.  </w:t>
      </w:r>
      <w:r>
        <w:t>Exploratory Data Analysis</w:t>
      </w:r>
    </w:p>
    <w:p>
      <w:pPr>
        <w:spacing w:after="40"/>
      </w:pPr>
      <w:r>
        <w:rPr>
          <w:b/>
        </w:rPr>
        <w:t xml:space="preserve">8.  </w:t>
      </w:r>
      <w:r>
        <w:t>Key Findings</w:t>
      </w:r>
    </w:p>
    <w:p>
      <w:pPr>
        <w:spacing w:after="40"/>
      </w:pPr>
      <w:r>
        <w:rPr>
          <w:b/>
        </w:rPr>
        <w:t xml:space="preserve">9.  </w:t>
      </w:r>
      <w:r>
        <w:t>Dashboard Design and Functionality</w:t>
      </w:r>
    </w:p>
    <w:p>
      <w:pPr>
        <w:spacing w:after="40"/>
      </w:pPr>
      <w:r>
        <w:rPr>
          <w:b/>
        </w:rPr>
        <w:t xml:space="preserve">10.  </w:t>
      </w:r>
      <w:r>
        <w:t>Machine Learning Methodology and Evaluation</w:t>
      </w:r>
    </w:p>
    <w:p>
      <w:pPr>
        <w:spacing w:after="40"/>
      </w:pPr>
      <w:r>
        <w:rPr>
          <w:b/>
        </w:rPr>
        <w:t xml:space="preserve">11.  </w:t>
      </w:r>
      <w:r>
        <w:t>Business Recommendations and Retention Strategies</w:t>
      </w:r>
    </w:p>
    <w:p>
      <w:pPr>
        <w:spacing w:after="40"/>
      </w:pPr>
      <w:r>
        <w:rPr>
          <w:b/>
        </w:rPr>
        <w:t xml:space="preserve">12.  </w:t>
      </w:r>
      <w:r>
        <w:t>Limitations, Privacy Considerations, and Future Improvements</w:t>
      </w:r>
    </w:p>
    <w:p>
      <w:pPr>
        <w:spacing w:after="40"/>
      </w:pPr>
      <w:r>
        <w:rPr>
          <w:b/>
        </w:rPr>
        <w:t xml:space="preserve">13.  </w:t>
      </w:r>
      <w:r>
        <w:t>Conclusion</w:t>
      </w:r>
    </w:p>
    <w:p>
      <w:pPr>
        <w:spacing w:after="40"/>
      </w:pPr>
      <w:r>
        <w:rPr>
          <w:b/>
        </w:rPr>
        <w:t xml:space="preserve">14.  </w:t>
      </w:r>
      <w:r>
        <w:t>References and Technology Stack</w:t>
      </w:r>
    </w:p>
    <w:p>
      <w:r>
        <w:br w:type="page"/>
      </w:r>
    </w:p>
    <w:p>
      <w:pPr>
        <w:pStyle w:val="Heading1"/>
      </w:pPr>
      <w:r>
        <w:rPr>
          <w:b/>
          <w:color w:val="1A2B4A"/>
        </w:rPr>
        <w:t>1. Abstract / Executive Summary</w:t>
      </w:r>
    </w:p>
    <w:p>
      <w:r>
        <w:t>This report presents a complete Customer Churn Analysis and Prediction project developed as part of the AICTE | IBM SkillsBuild Data Analytics with AI Internship 2026 under BharatCares. The project analyzes a subscription-service dataset containing 21 customers across three related data tables to identify churn patterns, potential drivers of customer cancellation, and actionable retention strategies.</w:t>
      </w:r>
    </w:p>
    <w:p>
      <w:r>
        <w:t>Of the 21 customers analyzed, 6 (28.6%) had cancelled their subscriptions. The analysis reveals that all churned customers were on monthly contracts, that escalated support interactions are strongly associated with churn, and that referral-acquired customers show a higher observed churn rate in this cohort. A machine-learning workflow is demonstrated but explicitly labelled as exploratory due to the small sample size; no production model artifacts are generated.</w:t>
      </w:r>
    </w:p>
    <w:p>
      <w:r>
        <w:t>The project delivers: (1) a cleaned and integrated dataset, (2) an interactive Streamlit dashboard, (3) a complete Jupyter Notebook, and (4) this report. All findings are honestly reported with appropriate caveats regarding sample size.</w:t>
      </w:r>
    </w:p>
    <w:p>
      <w:r>
        <w:br w:type="page"/>
      </w:r>
    </w:p>
    <w:p>
      <w:pPr>
        <w:pStyle w:val="Heading1"/>
      </w:pPr>
      <w:r>
        <w:rPr>
          <w:b/>
          <w:color w:val="1A2B4A"/>
        </w:rPr>
        <w:t>2. Introduction and Business Problem</w:t>
      </w:r>
    </w:p>
    <w:p>
      <w:r>
        <w:t>Customer churn — the phenomenon where existing subscribers cancel their service — is one of the most costly challenges for subscription-based businesses. Research consistently shows that acquiring a new customer costs 5–7 times more than retaining an existing one. Even a 5% improvement in customer retention can increase profitability by 25–95%.</w:t>
      </w:r>
    </w:p>
    <w:p>
      <w:r>
        <w:t>For a subscription service, churn directly reduces monthly recurring revenue (MRR), erodes customer lifetime value (CLTV), and signals underlying problems in product quality, pricing, or customer experience. Understanding why customers leave — and identifying at-risk customers before they cancel — enables the business to take targeted, cost-effective retention actions.</w:t>
      </w:r>
    </w:p>
    <w:p>
      <w:r>
        <w:t>This project addresses the following business questions:</w:t>
        <w:br/>
        <w:t xml:space="preserve">  • What is the current churn rate and how many customers have cancelled?</w:t>
        <w:br/>
        <w:t xml:space="preserve">  • Which customer segments, contract types, and plan types are most prone to churn?</w:t>
        <w:br/>
        <w:t xml:space="preserve">  • What reasons do customers give for cancelling?</w:t>
        <w:br/>
        <w:t xml:space="preserve">  • How do support interactions (complaints and escalations) relate to churn?</w:t>
        <w:br/>
        <w:t xml:space="preserve">  • What retention strategies are supported by the available data?</w:t>
        <w:br/>
        <w:t xml:space="preserve">  • Can a predictive churn model be built, and if so, what are its limitations?</w:t>
      </w:r>
    </w:p>
    <w:p>
      <w:r>
        <w:br w:type="page"/>
      </w:r>
    </w:p>
    <w:p>
      <w:pPr>
        <w:pStyle w:val="Heading1"/>
      </w:pPr>
      <w:r>
        <w:rPr>
          <w:b/>
          <w:color w:val="1A2B4A"/>
        </w:rPr>
        <w:t>3. Project Objectives and Scope</w:t>
      </w:r>
    </w:p>
    <w:p>
      <w:pPr>
        <w:pStyle w:val="Heading2"/>
      </w:pPr>
      <w:r>
        <w:rPr>
          <w:b/>
          <w:color w:val="2563EB"/>
        </w:rPr>
        <w:t>3.1 Objectives</w:t>
      </w:r>
    </w:p>
    <w:p>
      <w:pPr>
        <w:pStyle w:val="ListNumber"/>
      </w:pPr>
      <w:r>
        <w:t>Inspect and integrate three related data worksheets into a clean master dataset.</w:t>
      </w:r>
    </w:p>
    <w:p>
      <w:pPr>
        <w:pStyle w:val="ListNumber"/>
      </w:pPr>
      <w:r>
        <w:t>Define a rigorous, leakage-free churn target variable.</w:t>
      </w:r>
    </w:p>
    <w:p>
      <w:pPr>
        <w:pStyle w:val="ListNumber"/>
      </w:pPr>
      <w:r>
        <w:t>Perform exploratory data analysis to identify churn patterns and associations.</w:t>
      </w:r>
    </w:p>
    <w:p>
      <w:pPr>
        <w:pStyle w:val="ListNumber"/>
      </w:pPr>
      <w:r>
        <w:t>Build and evaluate a machine-learning churn prediction workflow (with transparent limitations).</w:t>
      </w:r>
    </w:p>
    <w:p>
      <w:pPr>
        <w:pStyle w:val="ListNumber"/>
      </w:pPr>
      <w:r>
        <w:t>Develop an interactive Streamlit dashboard for business-user exploration.</w:t>
      </w:r>
    </w:p>
    <w:p>
      <w:pPr>
        <w:pStyle w:val="ListNumber"/>
      </w:pPr>
      <w:r>
        <w:t>Provide actionable, data-supported customer retention recommendations.</w:t>
      </w:r>
    </w:p>
    <w:p>
      <w:pPr>
        <w:pStyle w:val="ListNumber"/>
      </w:pPr>
      <w:r>
        <w:t>Deliver all required AICTE internship submission files.</w:t>
      </w:r>
    </w:p>
    <w:p>
      <w:pPr>
        <w:pStyle w:val="Heading2"/>
      </w:pPr>
      <w:r>
        <w:rPr>
          <w:b/>
          <w:color w:val="2563EB"/>
        </w:rPr>
        <w:t>3.2 Scope</w:t>
      </w:r>
    </w:p>
    <w:p>
      <w:r>
        <w:t>In scope: Data cleaning, EDA, churn modelling (exploratory), dashboard, and documentation based on the provided 21-customer Excel dataset.</w:t>
      </w:r>
    </w:p>
    <w:p>
      <w:r>
        <w:t>Out of scope: Real-time data pipelines, production deployment, A/B testing, and any analysis beyond what the available data supports.</w:t>
      </w:r>
    </w:p>
    <w:p>
      <w:r>
        <w:br w:type="page"/>
      </w:r>
    </w:p>
    <w:p>
      <w:pPr>
        <w:pStyle w:val="Heading1"/>
      </w:pPr>
      <w:r>
        <w:rPr>
          <w:b/>
          <w:color w:val="1A2B4A"/>
        </w:rPr>
        <w:t>4. Dataset Description and Data Dictionary</w:t>
      </w:r>
    </w:p>
    <w:p>
      <w:r>
        <w:t>The dataset is provided as a single Excel workbook: customer_churn_data_raw.xlsx. It contains three worksheets joined by the 'customerid' field.</w:t>
      </w:r>
    </w:p>
    <w:p>
      <w:pPr>
        <w:pStyle w:val="Heading2"/>
      </w:pPr>
      <w:r>
        <w:rPr>
          <w:b/>
          <w:color w:val="2563EB"/>
        </w:rPr>
        <w:t>4.1 Dataset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a2b4a"/>
          </w:tcPr>
          <w:p>
            <w:pPr>
              <w:jc w:val="center"/>
            </w:pPr>
            <w:r>
              <w:rPr>
                <w:b/>
                <w:color w:val="FFFFFF"/>
                <w:sz w:val="18"/>
              </w:rPr>
              <w:t>Sheet</w:t>
            </w:r>
          </w:p>
        </w:tc>
        <w:tc>
          <w:tcPr>
            <w:tcW w:type="dxa" w:w="2351"/>
            <w:shd w:val="clear" w:color="auto" w:fill="1a2b4a"/>
          </w:tcPr>
          <w:p>
            <w:pPr>
              <w:jc w:val="center"/>
            </w:pPr>
            <w:r>
              <w:rPr>
                <w:b/>
                <w:color w:val="FFFFFF"/>
                <w:sz w:val="18"/>
              </w:rPr>
              <w:t>Rows</w:t>
            </w:r>
          </w:p>
        </w:tc>
        <w:tc>
          <w:tcPr>
            <w:tcW w:type="dxa" w:w="2351"/>
            <w:shd w:val="clear" w:color="auto" w:fill="1a2b4a"/>
          </w:tcPr>
          <w:p>
            <w:pPr>
              <w:jc w:val="center"/>
            </w:pPr>
            <w:r>
              <w:rPr>
                <w:b/>
                <w:color w:val="FFFFFF"/>
                <w:sz w:val="18"/>
              </w:rPr>
              <w:t>Columns</w:t>
            </w:r>
          </w:p>
        </w:tc>
        <w:tc>
          <w:tcPr>
            <w:tcW w:type="dxa" w:w="2351"/>
            <w:shd w:val="clear" w:color="auto" w:fill="1a2b4a"/>
          </w:tcPr>
          <w:p>
            <w:pPr>
              <w:jc w:val="center"/>
            </w:pPr>
            <w:r>
              <w:rPr>
                <w:b/>
                <w:color w:val="FFFFFF"/>
                <w:sz w:val="18"/>
              </w:rPr>
              <w:t>Description</w:t>
            </w:r>
          </w:p>
        </w:tc>
      </w:tr>
      <w:tr>
        <w:tc>
          <w:tcPr>
            <w:tcW w:type="dxa" w:w="2351"/>
            <w:shd w:val="clear" w:color="auto" w:fill="f4f6fb"/>
          </w:tcPr>
          <w:p>
            <w:r>
              <w:rPr>
                <w:sz w:val="18"/>
              </w:rPr>
              <w:t>db_customer</w:t>
            </w:r>
          </w:p>
        </w:tc>
        <w:tc>
          <w:tcPr>
            <w:tcW w:type="dxa" w:w="2351"/>
            <w:shd w:val="clear" w:color="auto" w:fill="f4f6fb"/>
          </w:tcPr>
          <w:p>
            <w:r>
              <w:rPr>
                <w:sz w:val="18"/>
              </w:rPr>
              <w:t>22 (21 valid)</w:t>
            </w:r>
          </w:p>
        </w:tc>
        <w:tc>
          <w:tcPr>
            <w:tcW w:type="dxa" w:w="2351"/>
            <w:shd w:val="clear" w:color="auto" w:fill="f4f6fb"/>
          </w:tcPr>
          <w:p>
            <w:r>
              <w:rPr>
                <w:sz w:val="18"/>
              </w:rPr>
              <w:t>8</w:t>
            </w:r>
          </w:p>
        </w:tc>
        <w:tc>
          <w:tcPr>
            <w:tcW w:type="dxa" w:w="2351"/>
            <w:shd w:val="clear" w:color="auto" w:fill="f4f6fb"/>
          </w:tcPr>
          <w:p>
            <w:r>
              <w:rPr>
                <w:sz w:val="18"/>
              </w:rPr>
              <w:t>Customer demographics</w:t>
            </w:r>
          </w:p>
        </w:tc>
      </w:tr>
      <w:tr>
        <w:tc>
          <w:tcPr>
            <w:tcW w:type="dxa" w:w="2351"/>
            <w:shd w:val="clear" w:color="auto" w:fill="ffffff"/>
          </w:tcPr>
          <w:p>
            <w:r>
              <w:rPr>
                <w:sz w:val="18"/>
              </w:rPr>
              <w:t>db_subscription</w:t>
            </w:r>
          </w:p>
        </w:tc>
        <w:tc>
          <w:tcPr>
            <w:tcW w:type="dxa" w:w="2351"/>
            <w:shd w:val="clear" w:color="auto" w:fill="ffffff"/>
          </w:tcPr>
          <w:p>
            <w:r>
              <w:rPr>
                <w:sz w:val="18"/>
              </w:rPr>
              <w:t>21</w:t>
            </w:r>
          </w:p>
        </w:tc>
        <w:tc>
          <w:tcPr>
            <w:tcW w:type="dxa" w:w="2351"/>
            <w:shd w:val="clear" w:color="auto" w:fill="ffffff"/>
          </w:tcPr>
          <w:p>
            <w:r>
              <w:rPr>
                <w:sz w:val="18"/>
              </w:rPr>
              <w:t>11</w:t>
            </w:r>
          </w:p>
        </w:tc>
        <w:tc>
          <w:tcPr>
            <w:tcW w:type="dxa" w:w="2351"/>
            <w:shd w:val="clear" w:color="auto" w:fill="ffffff"/>
          </w:tcPr>
          <w:p>
            <w:r>
              <w:rPr>
                <w:sz w:val="18"/>
              </w:rPr>
              <w:t>Subscription details, charges, churn info</w:t>
            </w:r>
          </w:p>
        </w:tc>
      </w:tr>
      <w:tr>
        <w:tc>
          <w:tcPr>
            <w:tcW w:type="dxa" w:w="2351"/>
            <w:shd w:val="clear" w:color="auto" w:fill="f4f6fb"/>
          </w:tcPr>
          <w:p>
            <w:r>
              <w:rPr>
                <w:sz w:val="18"/>
              </w:rPr>
              <w:t>db_support</w:t>
            </w:r>
          </w:p>
        </w:tc>
        <w:tc>
          <w:tcPr>
            <w:tcW w:type="dxa" w:w="2351"/>
            <w:shd w:val="clear" w:color="auto" w:fill="f4f6fb"/>
          </w:tcPr>
          <w:p>
            <w:r>
              <w:rPr>
                <w:sz w:val="18"/>
              </w:rPr>
              <w:t>9 tickets (7 customers)</w:t>
            </w:r>
          </w:p>
        </w:tc>
        <w:tc>
          <w:tcPr>
            <w:tcW w:type="dxa" w:w="2351"/>
            <w:shd w:val="clear" w:color="auto" w:fill="f4f6fb"/>
          </w:tcPr>
          <w:p>
            <w:r>
              <w:rPr>
                <w:sz w:val="18"/>
              </w:rPr>
              <w:t>6</w:t>
            </w:r>
          </w:p>
        </w:tc>
        <w:tc>
          <w:tcPr>
            <w:tcW w:type="dxa" w:w="2351"/>
            <w:shd w:val="clear" w:color="auto" w:fill="f4f6fb"/>
          </w:tcPr>
          <w:p>
            <w:r>
              <w:rPr>
                <w:sz w:val="18"/>
              </w:rPr>
              <w:t>Support tickets, escalations, CSAT</w:t>
            </w:r>
          </w:p>
        </w:tc>
      </w:tr>
    </w:tbl>
    <w:p/>
    <w:p>
      <w:pPr>
        <w:pStyle w:val="Heading2"/>
      </w:pPr>
      <w:r>
        <w:rPr>
          <w:b/>
          <w:color w:val="2563EB"/>
        </w:rPr>
        <w:t>4.2 Data Quality Issues Found</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1a2b4a"/>
          </w:tcPr>
          <w:p>
            <w:pPr>
              <w:jc w:val="center"/>
            </w:pPr>
            <w:r>
              <w:rPr>
                <w:b/>
                <w:color w:val="FFFFFF"/>
                <w:sz w:val="18"/>
              </w:rPr>
              <w:t>Issue</w:t>
            </w:r>
          </w:p>
        </w:tc>
        <w:tc>
          <w:tcPr>
            <w:tcW w:type="dxa" w:w="3135"/>
            <w:shd w:val="clear" w:color="auto" w:fill="1a2b4a"/>
          </w:tcPr>
          <w:p>
            <w:pPr>
              <w:jc w:val="center"/>
            </w:pPr>
            <w:r>
              <w:rPr>
                <w:b/>
                <w:color w:val="FFFFFF"/>
                <w:sz w:val="18"/>
              </w:rPr>
              <w:t>Location</w:t>
            </w:r>
          </w:p>
        </w:tc>
        <w:tc>
          <w:tcPr>
            <w:tcW w:type="dxa" w:w="3135"/>
            <w:shd w:val="clear" w:color="auto" w:fill="1a2b4a"/>
          </w:tcPr>
          <w:p>
            <w:pPr>
              <w:jc w:val="center"/>
            </w:pPr>
            <w:r>
              <w:rPr>
                <w:b/>
                <w:color w:val="FFFFFF"/>
                <w:sz w:val="18"/>
              </w:rPr>
              <w:t>Resolution</w:t>
            </w:r>
          </w:p>
        </w:tc>
      </w:tr>
      <w:tr>
        <w:tc>
          <w:tcPr>
            <w:tcW w:type="dxa" w:w="3135"/>
            <w:shd w:val="clear" w:color="auto" w:fill="f4f6fb"/>
          </w:tcPr>
          <w:p>
            <w:r>
              <w:rPr>
                <w:sz w:val="18"/>
              </w:rPr>
              <w:t>Blank row at end of sheet</w:t>
            </w:r>
          </w:p>
        </w:tc>
        <w:tc>
          <w:tcPr>
            <w:tcW w:type="dxa" w:w="3135"/>
            <w:shd w:val="clear" w:color="auto" w:fill="f4f6fb"/>
          </w:tcPr>
          <w:p>
            <w:r>
              <w:rPr>
                <w:sz w:val="18"/>
              </w:rPr>
              <w:t>db_customer row 22</w:t>
            </w:r>
          </w:p>
        </w:tc>
        <w:tc>
          <w:tcPr>
            <w:tcW w:type="dxa" w:w="3135"/>
            <w:shd w:val="clear" w:color="auto" w:fill="f4f6fb"/>
          </w:tcPr>
          <w:p>
            <w:r>
              <w:rPr>
                <w:sz w:val="18"/>
              </w:rPr>
              <w:t>Dropped (no customerid)</w:t>
            </w:r>
          </w:p>
        </w:tc>
      </w:tr>
      <w:tr>
        <w:tc>
          <w:tcPr>
            <w:tcW w:type="dxa" w:w="3135"/>
            <w:shd w:val="clear" w:color="auto" w:fill="ffffff"/>
          </w:tcPr>
          <w:p>
            <w:r>
              <w:rPr>
                <w:sz w:val="18"/>
              </w:rPr>
              <w:t>Gender values: 'Men', 'Women'</w:t>
            </w:r>
          </w:p>
        </w:tc>
        <w:tc>
          <w:tcPr>
            <w:tcW w:type="dxa" w:w="3135"/>
            <w:shd w:val="clear" w:color="auto" w:fill="ffffff"/>
          </w:tcPr>
          <w:p>
            <w:r>
              <w:rPr>
                <w:sz w:val="18"/>
              </w:rPr>
              <w:t>db_customer.gender</w:t>
            </w:r>
          </w:p>
        </w:tc>
        <w:tc>
          <w:tcPr>
            <w:tcW w:type="dxa" w:w="3135"/>
            <w:shd w:val="clear" w:color="auto" w:fill="ffffff"/>
          </w:tcPr>
          <w:p>
            <w:r>
              <w:rPr>
                <w:sz w:val="18"/>
              </w:rPr>
              <w:t>Mapped to Male/Female</w:t>
            </w:r>
          </w:p>
        </w:tc>
      </w:tr>
      <w:tr>
        <w:tc>
          <w:tcPr>
            <w:tcW w:type="dxa" w:w="3135"/>
            <w:shd w:val="clear" w:color="auto" w:fill="f4f6fb"/>
          </w:tcPr>
          <w:p>
            <w:r>
              <w:rPr>
                <w:sz w:val="18"/>
              </w:rPr>
              <w:t>Missing country (3 rows)</w:t>
            </w:r>
          </w:p>
        </w:tc>
        <w:tc>
          <w:tcPr>
            <w:tcW w:type="dxa" w:w="3135"/>
            <w:shd w:val="clear" w:color="auto" w:fill="f4f6fb"/>
          </w:tcPr>
          <w:p>
            <w:r>
              <w:rPr>
                <w:sz w:val="18"/>
              </w:rPr>
              <w:t>db_customer.country</w:t>
            </w:r>
          </w:p>
        </w:tc>
        <w:tc>
          <w:tcPr>
            <w:tcW w:type="dxa" w:w="3135"/>
            <w:shd w:val="clear" w:color="auto" w:fill="f4f6fb"/>
          </w:tcPr>
          <w:p>
            <w:r>
              <w:rPr>
                <w:sz w:val="18"/>
              </w:rPr>
              <w:t>Inferred from state where possible</w:t>
            </w:r>
          </w:p>
        </w:tc>
      </w:tr>
      <w:tr>
        <w:tc>
          <w:tcPr>
            <w:tcW w:type="dxa" w:w="3135"/>
            <w:shd w:val="clear" w:color="auto" w:fill="ffffff"/>
          </w:tcPr>
          <w:p>
            <w:r>
              <w:rPr>
                <w:sz w:val="18"/>
              </w:rPr>
              <w:t>Typo: 'Refferal'</w:t>
            </w:r>
          </w:p>
        </w:tc>
        <w:tc>
          <w:tcPr>
            <w:tcW w:type="dxa" w:w="3135"/>
            <w:shd w:val="clear" w:color="auto" w:fill="ffffff"/>
          </w:tcPr>
          <w:p>
            <w:r>
              <w:rPr>
                <w:sz w:val="18"/>
              </w:rPr>
              <w:t>db_subscription.subscription_type</w:t>
            </w:r>
          </w:p>
        </w:tc>
        <w:tc>
          <w:tcPr>
            <w:tcW w:type="dxa" w:w="3135"/>
            <w:shd w:val="clear" w:color="auto" w:fill="ffffff"/>
          </w:tcPr>
          <w:p>
            <w:r>
              <w:rPr>
                <w:sz w:val="18"/>
              </w:rPr>
              <w:t>Corrected to 'Referral'</w:t>
            </w:r>
          </w:p>
        </w:tc>
      </w:tr>
      <w:tr>
        <w:tc>
          <w:tcPr>
            <w:tcW w:type="dxa" w:w="3135"/>
            <w:shd w:val="clear" w:color="auto" w:fill="f4f6fb"/>
          </w:tcPr>
          <w:p>
            <w:r>
              <w:rPr>
                <w:sz w:val="18"/>
              </w:rPr>
              <w:t>Empty col_1 column</w:t>
            </w:r>
          </w:p>
        </w:tc>
        <w:tc>
          <w:tcPr>
            <w:tcW w:type="dxa" w:w="3135"/>
            <w:shd w:val="clear" w:color="auto" w:fill="f4f6fb"/>
          </w:tcPr>
          <w:p>
            <w:r>
              <w:rPr>
                <w:sz w:val="18"/>
              </w:rPr>
              <w:t>db_support</w:t>
            </w:r>
          </w:p>
        </w:tc>
        <w:tc>
          <w:tcPr>
            <w:tcW w:type="dxa" w:w="3135"/>
            <w:shd w:val="clear" w:color="auto" w:fill="f4f6fb"/>
          </w:tcPr>
          <w:p>
            <w:r>
              <w:rPr>
                <w:sz w:val="18"/>
              </w:rPr>
              <w:t>Dropped during cleaning</w:t>
            </w:r>
          </w:p>
        </w:tc>
      </w:tr>
      <w:tr>
        <w:tc>
          <w:tcPr>
            <w:tcW w:type="dxa" w:w="3135"/>
            <w:shd w:val="clear" w:color="auto" w:fill="ffffff"/>
          </w:tcPr>
          <w:p>
            <w:r>
              <w:rPr>
                <w:sz w:val="18"/>
              </w:rPr>
              <w:t>Multiple tickets per customer</w:t>
            </w:r>
          </w:p>
        </w:tc>
        <w:tc>
          <w:tcPr>
            <w:tcW w:type="dxa" w:w="3135"/>
            <w:shd w:val="clear" w:color="auto" w:fill="ffffff"/>
          </w:tcPr>
          <w:p>
            <w:r>
              <w:rPr>
                <w:sz w:val="18"/>
              </w:rPr>
              <w:t>db_support (9 rows, 7 customers)</w:t>
            </w:r>
          </w:p>
        </w:tc>
        <w:tc>
          <w:tcPr>
            <w:tcW w:type="dxa" w:w="3135"/>
            <w:shd w:val="clear" w:color="auto" w:fill="ffffff"/>
          </w:tcPr>
          <w:p>
            <w:r>
              <w:rPr>
                <w:sz w:val="18"/>
              </w:rPr>
              <w:t>Aggregated to 1 row per customer</w:t>
            </w:r>
          </w:p>
        </w:tc>
      </w:tr>
      <w:tr>
        <w:tc>
          <w:tcPr>
            <w:tcW w:type="dxa" w:w="3135"/>
            <w:shd w:val="clear" w:color="auto" w:fill="f4f6fb"/>
          </w:tcPr>
          <w:p>
            <w:r>
              <w:rPr>
                <w:sz w:val="18"/>
              </w:rPr>
              <w:t>churn_score provenance unknown</w:t>
            </w:r>
          </w:p>
        </w:tc>
        <w:tc>
          <w:tcPr>
            <w:tcW w:type="dxa" w:w="3135"/>
            <w:shd w:val="clear" w:color="auto" w:fill="f4f6fb"/>
          </w:tcPr>
          <w:p>
            <w:r>
              <w:rPr>
                <w:sz w:val="18"/>
              </w:rPr>
              <w:t>db_subscription.churn_score</w:t>
            </w:r>
          </w:p>
        </w:tc>
        <w:tc>
          <w:tcPr>
            <w:tcW w:type="dxa" w:w="3135"/>
            <w:shd w:val="clear" w:color="auto" w:fill="f4f6fb"/>
          </w:tcPr>
          <w:p>
            <w:r>
              <w:rPr>
                <w:sz w:val="18"/>
              </w:rPr>
              <w:t>Excluded from ML features</w:t>
            </w:r>
          </w:p>
        </w:tc>
      </w:tr>
      <w:tr>
        <w:tc>
          <w:tcPr>
            <w:tcW w:type="dxa" w:w="3135"/>
            <w:shd w:val="clear" w:color="auto" w:fill="ffffff"/>
          </w:tcPr>
          <w:p>
            <w:r>
              <w:rPr>
                <w:sz w:val="18"/>
              </w:rPr>
              <w:t>Dates stored as strings</w:t>
            </w:r>
          </w:p>
        </w:tc>
        <w:tc>
          <w:tcPr>
            <w:tcW w:type="dxa" w:w="3135"/>
            <w:shd w:val="clear" w:color="auto" w:fill="ffffff"/>
          </w:tcPr>
          <w:p>
            <w:r>
              <w:rPr>
                <w:sz w:val="18"/>
              </w:rPr>
              <w:t>db_subscription date cols</w:t>
            </w:r>
          </w:p>
        </w:tc>
        <w:tc>
          <w:tcPr>
            <w:tcW w:type="dxa" w:w="3135"/>
            <w:shd w:val="clear" w:color="auto" w:fill="ffffff"/>
          </w:tcPr>
          <w:p>
            <w:r>
              <w:rPr>
                <w:sz w:val="18"/>
              </w:rPr>
              <w:t>Converted to datetime</w:t>
            </w:r>
          </w:p>
        </w:tc>
      </w:tr>
      <w:tr>
        <w:tc>
          <w:tcPr>
            <w:tcW w:type="dxa" w:w="3135"/>
            <w:shd w:val="clear" w:color="auto" w:fill="f4f6fb"/>
          </w:tcPr>
          <w:p>
            <w:r>
              <w:rPr>
                <w:sz w:val="18"/>
              </w:rPr>
              <w:t>Monthly outlier: $92.99</w:t>
            </w:r>
          </w:p>
        </w:tc>
        <w:tc>
          <w:tcPr>
            <w:tcW w:type="dxa" w:w="3135"/>
            <w:shd w:val="clear" w:color="auto" w:fill="f4f6fb"/>
          </w:tcPr>
          <w:p>
            <w:r>
              <w:rPr>
                <w:sz w:val="18"/>
              </w:rPr>
              <w:t>db_subscription (0019-GFNTW)</w:t>
            </w:r>
          </w:p>
        </w:tc>
        <w:tc>
          <w:tcPr>
            <w:tcW w:type="dxa" w:w="3135"/>
            <w:shd w:val="clear" w:color="auto" w:fill="f4f6fb"/>
          </w:tcPr>
          <w:p>
            <w:r>
              <w:rPr>
                <w:sz w:val="18"/>
              </w:rPr>
              <w:t>Retained — valid Premium annual</w:t>
            </w:r>
          </w:p>
        </w:tc>
      </w:tr>
    </w:tbl>
    <w:p>
      <w:r>
        <w:br w:type="page"/>
      </w:r>
    </w:p>
    <w:p>
      <w:pPr>
        <w:pStyle w:val="Heading1"/>
      </w:pPr>
      <w:r>
        <w:rPr>
          <w:b/>
          <w:color w:val="1A2B4A"/>
        </w:rPr>
        <w:t>5. Data Cleaning and Preprocessing Methodology</w:t>
      </w:r>
    </w:p>
    <w:p>
      <w:r>
        <w:t>Data cleaning was implemented as a reproducible pipeline in src/data_processing.py. The following steps were applied in order:</w:t>
      </w:r>
    </w:p>
    <w:p>
      <w:pPr>
        <w:pStyle w:val="ListBullet"/>
      </w:pPr>
      <w:r>
        <w:rPr>
          <w:b/>
        </w:rPr>
        <w:t xml:space="preserve">Load: </w:t>
      </w:r>
      <w:r>
        <w:t>All three worksheets loaded using pandas.read_excel with openpyxl engine.</w:t>
      </w:r>
    </w:p>
    <w:p>
      <w:pPr>
        <w:pStyle w:val="ListBullet"/>
      </w:pPr>
      <w:r>
        <w:rPr>
          <w:b/>
        </w:rPr>
        <w:t xml:space="preserve">Column standardization: </w:t>
      </w:r>
      <w:r>
        <w:t>All column names lowercased and spaces replaced with underscores.</w:t>
      </w:r>
    </w:p>
    <w:p>
      <w:pPr>
        <w:pStyle w:val="ListBullet"/>
      </w:pPr>
      <w:r>
        <w:rPr>
          <w:b/>
        </w:rPr>
        <w:t xml:space="preserve">Blank row removal: </w:t>
      </w:r>
      <w:r>
        <w:t>Rows with null customerid removed from db_customer.</w:t>
      </w:r>
    </w:p>
    <w:p>
      <w:pPr>
        <w:pStyle w:val="ListBullet"/>
      </w:pPr>
      <w:r>
        <w:rPr>
          <w:b/>
        </w:rPr>
        <w:t xml:space="preserve">Gender normalization: </w:t>
      </w:r>
      <w:r>
        <w:t>Inconsistent values ('Men', 'Women') mapped to canonical ('Male', 'Female').</w:t>
      </w:r>
    </w:p>
    <w:p>
      <w:pPr>
        <w:pStyle w:val="ListBullet"/>
      </w:pPr>
      <w:r>
        <w:rPr>
          <w:b/>
        </w:rPr>
        <w:t xml:space="preserve">Country inference: </w:t>
      </w:r>
      <w:r>
        <w:t>Missing country inferred from state for known Indian states.</w:t>
      </w:r>
    </w:p>
    <w:p>
      <w:pPr>
        <w:pStyle w:val="ListBullet"/>
      </w:pPr>
      <w:r>
        <w:rPr>
          <w:b/>
        </w:rPr>
        <w:t xml:space="preserve">Referral typo fix: </w:t>
      </w:r>
      <w:r>
        <w:t>Subscription type 'Refferal' corrected to 'Referral'.</w:t>
      </w:r>
    </w:p>
    <w:p>
      <w:pPr>
        <w:pStyle w:val="ListBullet"/>
      </w:pPr>
      <w:r>
        <w:rPr>
          <w:b/>
        </w:rPr>
        <w:t xml:space="preserve">Date conversion: </w:t>
      </w:r>
      <w:r>
        <w:t>subscription_start_date, renewal_date, cancellation_date converted to datetime.</w:t>
      </w:r>
    </w:p>
    <w:p>
      <w:pPr>
        <w:pStyle w:val="ListBullet"/>
      </w:pPr>
      <w:r>
        <w:rPr>
          <w:b/>
        </w:rPr>
        <w:t xml:space="preserve">Numeric coercion: </w:t>
      </w:r>
      <w:r>
        <w:t>monthly_charges, cltv, churn_score converted to numeric with error handling.</w:t>
      </w:r>
    </w:p>
    <w:p>
      <w:pPr>
        <w:pStyle w:val="ListBullet"/>
      </w:pPr>
      <w:r>
        <w:rPr>
          <w:b/>
        </w:rPr>
        <w:t xml:space="preserve">col_1 removal: </w:t>
      </w:r>
      <w:r>
        <w:t>Empty column dropped from db_support.</w:t>
      </w:r>
    </w:p>
    <w:p>
      <w:pPr>
        <w:pStyle w:val="ListBullet"/>
      </w:pPr>
      <w:r>
        <w:rPr>
          <w:b/>
        </w:rPr>
        <w:t xml:space="preserve">Escalation mapping: </w:t>
      </w:r>
      <w:r>
        <w:t>db_support.escalations mapped: 'Y'→True, 'N'→False.</w:t>
      </w:r>
    </w:p>
    <w:p>
      <w:pPr>
        <w:pStyle w:val="ListBullet"/>
      </w:pPr>
      <w:r>
        <w:rPr>
          <w:b/>
        </w:rPr>
        <w:t xml:space="preserve">Support aggregation: </w:t>
      </w:r>
      <w:r>
        <w:t>9 support tickets aggregated to 7 rows (one per customer) with counts, escalation flag, avg/min CSAT.</w:t>
      </w:r>
    </w:p>
    <w:p>
      <w:pPr>
        <w:pStyle w:val="ListBullet"/>
      </w:pPr>
      <w:r>
        <w:rPr>
          <w:b/>
        </w:rPr>
        <w:t xml:space="preserve">Left join: </w:t>
      </w:r>
      <w:r>
        <w:t>Subscription (base) left-joined with customer and aggregated support on customerid.</w:t>
      </w:r>
    </w:p>
    <w:p>
      <w:pPr>
        <w:pStyle w:val="ListBullet"/>
      </w:pPr>
      <w:r>
        <w:rPr>
          <w:b/>
        </w:rPr>
        <w:t xml:space="preserve">Feature engineering: </w:t>
      </w:r>
      <w:r>
        <w:t>tenure_months, age, age_group derived. Support columns filled with defaults for customers with no tickets.</w:t>
      </w:r>
    </w:p>
    <w:p>
      <w:r>
        <w:br w:type="page"/>
      </w:r>
    </w:p>
    <w:p>
      <w:pPr>
        <w:pStyle w:val="Heading1"/>
      </w:pPr>
      <w:r>
        <w:rPr>
          <w:b/>
          <w:color w:val="1A2B4A"/>
        </w:rPr>
        <w:t>6. Data Integration and Churn Definition</w:t>
      </w:r>
    </w:p>
    <w:p>
      <w:pPr>
        <w:pStyle w:val="Heading2"/>
      </w:pPr>
      <w:r>
        <w:rPr>
          <w:b/>
          <w:color w:val="2563EB"/>
        </w:rPr>
        <w:t>6.1 Table Join Strategy</w:t>
      </w:r>
    </w:p>
    <w:p>
      <w:r>
        <w:t>Join: db_subscription (base) LEFT JOIN db_customer ON customerid LEFT JOIN db_support_aggregated ON customerid.</w:t>
      </w:r>
    </w:p>
    <w:p>
      <w:r>
        <w:t>Cardinality: Both db_customer and db_subscription have exactly 1 row per customerid (enforced by assertion). The support table was pre-aggregated to ensure 1 row per customer before joining, preventing row multiplication.</w:t>
      </w:r>
    </w:p>
    <w:p>
      <w:r>
        <w:t>Result: 21 rows in master dataset — no row duplication, no customer loss.</w:t>
      </w:r>
    </w:p>
    <w:p>
      <w:pPr>
        <w:pStyle w:val="Heading2"/>
      </w:pPr>
      <w:r>
        <w:rPr>
          <w:b/>
          <w:color w:val="2563EB"/>
        </w:rPr>
        <w:t>6.2 Churn Target Definition</w:t>
      </w:r>
    </w:p>
    <w:p>
      <w:r>
        <w:t>Churn Label: churned = 1 if cancellation_date IS NOT NULL, else 0.</w:t>
      </w:r>
    </w:p>
    <w:p>
      <w:r>
        <w:t>Rationale: Cancellation date is the objective, directly-observed fact of service termination, available in the dataset without ambiguity.</w:t>
      </w:r>
    </w:p>
    <w:p>
      <w:pPr>
        <w:pStyle w:val="Heading2"/>
      </w:pPr>
      <w:r>
        <w:rPr>
          <w:b/>
          <w:color w:val="2563EB"/>
        </w:rPr>
        <w:t>6.3 Leakage Prevention</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shd w:val="clear" w:color="auto" w:fill="1a2b4a"/>
          </w:tcPr>
          <w:p>
            <w:pPr>
              <w:jc w:val="center"/>
            </w:pPr>
            <w:r>
              <w:rPr>
                <w:b/>
                <w:color w:val="FFFFFF"/>
                <w:sz w:val="18"/>
              </w:rPr>
              <w:t>Excluded Column</w:t>
            </w:r>
          </w:p>
        </w:tc>
        <w:tc>
          <w:tcPr>
            <w:tcW w:type="dxa" w:w="4703"/>
            <w:shd w:val="clear" w:color="auto" w:fill="1a2b4a"/>
          </w:tcPr>
          <w:p>
            <w:pPr>
              <w:jc w:val="center"/>
            </w:pPr>
            <w:r>
              <w:rPr>
                <w:b/>
                <w:color w:val="FFFFFF"/>
                <w:sz w:val="18"/>
              </w:rPr>
              <w:t>Reason</w:t>
            </w:r>
          </w:p>
        </w:tc>
      </w:tr>
      <w:tr>
        <w:tc>
          <w:tcPr>
            <w:tcW w:type="dxa" w:w="4703"/>
            <w:shd w:val="clear" w:color="auto" w:fill="f4f6fb"/>
          </w:tcPr>
          <w:p>
            <w:r>
              <w:rPr>
                <w:sz w:val="18"/>
              </w:rPr>
              <w:t>cancellation_date</w:t>
            </w:r>
          </w:p>
        </w:tc>
        <w:tc>
          <w:tcPr>
            <w:tcW w:type="dxa" w:w="4703"/>
            <w:shd w:val="clear" w:color="auto" w:fill="f4f6fb"/>
          </w:tcPr>
          <w:p>
            <w:r>
              <w:rPr>
                <w:sz w:val="18"/>
              </w:rPr>
              <w:t>Occurs at or after churn — directly encodes the target</w:t>
            </w:r>
          </w:p>
        </w:tc>
      </w:tr>
      <w:tr>
        <w:tc>
          <w:tcPr>
            <w:tcW w:type="dxa" w:w="4703"/>
            <w:shd w:val="clear" w:color="auto" w:fill="ffffff"/>
          </w:tcPr>
          <w:p>
            <w:r>
              <w:rPr>
                <w:sz w:val="18"/>
              </w:rPr>
              <w:t>cancellation_reason</w:t>
            </w:r>
          </w:p>
        </w:tc>
        <w:tc>
          <w:tcPr>
            <w:tcW w:type="dxa" w:w="4703"/>
            <w:shd w:val="clear" w:color="auto" w:fill="ffffff"/>
          </w:tcPr>
          <w:p>
            <w:r>
              <w:rPr>
                <w:sz w:val="18"/>
              </w:rPr>
              <w:t>Only known after cancellation</w:t>
            </w:r>
          </w:p>
        </w:tc>
      </w:tr>
      <w:tr>
        <w:tc>
          <w:tcPr>
            <w:tcW w:type="dxa" w:w="4703"/>
            <w:shd w:val="clear" w:color="auto" w:fill="f4f6fb"/>
          </w:tcPr>
          <w:p>
            <w:r>
              <w:rPr>
                <w:sz w:val="18"/>
              </w:rPr>
              <w:t>churn_score</w:t>
            </w:r>
          </w:p>
        </w:tc>
        <w:tc>
          <w:tcPr>
            <w:tcW w:type="dxa" w:w="4703"/>
            <w:shd w:val="clear" w:color="auto" w:fill="f4f6fb"/>
          </w:tcPr>
          <w:p>
            <w:r>
              <w:rPr>
                <w:sz w:val="18"/>
              </w:rPr>
              <w:t>Unknown provenance — may use post-hoc information</w:t>
            </w:r>
          </w:p>
        </w:tc>
      </w:tr>
      <w:tr>
        <w:tc>
          <w:tcPr>
            <w:tcW w:type="dxa" w:w="4703"/>
            <w:shd w:val="clear" w:color="auto" w:fill="ffffff"/>
          </w:tcPr>
          <w:p>
            <w:r>
              <w:rPr>
                <w:sz w:val="18"/>
              </w:rPr>
              <w:t>renewal_date</w:t>
            </w:r>
          </w:p>
        </w:tc>
        <w:tc>
          <w:tcPr>
            <w:tcW w:type="dxa" w:w="4703"/>
            <w:shd w:val="clear" w:color="auto" w:fill="ffffff"/>
          </w:tcPr>
          <w:p>
            <w:r>
              <w:rPr>
                <w:sz w:val="18"/>
              </w:rPr>
              <w:t>Closely tied to subscription lifecycle events near churn</w:t>
            </w:r>
          </w:p>
        </w:tc>
      </w:tr>
    </w:tbl>
    <w:p>
      <w:r>
        <w:br w:type="page"/>
      </w:r>
    </w:p>
    <w:p>
      <w:pPr>
        <w:pStyle w:val="Heading1"/>
      </w:pPr>
      <w:r>
        <w:rPr>
          <w:b/>
          <w:color w:val="1A2B4A"/>
        </w:rPr>
        <w:t>7. Exploratory Data Analysis</w:t>
      </w:r>
    </w:p>
    <w:p>
      <w:r>
        <w:t>EDA was performed using pandas, numpy, matplotlib, and seaborn. Due to the small sample size (n=21), all findings are descriptive statistics of this specific cohort. Statistical significance testing is not applicable.</w:t>
      </w:r>
    </w:p>
    <w:p>
      <w:pPr>
        <w:pStyle w:val="Heading2"/>
      </w:pPr>
      <w:r>
        <w:rPr>
          <w:b/>
          <w:color w:val="2563EB"/>
        </w:rPr>
        <w:t>7.1 Churn Distribution</w:t>
      </w:r>
    </w:p>
    <w:p>
      <w:r>
        <w:t>6 of 21 customers churned (28.6%). 15 customers (71.4%) remain active. This is the overall churn rate denominator — all 21 unique customers with subscription records.</w:t>
      </w:r>
    </w:p>
    <w:p>
      <w:pPr>
        <w:pStyle w:val="Heading2"/>
      </w:pPr>
      <w:r>
        <w:rPr>
          <w:b/>
          <w:color w:val="2563EB"/>
        </w:rPr>
        <w:t>7.2 Churn by Contract Type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a2b4a"/>
          </w:tcPr>
          <w:p>
            <w:pPr>
              <w:jc w:val="center"/>
            </w:pPr>
            <w:r>
              <w:rPr>
                <w:b/>
                <w:color w:val="FFFFFF"/>
                <w:sz w:val="18"/>
              </w:rPr>
              <w:t>Contract Type</w:t>
            </w:r>
          </w:p>
        </w:tc>
        <w:tc>
          <w:tcPr>
            <w:tcW w:type="dxa" w:w="2351"/>
            <w:shd w:val="clear" w:color="auto" w:fill="1a2b4a"/>
          </w:tcPr>
          <w:p>
            <w:pPr>
              <w:jc w:val="center"/>
            </w:pPr>
            <w:r>
              <w:rPr>
                <w:b/>
                <w:color w:val="FFFFFF"/>
                <w:sz w:val="18"/>
              </w:rPr>
              <w:t>Total</w:t>
            </w:r>
          </w:p>
        </w:tc>
        <w:tc>
          <w:tcPr>
            <w:tcW w:type="dxa" w:w="2351"/>
            <w:shd w:val="clear" w:color="auto" w:fill="1a2b4a"/>
          </w:tcPr>
          <w:p>
            <w:pPr>
              <w:jc w:val="center"/>
            </w:pPr>
            <w:r>
              <w:rPr>
                <w:b/>
                <w:color w:val="FFFFFF"/>
                <w:sz w:val="18"/>
              </w:rPr>
              <w:t>Churned</w:t>
            </w:r>
          </w:p>
        </w:tc>
        <w:tc>
          <w:tcPr>
            <w:tcW w:type="dxa" w:w="2351"/>
            <w:shd w:val="clear" w:color="auto" w:fill="1a2b4a"/>
          </w:tcPr>
          <w:p>
            <w:pPr>
              <w:jc w:val="center"/>
            </w:pPr>
            <w:r>
              <w:rPr>
                <w:b/>
                <w:color w:val="FFFFFF"/>
                <w:sz w:val="18"/>
              </w:rPr>
              <w:t>Churn Rate</w:t>
            </w:r>
          </w:p>
        </w:tc>
      </w:tr>
      <w:tr>
        <w:tc>
          <w:tcPr>
            <w:tcW w:type="dxa" w:w="2351"/>
            <w:shd w:val="clear" w:color="auto" w:fill="f4f6fb"/>
          </w:tcPr>
          <w:p>
            <w:r>
              <w:rPr>
                <w:sz w:val="18"/>
              </w:rPr>
              <w:t>Monthly</w:t>
            </w:r>
          </w:p>
        </w:tc>
        <w:tc>
          <w:tcPr>
            <w:tcW w:type="dxa" w:w="2351"/>
            <w:shd w:val="clear" w:color="auto" w:fill="f4f6fb"/>
          </w:tcPr>
          <w:p>
            <w:r>
              <w:rPr>
                <w:sz w:val="18"/>
              </w:rPr>
              <w:t>11</w:t>
            </w:r>
          </w:p>
        </w:tc>
        <w:tc>
          <w:tcPr>
            <w:tcW w:type="dxa" w:w="2351"/>
            <w:shd w:val="clear" w:color="auto" w:fill="f4f6fb"/>
          </w:tcPr>
          <w:p>
            <w:r>
              <w:rPr>
                <w:sz w:val="18"/>
              </w:rPr>
              <w:t>6</w:t>
            </w:r>
          </w:p>
        </w:tc>
        <w:tc>
          <w:tcPr>
            <w:tcW w:type="dxa" w:w="2351"/>
            <w:shd w:val="clear" w:color="auto" w:fill="f4f6fb"/>
          </w:tcPr>
          <w:p>
            <w:r>
              <w:rPr>
                <w:sz w:val="18"/>
              </w:rPr>
              <w:t>54.5%</w:t>
            </w:r>
          </w:p>
        </w:tc>
      </w:tr>
      <w:tr>
        <w:tc>
          <w:tcPr>
            <w:tcW w:type="dxa" w:w="2351"/>
            <w:shd w:val="clear" w:color="auto" w:fill="ffffff"/>
          </w:tcPr>
          <w:p>
            <w:r>
              <w:rPr>
                <w:sz w:val="18"/>
              </w:rPr>
              <w:t>Annual</w:t>
            </w:r>
          </w:p>
        </w:tc>
        <w:tc>
          <w:tcPr>
            <w:tcW w:type="dxa" w:w="2351"/>
            <w:shd w:val="clear" w:color="auto" w:fill="ffffff"/>
          </w:tcPr>
          <w:p>
            <w:r>
              <w:rPr>
                <w:sz w:val="18"/>
              </w:rPr>
              <w:t>10</w:t>
            </w:r>
          </w:p>
        </w:tc>
        <w:tc>
          <w:tcPr>
            <w:tcW w:type="dxa" w:w="2351"/>
            <w:shd w:val="clear" w:color="auto" w:fill="ffffff"/>
          </w:tcPr>
          <w:p>
            <w:r>
              <w:rPr>
                <w:sz w:val="18"/>
              </w:rPr>
              <w:t>0</w:t>
            </w:r>
          </w:p>
        </w:tc>
        <w:tc>
          <w:tcPr>
            <w:tcW w:type="dxa" w:w="2351"/>
            <w:shd w:val="clear" w:color="auto" w:fill="ffffff"/>
          </w:tcPr>
          <w:p>
            <w:r>
              <w:rPr>
                <w:sz w:val="18"/>
              </w:rPr>
              <w:t>0.0%</w:t>
            </w:r>
          </w:p>
        </w:tc>
      </w:tr>
    </w:tbl>
    <w:p>
      <w:r>
        <w:t>All 6 churned customers were on monthly contracts. No annual-contract customer churned in this dataset.</w:t>
      </w:r>
    </w:p>
    <w:p>
      <w:pPr>
        <w:pStyle w:val="Heading2"/>
      </w:pPr>
      <w:r>
        <w:rPr>
          <w:b/>
          <w:color w:val="2563EB"/>
        </w:rPr>
        <w:t>7.3 Churn by Plan Type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a2b4a"/>
          </w:tcPr>
          <w:p>
            <w:pPr>
              <w:jc w:val="center"/>
            </w:pPr>
            <w:r>
              <w:rPr>
                <w:b/>
                <w:color w:val="FFFFFF"/>
                <w:sz w:val="18"/>
              </w:rPr>
              <w:t>Plan Type</w:t>
            </w:r>
          </w:p>
        </w:tc>
        <w:tc>
          <w:tcPr>
            <w:tcW w:type="dxa" w:w="2351"/>
            <w:shd w:val="clear" w:color="auto" w:fill="1a2b4a"/>
          </w:tcPr>
          <w:p>
            <w:pPr>
              <w:jc w:val="center"/>
            </w:pPr>
            <w:r>
              <w:rPr>
                <w:b/>
                <w:color w:val="FFFFFF"/>
                <w:sz w:val="18"/>
              </w:rPr>
              <w:t>Total</w:t>
            </w:r>
          </w:p>
        </w:tc>
        <w:tc>
          <w:tcPr>
            <w:tcW w:type="dxa" w:w="2351"/>
            <w:shd w:val="clear" w:color="auto" w:fill="1a2b4a"/>
          </w:tcPr>
          <w:p>
            <w:pPr>
              <w:jc w:val="center"/>
            </w:pPr>
            <w:r>
              <w:rPr>
                <w:b/>
                <w:color w:val="FFFFFF"/>
                <w:sz w:val="18"/>
              </w:rPr>
              <w:t>Churned</w:t>
            </w:r>
          </w:p>
        </w:tc>
        <w:tc>
          <w:tcPr>
            <w:tcW w:type="dxa" w:w="2351"/>
            <w:shd w:val="clear" w:color="auto" w:fill="1a2b4a"/>
          </w:tcPr>
          <w:p>
            <w:pPr>
              <w:jc w:val="center"/>
            </w:pPr>
            <w:r>
              <w:rPr>
                <w:b/>
                <w:color w:val="FFFFFF"/>
                <w:sz w:val="18"/>
              </w:rPr>
              <w:t>Churn Rate</w:t>
            </w:r>
          </w:p>
        </w:tc>
      </w:tr>
      <w:tr>
        <w:tc>
          <w:tcPr>
            <w:tcW w:type="dxa" w:w="2351"/>
            <w:shd w:val="clear" w:color="auto" w:fill="f4f6fb"/>
          </w:tcPr>
          <w:p>
            <w:r>
              <w:rPr>
                <w:sz w:val="18"/>
              </w:rPr>
              <w:t>Basic</w:t>
            </w:r>
          </w:p>
        </w:tc>
        <w:tc>
          <w:tcPr>
            <w:tcW w:type="dxa" w:w="2351"/>
            <w:shd w:val="clear" w:color="auto" w:fill="f4f6fb"/>
          </w:tcPr>
          <w:p>
            <w:r>
              <w:rPr>
                <w:sz w:val="18"/>
              </w:rPr>
              <w:t>6</w:t>
            </w:r>
          </w:p>
        </w:tc>
        <w:tc>
          <w:tcPr>
            <w:tcW w:type="dxa" w:w="2351"/>
            <w:shd w:val="clear" w:color="auto" w:fill="f4f6fb"/>
          </w:tcPr>
          <w:p>
            <w:r>
              <w:rPr>
                <w:sz w:val="18"/>
              </w:rPr>
              <w:t>2</w:t>
            </w:r>
          </w:p>
        </w:tc>
        <w:tc>
          <w:tcPr>
            <w:tcW w:type="dxa" w:w="2351"/>
            <w:shd w:val="clear" w:color="auto" w:fill="f4f6fb"/>
          </w:tcPr>
          <w:p>
            <w:r>
              <w:rPr>
                <w:sz w:val="18"/>
              </w:rPr>
              <w:t>33.3%</w:t>
            </w:r>
          </w:p>
        </w:tc>
      </w:tr>
      <w:tr>
        <w:tc>
          <w:tcPr>
            <w:tcW w:type="dxa" w:w="2351"/>
            <w:shd w:val="clear" w:color="auto" w:fill="ffffff"/>
          </w:tcPr>
          <w:p>
            <w:r>
              <w:rPr>
                <w:sz w:val="18"/>
              </w:rPr>
              <w:t>Standard</w:t>
            </w:r>
          </w:p>
        </w:tc>
        <w:tc>
          <w:tcPr>
            <w:tcW w:type="dxa" w:w="2351"/>
            <w:shd w:val="clear" w:color="auto" w:fill="ffffff"/>
          </w:tcPr>
          <w:p>
            <w:r>
              <w:rPr>
                <w:sz w:val="18"/>
              </w:rPr>
              <w:t>9</w:t>
            </w:r>
          </w:p>
        </w:tc>
        <w:tc>
          <w:tcPr>
            <w:tcW w:type="dxa" w:w="2351"/>
            <w:shd w:val="clear" w:color="auto" w:fill="ffffff"/>
          </w:tcPr>
          <w:p>
            <w:r>
              <w:rPr>
                <w:sz w:val="18"/>
              </w:rPr>
              <w:t>3</w:t>
            </w:r>
          </w:p>
        </w:tc>
        <w:tc>
          <w:tcPr>
            <w:tcW w:type="dxa" w:w="2351"/>
            <w:shd w:val="clear" w:color="auto" w:fill="ffffff"/>
          </w:tcPr>
          <w:p>
            <w:r>
              <w:rPr>
                <w:sz w:val="18"/>
              </w:rPr>
              <w:t>33.3%</w:t>
            </w:r>
          </w:p>
        </w:tc>
      </w:tr>
      <w:tr>
        <w:tc>
          <w:tcPr>
            <w:tcW w:type="dxa" w:w="2351"/>
            <w:shd w:val="clear" w:color="auto" w:fill="f4f6fb"/>
          </w:tcPr>
          <w:p>
            <w:r>
              <w:rPr>
                <w:sz w:val="18"/>
              </w:rPr>
              <w:t>Premium</w:t>
            </w:r>
          </w:p>
        </w:tc>
        <w:tc>
          <w:tcPr>
            <w:tcW w:type="dxa" w:w="2351"/>
            <w:shd w:val="clear" w:color="auto" w:fill="f4f6fb"/>
          </w:tcPr>
          <w:p>
            <w:r>
              <w:rPr>
                <w:sz w:val="18"/>
              </w:rPr>
              <w:t>6</w:t>
            </w:r>
          </w:p>
        </w:tc>
        <w:tc>
          <w:tcPr>
            <w:tcW w:type="dxa" w:w="2351"/>
            <w:shd w:val="clear" w:color="auto" w:fill="f4f6fb"/>
          </w:tcPr>
          <w:p>
            <w:r>
              <w:rPr>
                <w:sz w:val="18"/>
              </w:rPr>
              <w:t>1</w:t>
            </w:r>
          </w:p>
        </w:tc>
        <w:tc>
          <w:tcPr>
            <w:tcW w:type="dxa" w:w="2351"/>
            <w:shd w:val="clear" w:color="auto" w:fill="f4f6fb"/>
          </w:tcPr>
          <w:p>
            <w:r>
              <w:rPr>
                <w:sz w:val="18"/>
              </w:rPr>
              <w:t>16.7%</w:t>
            </w:r>
          </w:p>
        </w:tc>
      </w:tr>
    </w:tbl>
    <w:p>
      <w:pPr>
        <w:pStyle w:val="Heading2"/>
      </w:pPr>
      <w:r>
        <w:rPr>
          <w:b/>
          <w:color w:val="2563EB"/>
        </w:rPr>
        <w:t>7.4 Churn by Acquisition Channel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a2b4a"/>
          </w:tcPr>
          <w:p>
            <w:pPr>
              <w:jc w:val="center"/>
            </w:pPr>
            <w:r>
              <w:rPr>
                <w:b/>
                <w:color w:val="FFFFFF"/>
                <w:sz w:val="18"/>
              </w:rPr>
              <w:t>Subscription Type</w:t>
            </w:r>
          </w:p>
        </w:tc>
        <w:tc>
          <w:tcPr>
            <w:tcW w:type="dxa" w:w="2351"/>
            <w:shd w:val="clear" w:color="auto" w:fill="1a2b4a"/>
          </w:tcPr>
          <w:p>
            <w:pPr>
              <w:jc w:val="center"/>
            </w:pPr>
            <w:r>
              <w:rPr>
                <w:b/>
                <w:color w:val="FFFFFF"/>
                <w:sz w:val="18"/>
              </w:rPr>
              <w:t>Total</w:t>
            </w:r>
          </w:p>
        </w:tc>
        <w:tc>
          <w:tcPr>
            <w:tcW w:type="dxa" w:w="2351"/>
            <w:shd w:val="clear" w:color="auto" w:fill="1a2b4a"/>
          </w:tcPr>
          <w:p>
            <w:pPr>
              <w:jc w:val="center"/>
            </w:pPr>
            <w:r>
              <w:rPr>
                <w:b/>
                <w:color w:val="FFFFFF"/>
                <w:sz w:val="18"/>
              </w:rPr>
              <w:t>Churned</w:t>
            </w:r>
          </w:p>
        </w:tc>
        <w:tc>
          <w:tcPr>
            <w:tcW w:type="dxa" w:w="2351"/>
            <w:shd w:val="clear" w:color="auto" w:fill="1a2b4a"/>
          </w:tcPr>
          <w:p>
            <w:pPr>
              <w:jc w:val="center"/>
            </w:pPr>
            <w:r>
              <w:rPr>
                <w:b/>
                <w:color w:val="FFFFFF"/>
                <w:sz w:val="18"/>
              </w:rPr>
              <w:t>Churn Rate</w:t>
            </w:r>
          </w:p>
        </w:tc>
      </w:tr>
      <w:tr>
        <w:tc>
          <w:tcPr>
            <w:tcW w:type="dxa" w:w="2351"/>
            <w:shd w:val="clear" w:color="auto" w:fill="f4f6fb"/>
          </w:tcPr>
          <w:p>
            <w:r>
              <w:rPr>
                <w:sz w:val="18"/>
              </w:rPr>
              <w:t>Referral</w:t>
            </w:r>
          </w:p>
        </w:tc>
        <w:tc>
          <w:tcPr>
            <w:tcW w:type="dxa" w:w="2351"/>
            <w:shd w:val="clear" w:color="auto" w:fill="f4f6fb"/>
          </w:tcPr>
          <w:p>
            <w:r>
              <w:rPr>
                <w:sz w:val="18"/>
              </w:rPr>
              <w:t>6</w:t>
            </w:r>
          </w:p>
        </w:tc>
        <w:tc>
          <w:tcPr>
            <w:tcW w:type="dxa" w:w="2351"/>
            <w:shd w:val="clear" w:color="auto" w:fill="f4f6fb"/>
          </w:tcPr>
          <w:p>
            <w:r>
              <w:rPr>
                <w:sz w:val="18"/>
              </w:rPr>
              <w:t>3</w:t>
            </w:r>
          </w:p>
        </w:tc>
        <w:tc>
          <w:tcPr>
            <w:tcW w:type="dxa" w:w="2351"/>
            <w:shd w:val="clear" w:color="auto" w:fill="f4f6fb"/>
          </w:tcPr>
          <w:p>
            <w:r>
              <w:rPr>
                <w:sz w:val="18"/>
              </w:rPr>
              <w:t>50.0%</w:t>
            </w:r>
          </w:p>
        </w:tc>
      </w:tr>
      <w:tr>
        <w:tc>
          <w:tcPr>
            <w:tcW w:type="dxa" w:w="2351"/>
            <w:shd w:val="clear" w:color="auto" w:fill="ffffff"/>
          </w:tcPr>
          <w:p>
            <w:r>
              <w:rPr>
                <w:sz w:val="18"/>
              </w:rPr>
              <w:t>Organic</w:t>
            </w:r>
          </w:p>
        </w:tc>
        <w:tc>
          <w:tcPr>
            <w:tcW w:type="dxa" w:w="2351"/>
            <w:shd w:val="clear" w:color="auto" w:fill="ffffff"/>
          </w:tcPr>
          <w:p>
            <w:r>
              <w:rPr>
                <w:sz w:val="18"/>
              </w:rPr>
              <w:t>8</w:t>
            </w:r>
          </w:p>
        </w:tc>
        <w:tc>
          <w:tcPr>
            <w:tcW w:type="dxa" w:w="2351"/>
            <w:shd w:val="clear" w:color="auto" w:fill="ffffff"/>
          </w:tcPr>
          <w:p>
            <w:r>
              <w:rPr>
                <w:sz w:val="18"/>
              </w:rPr>
              <w:t>1</w:t>
            </w:r>
          </w:p>
        </w:tc>
        <w:tc>
          <w:tcPr>
            <w:tcW w:type="dxa" w:w="2351"/>
            <w:shd w:val="clear" w:color="auto" w:fill="ffffff"/>
          </w:tcPr>
          <w:p>
            <w:r>
              <w:rPr>
                <w:sz w:val="18"/>
              </w:rPr>
              <w:t>12.5%</w:t>
            </w:r>
          </w:p>
        </w:tc>
      </w:tr>
      <w:tr>
        <w:tc>
          <w:tcPr>
            <w:tcW w:type="dxa" w:w="2351"/>
            <w:shd w:val="clear" w:color="auto" w:fill="f4f6fb"/>
          </w:tcPr>
          <w:p>
            <w:r>
              <w:rPr>
                <w:sz w:val="18"/>
              </w:rPr>
              <w:t>Paid</w:t>
            </w:r>
          </w:p>
        </w:tc>
        <w:tc>
          <w:tcPr>
            <w:tcW w:type="dxa" w:w="2351"/>
            <w:shd w:val="clear" w:color="auto" w:fill="f4f6fb"/>
          </w:tcPr>
          <w:p>
            <w:r>
              <w:rPr>
                <w:sz w:val="18"/>
              </w:rPr>
              <w:t>7</w:t>
            </w:r>
          </w:p>
        </w:tc>
        <w:tc>
          <w:tcPr>
            <w:tcW w:type="dxa" w:w="2351"/>
            <w:shd w:val="clear" w:color="auto" w:fill="f4f6fb"/>
          </w:tcPr>
          <w:p>
            <w:r>
              <w:rPr>
                <w:sz w:val="18"/>
              </w:rPr>
              <w:t>2</w:t>
            </w:r>
          </w:p>
        </w:tc>
        <w:tc>
          <w:tcPr>
            <w:tcW w:type="dxa" w:w="2351"/>
            <w:shd w:val="clear" w:color="auto" w:fill="f4f6fb"/>
          </w:tcPr>
          <w:p>
            <w:r>
              <w:rPr>
                <w:sz w:val="18"/>
              </w:rPr>
              <w:t>28.6%</w:t>
            </w:r>
          </w:p>
        </w:tc>
      </w:tr>
    </w:tbl>
    <w:p>
      <w:pPr>
        <w:pStyle w:val="Heading2"/>
      </w:pPr>
      <w:r>
        <w:rPr>
          <w:b/>
          <w:color w:val="2563EB"/>
        </w:rPr>
        <w:t>7.5 CLTV and Monthly Charges</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1a2b4a"/>
          </w:tcPr>
          <w:p>
            <w:pPr>
              <w:jc w:val="center"/>
            </w:pPr>
            <w:r>
              <w:rPr>
                <w:b/>
                <w:color w:val="FFFFFF"/>
                <w:sz w:val="18"/>
              </w:rPr>
              <w:t>Metric</w:t>
            </w:r>
          </w:p>
        </w:tc>
        <w:tc>
          <w:tcPr>
            <w:tcW w:type="dxa" w:w="3135"/>
            <w:shd w:val="clear" w:color="auto" w:fill="1a2b4a"/>
          </w:tcPr>
          <w:p>
            <w:pPr>
              <w:jc w:val="center"/>
            </w:pPr>
            <w:r>
              <w:rPr>
                <w:b/>
                <w:color w:val="FFFFFF"/>
                <w:sz w:val="18"/>
              </w:rPr>
              <w:t>Retained</w:t>
            </w:r>
          </w:p>
        </w:tc>
        <w:tc>
          <w:tcPr>
            <w:tcW w:type="dxa" w:w="3135"/>
            <w:shd w:val="clear" w:color="auto" w:fill="1a2b4a"/>
          </w:tcPr>
          <w:p>
            <w:pPr>
              <w:jc w:val="center"/>
            </w:pPr>
            <w:r>
              <w:rPr>
                <w:b/>
                <w:color w:val="FFFFFF"/>
                <w:sz w:val="18"/>
              </w:rPr>
              <w:t>Churned</w:t>
            </w:r>
          </w:p>
        </w:tc>
      </w:tr>
      <w:tr>
        <w:tc>
          <w:tcPr>
            <w:tcW w:type="dxa" w:w="3135"/>
            <w:shd w:val="clear" w:color="auto" w:fill="f4f6fb"/>
          </w:tcPr>
          <w:p>
            <w:r>
              <w:rPr>
                <w:sz w:val="18"/>
              </w:rPr>
              <w:t>Avg Monthly Charges</w:t>
            </w:r>
          </w:p>
        </w:tc>
        <w:tc>
          <w:tcPr>
            <w:tcW w:type="dxa" w:w="3135"/>
            <w:shd w:val="clear" w:color="auto" w:fill="f4f6fb"/>
          </w:tcPr>
          <w:p>
            <w:r>
              <w:rPr>
                <w:sz w:val="18"/>
              </w:rPr>
              <w:t>$19.21</w:t>
            </w:r>
          </w:p>
        </w:tc>
        <w:tc>
          <w:tcPr>
            <w:tcW w:type="dxa" w:w="3135"/>
            <w:shd w:val="clear" w:color="auto" w:fill="f4f6fb"/>
          </w:tcPr>
          <w:p>
            <w:r>
              <w:rPr>
                <w:sz w:val="18"/>
              </w:rPr>
              <w:t>$12.33</w:t>
            </w:r>
          </w:p>
        </w:tc>
      </w:tr>
      <w:tr>
        <w:tc>
          <w:tcPr>
            <w:tcW w:type="dxa" w:w="3135"/>
            <w:shd w:val="clear" w:color="auto" w:fill="ffffff"/>
          </w:tcPr>
          <w:p>
            <w:r>
              <w:rPr>
                <w:sz w:val="18"/>
              </w:rPr>
              <w:t>Avg CLTV</w:t>
            </w:r>
          </w:p>
        </w:tc>
        <w:tc>
          <w:tcPr>
            <w:tcW w:type="dxa" w:w="3135"/>
            <w:shd w:val="clear" w:color="auto" w:fill="ffffff"/>
          </w:tcPr>
          <w:p>
            <w:r>
              <w:rPr>
                <w:sz w:val="18"/>
              </w:rPr>
              <w:t>$1,016</w:t>
            </w:r>
          </w:p>
        </w:tc>
        <w:tc>
          <w:tcPr>
            <w:tcW w:type="dxa" w:w="3135"/>
            <w:shd w:val="clear" w:color="auto" w:fill="ffffff"/>
          </w:tcPr>
          <w:p>
            <w:r>
              <w:rPr>
                <w:sz w:val="18"/>
              </w:rPr>
              <w:t>$341</w:t>
            </w:r>
          </w:p>
        </w:tc>
      </w:tr>
      <w:tr>
        <w:tc>
          <w:tcPr>
            <w:tcW w:type="dxa" w:w="3135"/>
            <w:shd w:val="clear" w:color="auto" w:fill="f4f6fb"/>
          </w:tcPr>
          <w:p>
            <w:r>
              <w:rPr>
                <w:sz w:val="18"/>
              </w:rPr>
              <w:t>Total CLTV</w:t>
            </w:r>
          </w:p>
        </w:tc>
        <w:tc>
          <w:tcPr>
            <w:tcW w:type="dxa" w:w="3135"/>
            <w:shd w:val="clear" w:color="auto" w:fill="f4f6fb"/>
          </w:tcPr>
          <w:p>
            <w:r>
              <w:rPr>
                <w:sz w:val="18"/>
              </w:rPr>
              <w:t>$15,242</w:t>
            </w:r>
          </w:p>
        </w:tc>
        <w:tc>
          <w:tcPr>
            <w:tcW w:type="dxa" w:w="3135"/>
            <w:shd w:val="clear" w:color="auto" w:fill="f4f6fb"/>
          </w:tcPr>
          <w:p>
            <w:r>
              <w:rPr>
                <w:sz w:val="18"/>
              </w:rPr>
              <w:t>$2,047</w:t>
            </w:r>
          </w:p>
        </w:tc>
      </w:tr>
      <w:tr>
        <w:tc>
          <w:tcPr>
            <w:tcW w:type="dxa" w:w="3135"/>
            <w:shd w:val="clear" w:color="auto" w:fill="ffffff"/>
          </w:tcPr>
          <w:p>
            <w:r>
              <w:rPr>
                <w:sz w:val="18"/>
              </w:rPr>
              <w:t>Avg Tenure (months)</w:t>
            </w:r>
          </w:p>
        </w:tc>
        <w:tc>
          <w:tcPr>
            <w:tcW w:type="dxa" w:w="3135"/>
            <w:shd w:val="clear" w:color="auto" w:fill="ffffff"/>
          </w:tcPr>
          <w:p>
            <w:r>
              <w:rPr>
                <w:sz w:val="18"/>
              </w:rPr>
              <w:t>58.3</w:t>
            </w:r>
          </w:p>
        </w:tc>
        <w:tc>
          <w:tcPr>
            <w:tcW w:type="dxa" w:w="3135"/>
            <w:shd w:val="clear" w:color="auto" w:fill="ffffff"/>
          </w:tcPr>
          <w:p>
            <w:r>
              <w:rPr>
                <w:sz w:val="18"/>
              </w:rPr>
              <w:t>27.8</w:t>
            </w:r>
          </w:p>
        </w:tc>
      </w:tr>
    </w:tbl>
    <w:p>
      <w:pPr>
        <w:pStyle w:val="Heading2"/>
      </w:pPr>
      <w:r>
        <w:rPr>
          <w:b/>
          <w:color w:val="2563EB"/>
        </w:rPr>
        <w:t>7.6 Support and Escalation Analysis</w:t>
      </w:r>
    </w:p>
    <w:p>
      <w:r>
        <w:t>9 support tickets exist for 7 unique customers. 4 of the 6 churned customers had at least one support ticket.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a2b4a"/>
          </w:tcPr>
          <w:p>
            <w:pPr>
              <w:jc w:val="center"/>
            </w:pPr>
            <w:r>
              <w:rPr>
                <w:b/>
                <w:color w:val="FFFFFF"/>
                <w:sz w:val="18"/>
              </w:rPr>
              <w:t>Metric</w:t>
            </w:r>
          </w:p>
        </w:tc>
        <w:tc>
          <w:tcPr>
            <w:tcW w:type="dxa" w:w="2351"/>
            <w:shd w:val="clear" w:color="auto" w:fill="1a2b4a"/>
          </w:tcPr>
          <w:p>
            <w:pPr>
              <w:jc w:val="center"/>
            </w:pPr>
            <w:r>
              <w:rPr>
                <w:b/>
                <w:color w:val="FFFFFF"/>
                <w:sz w:val="18"/>
              </w:rPr>
              <w:t>Retained</w:t>
            </w:r>
          </w:p>
        </w:tc>
        <w:tc>
          <w:tcPr>
            <w:tcW w:type="dxa" w:w="2351"/>
            <w:shd w:val="clear" w:color="auto" w:fill="1a2b4a"/>
          </w:tcPr>
          <w:p>
            <w:pPr>
              <w:jc w:val="center"/>
            </w:pPr>
            <w:r>
              <w:rPr>
                <w:b/>
                <w:color w:val="FFFFFF"/>
                <w:sz w:val="18"/>
              </w:rPr>
              <w:t>Churned</w:t>
            </w:r>
          </w:p>
        </w:tc>
        <w:tc>
          <w:tcPr>
            <w:tcW w:type="dxa" w:w="2351"/>
            <w:shd w:val="clear" w:color="auto" w:fill="1a2b4a"/>
          </w:tcPr>
          <w:p>
            <w:pPr>
              <w:jc w:val="center"/>
            </w:pPr>
            <w:r>
              <w:rPr>
                <w:b/>
                <w:color w:val="FFFFFF"/>
                <w:sz w:val="18"/>
              </w:rPr>
              <w:t>Note</w:t>
            </w:r>
          </w:p>
        </w:tc>
      </w:tr>
      <w:tr>
        <w:tc>
          <w:tcPr>
            <w:tcW w:type="dxa" w:w="2351"/>
            <w:shd w:val="clear" w:color="auto" w:fill="f4f6fb"/>
          </w:tcPr>
          <w:p>
            <w:r>
              <w:rPr>
                <w:sz w:val="18"/>
              </w:rPr>
              <w:t>% with any ticket</w:t>
            </w:r>
          </w:p>
        </w:tc>
        <w:tc>
          <w:tcPr>
            <w:tcW w:type="dxa" w:w="2351"/>
            <w:shd w:val="clear" w:color="auto" w:fill="f4f6fb"/>
          </w:tcPr>
          <w:p>
            <w:r>
              <w:rPr>
                <w:sz w:val="18"/>
              </w:rPr>
              <w:t>13.3% (2/15)</w:t>
            </w:r>
          </w:p>
        </w:tc>
        <w:tc>
          <w:tcPr>
            <w:tcW w:type="dxa" w:w="2351"/>
            <w:shd w:val="clear" w:color="auto" w:fill="f4f6fb"/>
          </w:tcPr>
          <w:p>
            <w:r>
              <w:rPr>
                <w:sz w:val="18"/>
              </w:rPr>
              <w:t>66.7% (4/6)</w:t>
            </w:r>
          </w:p>
        </w:tc>
        <w:tc>
          <w:tcPr>
            <w:tcW w:type="dxa" w:w="2351"/>
            <w:shd w:val="clear" w:color="auto" w:fill="f4f6fb"/>
          </w:tcPr>
          <w:p>
            <w:r>
              <w:rPr>
                <w:sz w:val="18"/>
              </w:rPr>
              <w:t>Churned 5× more likely to have ticket</w:t>
            </w:r>
          </w:p>
        </w:tc>
      </w:tr>
      <w:tr>
        <w:tc>
          <w:tcPr>
            <w:tcW w:type="dxa" w:w="2351"/>
            <w:shd w:val="clear" w:color="auto" w:fill="ffffff"/>
          </w:tcPr>
          <w:p>
            <w:r>
              <w:rPr>
                <w:sz w:val="18"/>
              </w:rPr>
              <w:t>% with escalation</w:t>
            </w:r>
          </w:p>
        </w:tc>
        <w:tc>
          <w:tcPr>
            <w:tcW w:type="dxa" w:w="2351"/>
            <w:shd w:val="clear" w:color="auto" w:fill="ffffff"/>
          </w:tcPr>
          <w:p>
            <w:r>
              <w:rPr>
                <w:sz w:val="18"/>
              </w:rPr>
              <w:t>6.7% (1/15)</w:t>
            </w:r>
          </w:p>
        </w:tc>
        <w:tc>
          <w:tcPr>
            <w:tcW w:type="dxa" w:w="2351"/>
            <w:shd w:val="clear" w:color="auto" w:fill="ffffff"/>
          </w:tcPr>
          <w:p>
            <w:r>
              <w:rPr>
                <w:sz w:val="18"/>
              </w:rPr>
              <w:t>66.7% (4/6)</w:t>
            </w:r>
          </w:p>
        </w:tc>
        <w:tc>
          <w:tcPr>
            <w:tcW w:type="dxa" w:w="2351"/>
            <w:shd w:val="clear" w:color="auto" w:fill="ffffff"/>
          </w:tcPr>
          <w:p>
            <w:r>
              <w:rPr>
                <w:sz w:val="18"/>
              </w:rPr>
              <w:t>Strong association</w:t>
            </w:r>
          </w:p>
        </w:tc>
      </w:tr>
      <w:tr>
        <w:tc>
          <w:tcPr>
            <w:tcW w:type="dxa" w:w="2351"/>
            <w:shd w:val="clear" w:color="auto" w:fill="f4f6fb"/>
          </w:tcPr>
          <w:p>
            <w:r>
              <w:rPr>
                <w:sz w:val="18"/>
              </w:rPr>
              <w:t>Avg CSAT (if ticket)</w:t>
            </w:r>
          </w:p>
        </w:tc>
        <w:tc>
          <w:tcPr>
            <w:tcW w:type="dxa" w:w="2351"/>
            <w:shd w:val="clear" w:color="auto" w:fill="f4f6fb"/>
          </w:tcPr>
          <w:p>
            <w:r>
              <w:rPr>
                <w:sz w:val="18"/>
              </w:rPr>
              <w:t>~90</w:t>
            </w:r>
          </w:p>
        </w:tc>
        <w:tc>
          <w:tcPr>
            <w:tcW w:type="dxa" w:w="2351"/>
            <w:shd w:val="clear" w:color="auto" w:fill="f4f6fb"/>
          </w:tcPr>
          <w:p>
            <w:r>
              <w:rPr>
                <w:sz w:val="18"/>
              </w:rPr>
              <w:t>~23.75</w:t>
            </w:r>
          </w:p>
        </w:tc>
        <w:tc>
          <w:tcPr>
            <w:tcW w:type="dxa" w:w="2351"/>
            <w:shd w:val="clear" w:color="auto" w:fill="f4f6fb"/>
          </w:tcPr>
          <w:p>
            <w:r>
              <w:rPr>
                <w:sz w:val="18"/>
              </w:rPr>
              <w:t>Lower CSAT in churned cohort</w:t>
            </w:r>
          </w:p>
        </w:tc>
      </w:tr>
    </w:tbl>
    <w:p>
      <w:r>
        <w:br w:type="page"/>
      </w:r>
    </w:p>
    <w:p>
      <w:pPr>
        <w:pStyle w:val="Heading1"/>
      </w:pPr>
      <w:r>
        <w:rPr>
          <w:b/>
          <w:color w:val="1A2B4A"/>
        </w:rPr>
        <w:t>8. Key Findings</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shd w:val="clear" w:color="auto" w:fill="1a2b4a"/>
          </w:tcPr>
          <w:p>
            <w:pPr>
              <w:jc w:val="center"/>
            </w:pPr>
            <w:r>
              <w:rPr>
                <w:b/>
                <w:color w:val="FFFFFF"/>
                <w:sz w:val="18"/>
              </w:rPr>
              <w:t>Finding</w:t>
            </w:r>
          </w:p>
        </w:tc>
        <w:tc>
          <w:tcPr>
            <w:tcW w:type="dxa" w:w="4703"/>
            <w:shd w:val="clear" w:color="auto" w:fill="1a2b4a"/>
          </w:tcPr>
          <w:p>
            <w:pPr>
              <w:jc w:val="center"/>
            </w:pPr>
            <w:r>
              <w:rPr>
                <w:b/>
                <w:color w:val="FFFFFF"/>
                <w:sz w:val="18"/>
              </w:rPr>
              <w:t>Observation</w:t>
            </w:r>
          </w:p>
        </w:tc>
      </w:tr>
      <w:tr>
        <w:tc>
          <w:tcPr>
            <w:tcW w:type="dxa" w:w="4703"/>
            <w:shd w:val="clear" w:color="auto" w:fill="f4f6fb"/>
          </w:tcPr>
          <w:p>
            <w:r>
              <w:rPr>
                <w:sz w:val="18"/>
              </w:rPr>
              <w:t>Churn Rate</w:t>
            </w:r>
          </w:p>
        </w:tc>
        <w:tc>
          <w:tcPr>
            <w:tcW w:type="dxa" w:w="4703"/>
            <w:shd w:val="clear" w:color="auto" w:fill="f4f6fb"/>
          </w:tcPr>
          <w:p>
            <w:r>
              <w:rPr>
                <w:sz w:val="18"/>
              </w:rPr>
              <w:t>28.6% overall (6/21 customers confirmed cancelled)</w:t>
            </w:r>
          </w:p>
        </w:tc>
      </w:tr>
      <w:tr>
        <w:tc>
          <w:tcPr>
            <w:tcW w:type="dxa" w:w="4703"/>
            <w:shd w:val="clear" w:color="auto" w:fill="ffffff"/>
          </w:tcPr>
          <w:p>
            <w:r>
              <w:rPr>
                <w:sz w:val="18"/>
              </w:rPr>
              <w:t>Contract Type</w:t>
            </w:r>
          </w:p>
        </w:tc>
        <w:tc>
          <w:tcPr>
            <w:tcW w:type="dxa" w:w="4703"/>
            <w:shd w:val="clear" w:color="auto" w:fill="ffffff"/>
          </w:tcPr>
          <w:p>
            <w:r>
              <w:rPr>
                <w:sz w:val="18"/>
              </w:rPr>
              <w:t>ALL 6 churned customers were on Monthly contracts. 0% churn among Annual contract holders.</w:t>
            </w:r>
          </w:p>
        </w:tc>
      </w:tr>
      <w:tr>
        <w:tc>
          <w:tcPr>
            <w:tcW w:type="dxa" w:w="4703"/>
            <w:shd w:val="clear" w:color="auto" w:fill="f4f6fb"/>
          </w:tcPr>
          <w:p>
            <w:r>
              <w:rPr>
                <w:sz w:val="18"/>
              </w:rPr>
              <w:t>CLTV Gap</w:t>
            </w:r>
          </w:p>
        </w:tc>
        <w:tc>
          <w:tcPr>
            <w:tcW w:type="dxa" w:w="4703"/>
            <w:shd w:val="clear" w:color="auto" w:fill="f4f6fb"/>
          </w:tcPr>
          <w:p>
            <w:r>
              <w:rPr>
                <w:sz w:val="18"/>
              </w:rPr>
              <w:t>Churned avg CLTV ($341) is 3× lower than retained avg CLTV ($1,016). Churn cost = $2,047 in CLTV.</w:t>
            </w:r>
          </w:p>
        </w:tc>
      </w:tr>
      <w:tr>
        <w:tc>
          <w:tcPr>
            <w:tcW w:type="dxa" w:w="4703"/>
            <w:shd w:val="clear" w:color="auto" w:fill="ffffff"/>
          </w:tcPr>
          <w:p>
            <w:r>
              <w:rPr>
                <w:sz w:val="18"/>
              </w:rPr>
              <w:t>Escalations</w:t>
            </w:r>
          </w:p>
        </w:tc>
        <w:tc>
          <w:tcPr>
            <w:tcW w:type="dxa" w:w="4703"/>
            <w:shd w:val="clear" w:color="auto" w:fill="ffffff"/>
          </w:tcPr>
          <w:p>
            <w:r>
              <w:rPr>
                <w:sz w:val="18"/>
              </w:rPr>
              <w:t>4 of 6 (67%) churned customers had escalated support tickets vs 1 of 15 retained (7%).</w:t>
            </w:r>
          </w:p>
        </w:tc>
      </w:tr>
      <w:tr>
        <w:tc>
          <w:tcPr>
            <w:tcW w:type="dxa" w:w="4703"/>
            <w:shd w:val="clear" w:color="auto" w:fill="f4f6fb"/>
          </w:tcPr>
          <w:p>
            <w:r>
              <w:rPr>
                <w:sz w:val="18"/>
              </w:rPr>
              <w:t>Acquisition</w:t>
            </w:r>
          </w:p>
        </w:tc>
        <w:tc>
          <w:tcPr>
            <w:tcW w:type="dxa" w:w="4703"/>
            <w:shd w:val="clear" w:color="auto" w:fill="f4f6fb"/>
          </w:tcPr>
          <w:p>
            <w:r>
              <w:rPr>
                <w:sz w:val="18"/>
              </w:rPr>
              <w:t>Referral-acquired customers show 50% churn rate — the highest of any channel.</w:t>
            </w:r>
          </w:p>
        </w:tc>
      </w:tr>
      <w:tr>
        <w:tc>
          <w:tcPr>
            <w:tcW w:type="dxa" w:w="4703"/>
            <w:shd w:val="clear" w:color="auto" w:fill="ffffff"/>
          </w:tcPr>
          <w:p>
            <w:r>
              <w:rPr>
                <w:sz w:val="18"/>
              </w:rPr>
              <w:t>Cancellation Reasons</w:t>
            </w:r>
          </w:p>
        </w:tc>
        <w:tc>
          <w:tcPr>
            <w:tcW w:type="dxa" w:w="4703"/>
            <w:shd w:val="clear" w:color="auto" w:fill="ffffff"/>
          </w:tcPr>
          <w:p>
            <w:r>
              <w:rPr>
                <w:sz w:val="18"/>
              </w:rPr>
              <w:t>Diverse: 2 switched to competitor, 1 cost, 1 content, 1 trial cancellation.</w:t>
            </w:r>
          </w:p>
        </w:tc>
      </w:tr>
      <w:tr>
        <w:tc>
          <w:tcPr>
            <w:tcW w:type="dxa" w:w="4703"/>
            <w:shd w:val="clear" w:color="auto" w:fill="f4f6fb"/>
          </w:tcPr>
          <w:p>
            <w:r>
              <w:rPr>
                <w:sz w:val="18"/>
              </w:rPr>
              <w:t>Tenure</w:t>
            </w:r>
          </w:p>
        </w:tc>
        <w:tc>
          <w:tcPr>
            <w:tcW w:type="dxa" w:w="4703"/>
            <w:shd w:val="clear" w:color="auto" w:fill="f4f6fb"/>
          </w:tcPr>
          <w:p>
            <w:r>
              <w:rPr>
                <w:sz w:val="18"/>
              </w:rPr>
              <w:t>Churned customers had shorter average tenure (27.8 months vs 58.3 months retained).</w:t>
            </w:r>
          </w:p>
        </w:tc>
      </w:tr>
      <w:tr>
        <w:tc>
          <w:tcPr>
            <w:tcW w:type="dxa" w:w="4703"/>
            <w:shd w:val="clear" w:color="auto" w:fill="ffffff"/>
          </w:tcPr>
          <w:p>
            <w:r>
              <w:rPr>
                <w:sz w:val="18"/>
              </w:rPr>
              <w:t>Churn Score</w:t>
            </w:r>
          </w:p>
        </w:tc>
        <w:tc>
          <w:tcPr>
            <w:tcW w:type="dxa" w:w="4703"/>
            <w:shd w:val="clear" w:color="auto" w:fill="ffffff"/>
          </w:tcPr>
          <w:p>
            <w:r>
              <w:rPr>
                <w:sz w:val="18"/>
              </w:rPr>
              <w:t>Pre-existing churn_score correlates strongly (r≈0.94) with actual churn but provenance is unknown.</w:t>
            </w:r>
          </w:p>
        </w:tc>
      </w:tr>
      <w:tr>
        <w:tc>
          <w:tcPr>
            <w:tcW w:type="dxa" w:w="4703"/>
            <w:shd w:val="clear" w:color="auto" w:fill="f4f6fb"/>
          </w:tcPr>
          <w:p>
            <w:r>
              <w:rPr>
                <w:sz w:val="18"/>
              </w:rPr>
              <w:t>Active Revenue</w:t>
            </w:r>
          </w:p>
        </w:tc>
        <w:tc>
          <w:tcPr>
            <w:tcW w:type="dxa" w:w="4703"/>
            <w:shd w:val="clear" w:color="auto" w:fill="f4f6fb"/>
          </w:tcPr>
          <w:p>
            <w:r>
              <w:rPr>
                <w:sz w:val="18"/>
              </w:rPr>
              <w:t>Monthly recurring revenue from retained customers: $321.85.</w:t>
            </w:r>
          </w:p>
        </w:tc>
      </w:tr>
    </w:tbl>
    <w:p>
      <w:r>
        <w:br w:type="page"/>
      </w:r>
    </w:p>
    <w:p>
      <w:pPr>
        <w:pStyle w:val="Heading1"/>
      </w:pPr>
      <w:r>
        <w:rPr>
          <w:b/>
          <w:color w:val="1A2B4A"/>
        </w:rPr>
        <w:t>9. Dashboard Design and Functionality</w:t>
      </w:r>
    </w:p>
    <w:p>
      <w:r>
        <w:t>The interactive dashboard is built with Streamlit and Plotly. It runs locally via: streamlit run app.py</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shd w:val="clear" w:color="auto" w:fill="1a2b4a"/>
          </w:tcPr>
          <w:p>
            <w:pPr>
              <w:jc w:val="center"/>
            </w:pPr>
            <w:r>
              <w:rPr>
                <w:b/>
                <w:color w:val="FFFFFF"/>
                <w:sz w:val="18"/>
              </w:rPr>
              <w:t>Tab</w:t>
            </w:r>
          </w:p>
        </w:tc>
        <w:tc>
          <w:tcPr>
            <w:tcW w:type="dxa" w:w="4703"/>
            <w:shd w:val="clear" w:color="auto" w:fill="1a2b4a"/>
          </w:tcPr>
          <w:p>
            <w:pPr>
              <w:jc w:val="center"/>
            </w:pPr>
            <w:r>
              <w:rPr>
                <w:b/>
                <w:color w:val="FFFFFF"/>
                <w:sz w:val="18"/>
              </w:rPr>
              <w:t>Contents</w:t>
            </w:r>
          </w:p>
        </w:tc>
      </w:tr>
      <w:tr>
        <w:tc>
          <w:tcPr>
            <w:tcW w:type="dxa" w:w="4703"/>
            <w:shd w:val="clear" w:color="auto" w:fill="f4f6fb"/>
          </w:tcPr>
          <w:p>
            <w:r>
              <w:rPr>
                <w:sz w:val="18"/>
              </w:rPr>
              <w:t>🏠 Overview</w:t>
            </w:r>
          </w:p>
        </w:tc>
        <w:tc>
          <w:tcPr>
            <w:tcW w:type="dxa" w:w="4703"/>
            <w:shd w:val="clear" w:color="auto" w:fill="f4f6fb"/>
          </w:tcPr>
          <w:p>
            <w:r>
              <w:rPr>
                <w:sz w:val="18"/>
              </w:rPr>
              <w:t>KPI cards (total/churned/retained customers, churn rate, monthly revenue, CLTV at risk), churn donut chart, CLTV comparison bar, data table.</w:t>
            </w:r>
          </w:p>
        </w:tc>
      </w:tr>
      <w:tr>
        <w:tc>
          <w:tcPr>
            <w:tcW w:type="dxa" w:w="4703"/>
            <w:shd w:val="clear" w:color="auto" w:fill="ffffff"/>
          </w:tcPr>
          <w:p>
            <w:r>
              <w:rPr>
                <w:sz w:val="18"/>
              </w:rPr>
              <w:t>📉 Churn Analysis</w:t>
            </w:r>
          </w:p>
        </w:tc>
        <w:tc>
          <w:tcPr>
            <w:tcW w:type="dxa" w:w="4703"/>
            <w:shd w:val="clear" w:color="auto" w:fill="ffffff"/>
          </w:tcPr>
          <w:p>
            <w:r>
              <w:rPr>
                <w:sz w:val="18"/>
              </w:rPr>
              <w:t>Churn rate bars by contract type, plan type, subscription type; state breakdown; cancellation reasons pie; tenure histogram.</w:t>
            </w:r>
          </w:p>
        </w:tc>
      </w:tr>
      <w:tr>
        <w:tc>
          <w:tcPr>
            <w:tcW w:type="dxa" w:w="4703"/>
            <w:shd w:val="clear" w:color="auto" w:fill="f4f6fb"/>
          </w:tcPr>
          <w:p>
            <w:r>
              <w:rPr>
                <w:sz w:val="18"/>
              </w:rPr>
              <w:t>👥 Customer Insights</w:t>
            </w:r>
          </w:p>
        </w:tc>
        <w:tc>
          <w:tcPr>
            <w:tcW w:type="dxa" w:w="4703"/>
            <w:shd w:val="clear" w:color="auto" w:fill="f4f6fb"/>
          </w:tcPr>
          <w:p>
            <w:r>
              <w:rPr>
                <w:sz w:val="18"/>
              </w:rPr>
              <w:t>Monthly charges and CLTV boxplots by churn status; support ticket counts; CSAT histogram; escalation analysis; monthly charges vs CLTV scatter.</w:t>
            </w:r>
          </w:p>
        </w:tc>
      </w:tr>
      <w:tr>
        <w:tc>
          <w:tcPr>
            <w:tcW w:type="dxa" w:w="4703"/>
            <w:shd w:val="clear" w:color="auto" w:fill="ffffff"/>
          </w:tcPr>
          <w:p>
            <w:r>
              <w:rPr>
                <w:sz w:val="18"/>
              </w:rPr>
              <w:t>🤖 Prediction / Risk</w:t>
            </w:r>
          </w:p>
        </w:tc>
        <w:tc>
          <w:tcPr>
            <w:tcW w:type="dxa" w:w="4703"/>
            <w:shd w:val="clear" w:color="auto" w:fill="ffffff"/>
          </w:tcPr>
          <w:p>
            <w:r>
              <w:rPr>
                <w:sz w:val="18"/>
              </w:rPr>
              <w:t>Exploratory ML model comparison table; feature importance chart; risk score table; existing churn score reference chart.</w:t>
            </w:r>
          </w:p>
        </w:tc>
      </w:tr>
      <w:tr>
        <w:tc>
          <w:tcPr>
            <w:tcW w:type="dxa" w:w="4703"/>
            <w:shd w:val="clear" w:color="auto" w:fill="f4f6fb"/>
          </w:tcPr>
          <w:p>
            <w:r>
              <w:rPr>
                <w:sz w:val="18"/>
              </w:rPr>
              <w:t>💡 Recommendations</w:t>
            </w:r>
          </w:p>
        </w:tc>
        <w:tc>
          <w:tcPr>
            <w:tcW w:type="dxa" w:w="4703"/>
            <w:shd w:val="clear" w:color="auto" w:fill="f4f6fb"/>
          </w:tcPr>
          <w:p>
            <w:r>
              <w:rPr>
                <w:sz w:val="18"/>
              </w:rPr>
              <w:t>Observed churn drivers; retention strategies by segment; limitations table.</w:t>
            </w:r>
          </w:p>
        </w:tc>
      </w:tr>
    </w:tbl>
    <w:p/>
    <w:p>
      <w:r>
        <w:t>Sidebar filters: Contract type, plan type, subscription type, churn status, state, monthly charges range. All KPIs, charts, and tables respond consistently to applied filters.</w:t>
      </w:r>
    </w:p>
    <w:p>
      <w:r>
        <w:br w:type="page"/>
      </w:r>
    </w:p>
    <w:p>
      <w:pPr>
        <w:pStyle w:val="Heading1"/>
      </w:pPr>
      <w:r>
        <w:rPr>
          <w:b/>
          <w:color w:val="1A2B4A"/>
        </w:rPr>
        <w:t>10. Machine Learning Methodology and Evaluation</w:t>
      </w:r>
    </w:p>
    <w:p>
      <w:pPr>
        <w:pStyle w:val="Heading2"/>
      </w:pPr>
      <w:r>
        <w:rPr>
          <w:b/>
          <w:color w:val="2563EB"/>
        </w:rPr>
        <w:t>10.1 Sample Size Assessment</w:t>
      </w:r>
    </w:p>
    <w:p>
      <w:r>
        <w:t>The dataset contains only 21 labelled observations (6 churned, 15 retained). A minimum of 50–100 observations is typically needed for holdout evaluation. A standard 80/20 split would produce ~4 test observations — far too few for statistically meaningful precision, recall, or AUC estimates.</w:t>
      </w:r>
    </w:p>
    <w:p>
      <w:pPr>
        <w:pStyle w:val="Heading2"/>
      </w:pPr>
      <w:r>
        <w:rPr>
          <w:b/>
          <w:color w:val="2563EB"/>
        </w:rPr>
        <w:t>10.2 Models Trained</w:t>
      </w:r>
    </w:p>
    <w:p>
      <w:r>
        <w:t>Three classifiers were trained as part of an exploratory workflow:</w:t>
      </w:r>
    </w:p>
    <w:p>
      <w:pPr>
        <w:pStyle w:val="ListBullet"/>
      </w:pPr>
      <w:r>
        <w:t>Logistic Regression (max_iter=1000, class_weight='balanced')</w:t>
      </w:r>
    </w:p>
    <w:p>
      <w:pPr>
        <w:pStyle w:val="ListBullet"/>
      </w:pPr>
      <w:r>
        <w:t>Decision Tree (max_depth=3, class_weight='balanced')</w:t>
      </w:r>
    </w:p>
    <w:p>
      <w:pPr>
        <w:pStyle w:val="ListBullet"/>
      </w:pPr>
      <w:r>
        <w:t>Random Forest (n_estimators=50, max_depth=3, class_weight='balanced')</w:t>
      </w:r>
    </w:p>
    <w:p>
      <w:pPr>
        <w:pStyle w:val="Heading2"/>
      </w:pPr>
      <w:r>
        <w:rPr>
          <w:b/>
          <w:color w:val="2563EB"/>
        </w:rPr>
        <w:t>10.3 In-Sample Metrics (Exploratory Only)</w:t>
      </w:r>
    </w:p>
    <w:p>
      <w:r>
        <w:t>⚠️ WARNING: Models were trained and evaluated on the same 21 customers (Train = Test = all data). Reported metrics reflect in-sample fit, NOT generalisation. These results demonstrate the workflow only.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tc>
        <w:tc>
          <w:tcPr>
            <w:tcW w:type="dxa" w:w="1881"/>
          </w:tcPr>
          <w:p/>
        </w:tc>
        <w:tc>
          <w:tcPr>
            <w:tcW w:type="dxa" w:w="1881"/>
          </w:tcPr>
          <w:p/>
        </w:tc>
        <w:tc>
          <w:tcPr>
            <w:tcW w:type="dxa" w:w="1881"/>
          </w:tcPr>
          <w:p/>
        </w:tc>
        <w:tc>
          <w:tcPr>
            <w:tcW w:type="dxa" w:w="1881"/>
          </w:tcPr>
          <w:p/>
        </w:tc>
      </w:tr>
      <w:tr>
        <w:tc>
          <w:tcPr>
            <w:tcW w:type="dxa" w:w="1881"/>
            <w:shd w:val="clear" w:color="auto" w:fill="1a2b4a"/>
          </w:tcPr>
          <w:p>
            <w:pPr>
              <w:jc w:val="center"/>
            </w:pPr>
            <w:r>
              <w:rPr>
                <w:b/>
                <w:color w:val="FFFFFF"/>
                <w:sz w:val="18"/>
              </w:rPr>
              <w:t>Model</w:t>
            </w:r>
          </w:p>
        </w:tc>
        <w:tc>
          <w:tcPr>
            <w:tcW w:type="dxa" w:w="1881"/>
            <w:shd w:val="clear" w:color="auto" w:fill="1a2b4a"/>
          </w:tcPr>
          <w:p>
            <w:pPr>
              <w:jc w:val="center"/>
            </w:pPr>
            <w:r>
              <w:rPr>
                <w:b/>
                <w:color w:val="FFFFFF"/>
                <w:sz w:val="18"/>
              </w:rPr>
              <w:t>Accuracy</w:t>
            </w:r>
          </w:p>
        </w:tc>
        <w:tc>
          <w:tcPr>
            <w:tcW w:type="dxa" w:w="1881"/>
            <w:shd w:val="clear" w:color="auto" w:fill="1a2b4a"/>
          </w:tcPr>
          <w:p>
            <w:pPr>
              <w:jc w:val="center"/>
            </w:pPr>
            <w:r>
              <w:rPr>
                <w:b/>
                <w:color w:val="FFFFFF"/>
                <w:sz w:val="18"/>
              </w:rPr>
              <w:t>Recall (Churn)</w:t>
            </w:r>
          </w:p>
        </w:tc>
        <w:tc>
          <w:tcPr>
            <w:tcW w:type="dxa" w:w="1881"/>
            <w:shd w:val="clear" w:color="auto" w:fill="1a2b4a"/>
          </w:tcPr>
          <w:p>
            <w:pPr>
              <w:jc w:val="center"/>
            </w:pPr>
            <w:r>
              <w:rPr>
                <w:b/>
                <w:color w:val="FFFFFF"/>
                <w:sz w:val="18"/>
              </w:rPr>
              <w:t>F1 (Churn)</w:t>
            </w:r>
          </w:p>
        </w:tc>
        <w:tc>
          <w:tcPr>
            <w:tcW w:type="dxa" w:w="1881"/>
            <w:shd w:val="clear" w:color="auto" w:fill="1a2b4a"/>
          </w:tcPr>
          <w:p>
            <w:pPr>
              <w:jc w:val="center"/>
            </w:pPr>
            <w:r>
              <w:rPr>
                <w:b/>
                <w:color w:val="FFFFFF"/>
                <w:sz w:val="18"/>
              </w:rPr>
              <w:t>ROC-AUC</w:t>
            </w:r>
          </w:p>
        </w:tc>
      </w:tr>
      <w:tr>
        <w:tc>
          <w:tcPr>
            <w:tcW w:type="dxa" w:w="1881"/>
            <w:shd w:val="clear" w:color="auto" w:fill="f4f6fb"/>
          </w:tcPr>
          <w:p>
            <w:r>
              <w:rPr>
                <w:sz w:val="18"/>
              </w:rPr>
              <w:t>Logistic Regression</w:t>
            </w:r>
          </w:p>
        </w:tc>
        <w:tc>
          <w:tcPr>
            <w:tcW w:type="dxa" w:w="1881"/>
            <w:shd w:val="clear" w:color="auto" w:fill="f4f6fb"/>
          </w:tcPr>
          <w:p>
            <w:r>
              <w:rPr>
                <w:sz w:val="18"/>
              </w:rPr>
              <w:t>1.000*</w:t>
            </w:r>
          </w:p>
        </w:tc>
        <w:tc>
          <w:tcPr>
            <w:tcW w:type="dxa" w:w="1881"/>
            <w:shd w:val="clear" w:color="auto" w:fill="f4f6fb"/>
          </w:tcPr>
          <w:p>
            <w:r>
              <w:rPr>
                <w:sz w:val="18"/>
              </w:rPr>
              <w:t>1.000*</w:t>
            </w:r>
          </w:p>
        </w:tc>
        <w:tc>
          <w:tcPr>
            <w:tcW w:type="dxa" w:w="1881"/>
            <w:shd w:val="clear" w:color="auto" w:fill="f4f6fb"/>
          </w:tcPr>
          <w:p>
            <w:r>
              <w:rPr>
                <w:sz w:val="18"/>
              </w:rPr>
              <w:t>1.000*</w:t>
            </w:r>
          </w:p>
        </w:tc>
        <w:tc>
          <w:tcPr>
            <w:tcW w:type="dxa" w:w="1881"/>
            <w:shd w:val="clear" w:color="auto" w:fill="f4f6fb"/>
          </w:tcPr>
          <w:p>
            <w:r>
              <w:rPr>
                <w:sz w:val="18"/>
              </w:rPr>
              <w:t>1.000*</w:t>
            </w:r>
          </w:p>
        </w:tc>
      </w:tr>
      <w:tr>
        <w:tc>
          <w:tcPr>
            <w:tcW w:type="dxa" w:w="1881"/>
            <w:shd w:val="clear" w:color="auto" w:fill="ffffff"/>
          </w:tcPr>
          <w:p>
            <w:r>
              <w:rPr>
                <w:sz w:val="18"/>
              </w:rPr>
              <w:t>Decision Tree</w:t>
            </w:r>
          </w:p>
        </w:tc>
        <w:tc>
          <w:tcPr>
            <w:tcW w:type="dxa" w:w="1881"/>
            <w:shd w:val="clear" w:color="auto" w:fill="ffffff"/>
          </w:tcPr>
          <w:p>
            <w:r>
              <w:rPr>
                <w:sz w:val="18"/>
              </w:rPr>
              <w:t>1.000*</w:t>
            </w:r>
          </w:p>
        </w:tc>
        <w:tc>
          <w:tcPr>
            <w:tcW w:type="dxa" w:w="1881"/>
            <w:shd w:val="clear" w:color="auto" w:fill="ffffff"/>
          </w:tcPr>
          <w:p>
            <w:r>
              <w:rPr>
                <w:sz w:val="18"/>
              </w:rPr>
              <w:t>1.000*</w:t>
            </w:r>
          </w:p>
        </w:tc>
        <w:tc>
          <w:tcPr>
            <w:tcW w:type="dxa" w:w="1881"/>
            <w:shd w:val="clear" w:color="auto" w:fill="ffffff"/>
          </w:tcPr>
          <w:p>
            <w:r>
              <w:rPr>
                <w:sz w:val="18"/>
              </w:rPr>
              <w:t>1.000*</w:t>
            </w:r>
          </w:p>
        </w:tc>
        <w:tc>
          <w:tcPr>
            <w:tcW w:type="dxa" w:w="1881"/>
            <w:shd w:val="clear" w:color="auto" w:fill="ffffff"/>
          </w:tcPr>
          <w:p>
            <w:r>
              <w:rPr>
                <w:sz w:val="18"/>
              </w:rPr>
              <w:t>1.000*</w:t>
            </w:r>
          </w:p>
        </w:tc>
      </w:tr>
      <w:tr>
        <w:tc>
          <w:tcPr>
            <w:tcW w:type="dxa" w:w="1881"/>
            <w:shd w:val="clear" w:color="auto" w:fill="f4f6fb"/>
          </w:tcPr>
          <w:p>
            <w:r>
              <w:rPr>
                <w:sz w:val="18"/>
              </w:rPr>
              <w:t>Random Forest</w:t>
            </w:r>
          </w:p>
        </w:tc>
        <w:tc>
          <w:tcPr>
            <w:tcW w:type="dxa" w:w="1881"/>
            <w:shd w:val="clear" w:color="auto" w:fill="f4f6fb"/>
          </w:tcPr>
          <w:p>
            <w:r>
              <w:rPr>
                <w:sz w:val="18"/>
              </w:rPr>
              <w:t>1.000*</w:t>
            </w:r>
          </w:p>
        </w:tc>
        <w:tc>
          <w:tcPr>
            <w:tcW w:type="dxa" w:w="1881"/>
            <w:shd w:val="clear" w:color="auto" w:fill="f4f6fb"/>
          </w:tcPr>
          <w:p>
            <w:r>
              <w:rPr>
                <w:sz w:val="18"/>
              </w:rPr>
              <w:t>1.000*</w:t>
            </w:r>
          </w:p>
        </w:tc>
        <w:tc>
          <w:tcPr>
            <w:tcW w:type="dxa" w:w="1881"/>
            <w:shd w:val="clear" w:color="auto" w:fill="f4f6fb"/>
          </w:tcPr>
          <w:p>
            <w:r>
              <w:rPr>
                <w:sz w:val="18"/>
              </w:rPr>
              <w:t>1.000*</w:t>
            </w:r>
          </w:p>
        </w:tc>
        <w:tc>
          <w:tcPr>
            <w:tcW w:type="dxa" w:w="1881"/>
            <w:shd w:val="clear" w:color="auto" w:fill="f4f6fb"/>
          </w:tcPr>
          <w:p>
            <w:r>
              <w:rPr>
                <w:sz w:val="18"/>
              </w:rPr>
              <w:t>1.000*</w:t>
            </w:r>
          </w:p>
        </w:tc>
      </w:tr>
    </w:tbl>
    <w:p>
      <w:r>
        <w:t>* Perfect in-sample scores are expected with 21 observations and no holdout set. They indicate overfitting to the training data, not true predictive accuracy.</w:t>
      </w:r>
    </w:p>
    <w:p>
      <w:pPr>
        <w:pStyle w:val="Heading2"/>
      </w:pPr>
      <w:r>
        <w:rPr>
          <w:b/>
          <w:color w:val="2563EB"/>
        </w:rPr>
        <w:t>10.4 Why Accuracy Alone Is Misleading</w:t>
      </w:r>
    </w:p>
    <w:p>
      <w:r>
        <w:t>With 71.4% of customers retained, a naive model that predicts 'Retained' for all customers achieves 71.4% accuracy while being completely useless. For churn prediction, recall (identifying actual churners) and precision (avoiding false alarms that waste retention budget) are more informative metrics.</w:t>
      </w:r>
    </w:p>
    <w:p>
      <w:r>
        <w:br w:type="page"/>
      </w:r>
    </w:p>
    <w:p>
      <w:pPr>
        <w:pStyle w:val="Heading1"/>
      </w:pPr>
      <w:r>
        <w:rPr>
          <w:b/>
          <w:color w:val="1A2B4A"/>
        </w:rPr>
        <w:t>11. Business Recommendations and Retention Strategies</w:t>
      </w:r>
    </w:p>
    <w:p>
      <w:r>
        <w:t>The following recommendations are based on observed associations in the 21-customer dataset. They are directional and should be validated with a larger dataset before implementation.</w:t>
      </w:r>
    </w:p>
    <w:p>
      <w:pPr>
        <w:pStyle w:val="Heading2"/>
      </w:pPr>
      <w:r>
        <w:rPr>
          <w:b/>
          <w:color w:val="2563EB"/>
        </w:rPr>
        <w:t>Monthly → Annual Conversion</w:t>
      </w:r>
    </w:p>
    <w:p>
      <w:r>
        <w:t>All churned customers were on monthly contracts. Offer a discounted annual upgrade at months 3–4 of a monthly subscription. Consider a 2-free-months incentive.</w:t>
      </w:r>
    </w:p>
    <w:p>
      <w:pPr>
        <w:pStyle w:val="Heading2"/>
      </w:pPr>
      <w:r>
        <w:rPr>
          <w:b/>
          <w:color w:val="2563EB"/>
        </w:rPr>
        <w:t>Escalation Response Programme</w:t>
      </w:r>
    </w:p>
    <w:p>
      <w:r>
        <w:t>4 of 6 churned customers had escalated support tickets. Implement a 24-hour personal callback SLA for all escalations. Offer a service credit immediately post-escalation.</w:t>
      </w:r>
    </w:p>
    <w:p>
      <w:pPr>
        <w:pStyle w:val="Heading2"/>
      </w:pPr>
      <w:r>
        <w:rPr>
          <w:b/>
          <w:color w:val="2563EB"/>
        </w:rPr>
        <w:t>Referral Customer Onboarding</w:t>
      </w:r>
    </w:p>
    <w:p>
      <w:r>
        <w:t>Referral-acquired customers show 50% churn in this cohort. Review incentive structures to avoid attracting low-intent customers. Add a personalised onboarding sequence for referral signups at days 1, 14, and 30.</w:t>
      </w:r>
    </w:p>
    <w:p>
      <w:pPr>
        <w:pStyle w:val="Heading2"/>
      </w:pPr>
      <w:r>
        <w:rPr>
          <w:b/>
          <w:color w:val="2563EB"/>
        </w:rPr>
        <w:t>Content and Value Communication</w:t>
      </w:r>
    </w:p>
    <w:p>
      <w:r>
        <w:t>One customer left citing 'not enough content'. A day-30 satisfaction survey can surface early dissatisfaction and enable proactive intervention.</w:t>
      </w:r>
    </w:p>
    <w:p>
      <w:pPr>
        <w:pStyle w:val="Heading2"/>
      </w:pPr>
      <w:r>
        <w:rPr>
          <w:b/>
          <w:color w:val="2563EB"/>
        </w:rPr>
        <w:t>Cost Management for Standard/Basic Plans</w:t>
      </w:r>
    </w:p>
    <w:p>
      <w:r>
        <w:t>One cancellation cited 'too expensive'. Offer a flexible pause option or loyalty discount at the 6-month mark for monthly Standard plan customers.</w:t>
      </w:r>
    </w:p>
    <w:p>
      <w:pPr>
        <w:pStyle w:val="Heading2"/>
      </w:pPr>
      <w:r>
        <w:rPr>
          <w:b/>
          <w:color w:val="2563EB"/>
        </w:rPr>
        <w:t>Expand Data Collection</w:t>
      </w:r>
    </w:p>
    <w:p>
      <w:r>
        <w:t>Collect product engagement metrics (sessions, content consumed, feature use). These are typically the strongest churn predictors and are absent from the current dataset. Target a minimum of 500 customers for valid ML modelling.</w:t>
      </w:r>
    </w:p>
    <w:p>
      <w:r>
        <w:br w:type="page"/>
      </w:r>
    </w:p>
    <w:p>
      <w:pPr>
        <w:pStyle w:val="Heading1"/>
      </w:pPr>
      <w:r>
        <w:rPr>
          <w:b/>
          <w:color w:val="1A2B4A"/>
        </w:rPr>
        <w:t>12. Limitations, Privacy Considerations, and Future Improvements</w:t>
      </w:r>
    </w:p>
    <w:p>
      <w:pPr>
        <w:pStyle w:val="Heading2"/>
      </w:pPr>
      <w:r>
        <w:rPr>
          <w:b/>
          <w:color w:val="2563EB"/>
        </w:rPr>
        <w:t>12.1 Limitations</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shd w:val="clear" w:color="auto" w:fill="1a2b4a"/>
          </w:tcPr>
          <w:p>
            <w:pPr>
              <w:jc w:val="center"/>
            </w:pPr>
            <w:r>
              <w:rPr>
                <w:b/>
                <w:color w:val="FFFFFF"/>
                <w:sz w:val="18"/>
              </w:rPr>
              <w:t>Limitation</w:t>
            </w:r>
          </w:p>
        </w:tc>
        <w:tc>
          <w:tcPr>
            <w:tcW w:type="dxa" w:w="4703"/>
            <w:shd w:val="clear" w:color="auto" w:fill="1a2b4a"/>
          </w:tcPr>
          <w:p>
            <w:pPr>
              <w:jc w:val="center"/>
            </w:pPr>
            <w:r>
              <w:rPr>
                <w:b/>
                <w:color w:val="FFFFFF"/>
                <w:sz w:val="18"/>
              </w:rPr>
              <w:t>Impact</w:t>
            </w:r>
          </w:p>
        </w:tc>
      </w:tr>
      <w:tr>
        <w:tc>
          <w:tcPr>
            <w:tcW w:type="dxa" w:w="4703"/>
            <w:shd w:val="clear" w:color="auto" w:fill="f4f6fb"/>
          </w:tcPr>
          <w:p>
            <w:r>
              <w:rPr>
                <w:sz w:val="18"/>
              </w:rPr>
              <w:t>21-customer sample</w:t>
            </w:r>
          </w:p>
        </w:tc>
        <w:tc>
          <w:tcPr>
            <w:tcW w:type="dxa" w:w="4703"/>
            <w:shd w:val="clear" w:color="auto" w:fill="f4f6fb"/>
          </w:tcPr>
          <w:p>
            <w:r>
              <w:rPr>
                <w:sz w:val="18"/>
              </w:rPr>
              <w:t>Cannot compute valid holdout ML metrics; all percentages have high variance</w:t>
            </w:r>
          </w:p>
        </w:tc>
      </w:tr>
      <w:tr>
        <w:tc>
          <w:tcPr>
            <w:tcW w:type="dxa" w:w="4703"/>
            <w:shd w:val="clear" w:color="auto" w:fill="ffffff"/>
          </w:tcPr>
          <w:p>
            <w:r>
              <w:rPr>
                <w:sz w:val="18"/>
              </w:rPr>
              <w:t>No product usage data</w:t>
            </w:r>
          </w:p>
        </w:tc>
        <w:tc>
          <w:tcPr>
            <w:tcW w:type="dxa" w:w="4703"/>
            <w:shd w:val="clear" w:color="auto" w:fill="ffffff"/>
          </w:tcPr>
          <w:p>
            <w:r>
              <w:rPr>
                <w:sz w:val="18"/>
              </w:rPr>
              <w:t>Key churn signals (sessions, engagement) are absent</w:t>
            </w:r>
          </w:p>
        </w:tc>
      </w:tr>
      <w:tr>
        <w:tc>
          <w:tcPr>
            <w:tcW w:type="dxa" w:w="4703"/>
            <w:shd w:val="clear" w:color="auto" w:fill="f4f6fb"/>
          </w:tcPr>
          <w:p>
            <w:r>
              <w:rPr>
                <w:sz w:val="18"/>
              </w:rPr>
              <w:t>churn_score provenance unknown</w:t>
            </w:r>
          </w:p>
        </w:tc>
        <w:tc>
          <w:tcPr>
            <w:tcW w:type="dxa" w:w="4703"/>
            <w:shd w:val="clear" w:color="auto" w:fill="f4f6fb"/>
          </w:tcPr>
          <w:p>
            <w:r>
              <w:rPr>
                <w:sz w:val="18"/>
              </w:rPr>
              <w:t>Cannot use as a feature without leakage risk</w:t>
            </w:r>
          </w:p>
        </w:tc>
      </w:tr>
      <w:tr>
        <w:tc>
          <w:tcPr>
            <w:tcW w:type="dxa" w:w="4703"/>
            <w:shd w:val="clear" w:color="auto" w:fill="ffffff"/>
          </w:tcPr>
          <w:p>
            <w:r>
              <w:rPr>
                <w:sz w:val="18"/>
              </w:rPr>
              <w:t>Mixed geography (India + Nepal)</w:t>
            </w:r>
          </w:p>
        </w:tc>
        <w:tc>
          <w:tcPr>
            <w:tcW w:type="dxa" w:w="4703"/>
            <w:shd w:val="clear" w:color="auto" w:fill="ffffff"/>
          </w:tcPr>
          <w:p>
            <w:r>
              <w:rPr>
                <w:sz w:val="18"/>
              </w:rPr>
              <w:t>Results may conflate different market dynamics</w:t>
            </w:r>
          </w:p>
        </w:tc>
      </w:tr>
      <w:tr>
        <w:tc>
          <w:tcPr>
            <w:tcW w:type="dxa" w:w="4703"/>
            <w:shd w:val="clear" w:color="auto" w:fill="f4f6fb"/>
          </w:tcPr>
          <w:p>
            <w:r>
              <w:rPr>
                <w:sz w:val="18"/>
              </w:rPr>
              <w:t>No time-series structure</w:t>
            </w:r>
          </w:p>
        </w:tc>
        <w:tc>
          <w:tcPr>
            <w:tcW w:type="dxa" w:w="4703"/>
            <w:shd w:val="clear" w:color="auto" w:fill="f4f6fb"/>
          </w:tcPr>
          <w:p>
            <w:r>
              <w:rPr>
                <w:sz w:val="18"/>
              </w:rPr>
              <w:t>Survival analysis not feasible; churners can only be identified retrospectively</w:t>
            </w:r>
          </w:p>
        </w:tc>
      </w:tr>
      <w:tr>
        <w:tc>
          <w:tcPr>
            <w:tcW w:type="dxa" w:w="4703"/>
            <w:shd w:val="clear" w:color="auto" w:fill="ffffff"/>
          </w:tcPr>
          <w:p>
            <w:r>
              <w:rPr>
                <w:sz w:val="18"/>
              </w:rPr>
              <w:t>Cancellation reason coverage</w:t>
            </w:r>
          </w:p>
        </w:tc>
        <w:tc>
          <w:tcPr>
            <w:tcW w:type="dxa" w:w="4703"/>
            <w:shd w:val="clear" w:color="auto" w:fill="ffffff"/>
          </w:tcPr>
          <w:p>
            <w:r>
              <w:rPr>
                <w:sz w:val="18"/>
              </w:rPr>
              <w:t>All 6 churned customers have a reason — this may be unusual completeness</w:t>
            </w:r>
          </w:p>
        </w:tc>
      </w:tr>
      <w:tr>
        <w:tc>
          <w:tcPr>
            <w:tcW w:type="dxa" w:w="4703"/>
            <w:shd w:val="clear" w:color="auto" w:fill="f4f6fb"/>
          </w:tcPr>
          <w:p>
            <w:r>
              <w:rPr>
                <w:sz w:val="18"/>
              </w:rPr>
              <w:t>No control over selection bias</w:t>
            </w:r>
          </w:p>
        </w:tc>
        <w:tc>
          <w:tcPr>
            <w:tcW w:type="dxa" w:w="4703"/>
            <w:shd w:val="clear" w:color="auto" w:fill="f4f6fb"/>
          </w:tcPr>
          <w:p>
            <w:r>
              <w:rPr>
                <w:sz w:val="18"/>
              </w:rPr>
              <w:t>21 customers may not be representative of the full customer base</w:t>
            </w:r>
          </w:p>
        </w:tc>
      </w:tr>
    </w:tbl>
    <w:p>
      <w:pPr>
        <w:pStyle w:val="Heading2"/>
      </w:pPr>
      <w:r>
        <w:rPr>
          <w:b/>
          <w:color w:val="2563EB"/>
        </w:rPr>
        <w:t>12.2 Privacy Considerations</w:t>
      </w:r>
    </w:p>
    <w:p>
      <w:r>
        <w:t>Customer names are present in the raw dataset and are excluded from all analysis outputs, charts, and the dashboard. Only anonymized customer IDs are used. The raw dataset must not be committed to a public repository or shared without the data owner's permission.</w:t>
      </w:r>
    </w:p>
    <w:p>
      <w:pPr>
        <w:pStyle w:val="Heading2"/>
      </w:pPr>
      <w:r>
        <w:rPr>
          <w:b/>
          <w:color w:val="2563EB"/>
        </w:rPr>
        <w:t>12.3 Future Improvements</w:t>
      </w:r>
    </w:p>
    <w:p>
      <w:pPr>
        <w:pStyle w:val="ListBullet"/>
      </w:pPr>
      <w:r>
        <w:t>Collect 500+ labelled customer records for statistically valid churn modelling.</w:t>
      </w:r>
    </w:p>
    <w:p>
      <w:pPr>
        <w:pStyle w:val="ListBullet"/>
      </w:pPr>
      <w:r>
        <w:t>Add product engagement metrics as predictive features.</w:t>
      </w:r>
    </w:p>
    <w:p>
      <w:pPr>
        <w:pStyle w:val="ListBullet"/>
      </w:pPr>
      <w:r>
        <w:t>Implement survival analysis (Cox proportional hazards) for time-to-churn modelling.</w:t>
      </w:r>
    </w:p>
    <w:p>
      <w:pPr>
        <w:pStyle w:val="ListBullet"/>
      </w:pPr>
      <w:r>
        <w:t>Clarify churn_score provenance to assess whether it can be used as a feature.</w:t>
      </w:r>
    </w:p>
    <w:p>
      <w:pPr>
        <w:pStyle w:val="ListBullet"/>
      </w:pPr>
      <w:r>
        <w:t>Set up a scheduled pipeline to refresh analysis as new customers are added.</w:t>
      </w:r>
    </w:p>
    <w:p>
      <w:pPr>
        <w:pStyle w:val="ListBullet"/>
      </w:pPr>
      <w:r>
        <w:t>A/B test retention interventions identified in Section 11.</w:t>
      </w:r>
    </w:p>
    <w:p>
      <w:pPr>
        <w:pStyle w:val="ListBullet"/>
      </w:pPr>
      <w:r>
        <w:t>Segment analysis by country (India vs Nepal) when sample sizes allow.</w:t>
      </w:r>
    </w:p>
    <w:p>
      <w:r>
        <w:br w:type="page"/>
      </w:r>
    </w:p>
    <w:p>
      <w:pPr>
        <w:pStyle w:val="Heading1"/>
      </w:pPr>
      <w:r>
        <w:rPr>
          <w:b/>
          <w:color w:val="1A2B4A"/>
        </w:rPr>
        <w:t>13. Conclusion</w:t>
      </w:r>
    </w:p>
    <w:p>
      <w:r>
        <w:t>This project performed a complete, end-to-end customer churn analysis on a real-world subscription service dataset. Despite the small sample of 21 customers, the analysis yielded clear and actionable insights:</w:t>
      </w:r>
    </w:p>
    <w:p>
      <w:pPr>
        <w:pStyle w:val="ListBullet"/>
      </w:pPr>
      <w:r>
        <w:t>A 28.6% churn rate (6/21) was confirmed from cancellation records.</w:t>
      </w:r>
    </w:p>
    <w:p>
      <w:pPr>
        <w:pStyle w:val="ListBullet"/>
      </w:pPr>
      <w:r>
        <w:t>Contract type is the strongest structural separator: 100% of churns occurred on monthly contracts.</w:t>
      </w:r>
    </w:p>
    <w:p>
      <w:pPr>
        <w:pStyle w:val="ListBullet"/>
      </w:pPr>
      <w:r>
        <w:t>Escalated support interactions are strongly associated with churn (67% vs 7% rate).</w:t>
      </w:r>
    </w:p>
    <w:p>
      <w:pPr>
        <w:pStyle w:val="ListBullet"/>
      </w:pPr>
      <w:r>
        <w:t>Referral-acquired customers show higher churn risk in this cohort.</w:t>
      </w:r>
    </w:p>
    <w:p>
      <w:pPr>
        <w:pStyle w:val="ListBullet"/>
      </w:pPr>
      <w:r>
        <w:t>Churned customers had significantly lower average CLTV ($341 vs $1,016), representing $2,047 in CLTV at risk.</w:t>
      </w:r>
    </w:p>
    <w:p>
      <w:pPr>
        <w:pStyle w:val="ListBullet"/>
      </w:pPr>
      <w:r>
        <w:t>A full ML workflow was implemented and labelled as exploratory due to sample size.</w:t>
      </w:r>
    </w:p>
    <w:p>
      <w:pPr>
        <w:pStyle w:val="ListBullet"/>
      </w:pPr>
      <w:r>
        <w:t>Five prioritized retention strategies were derived from the data.</w:t>
      </w:r>
    </w:p>
    <w:p>
      <w:r>
        <w:t>The project fulfills all four AICTE internship submission requirements: executable Jupyter Notebook, interactive Streamlit dashboard, Word report, and requirements/README files.</w:t>
      </w:r>
    </w:p>
    <w:p>
      <w:r>
        <w:br w:type="page"/>
      </w:r>
    </w:p>
    <w:p>
      <w:pPr>
        <w:pStyle w:val="Heading1"/>
      </w:pPr>
      <w:r>
        <w:rPr>
          <w:b/>
          <w:color w:val="1A2B4A"/>
        </w:rPr>
        <w:t>14. References and Technology Stack</w:t>
      </w:r>
    </w:p>
    <w:p>
      <w:pPr>
        <w:pStyle w:val="Heading2"/>
      </w:pPr>
      <w:r>
        <w:rPr>
          <w:b/>
          <w:color w:val="2563EB"/>
        </w:rPr>
        <w:t>14.1 Technology Stack</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shd w:val="clear" w:color="auto" w:fill="1a2b4a"/>
          </w:tcPr>
          <w:p>
            <w:pPr>
              <w:jc w:val="center"/>
            </w:pPr>
            <w:r>
              <w:rPr>
                <w:b/>
                <w:color w:val="FFFFFF"/>
                <w:sz w:val="18"/>
              </w:rPr>
              <w:t>Library / Tool</w:t>
            </w:r>
          </w:p>
        </w:tc>
        <w:tc>
          <w:tcPr>
            <w:tcW w:type="dxa" w:w="4703"/>
            <w:shd w:val="clear" w:color="auto" w:fill="1a2b4a"/>
          </w:tcPr>
          <w:p>
            <w:pPr>
              <w:jc w:val="center"/>
            </w:pPr>
            <w:r>
              <w:rPr>
                <w:b/>
                <w:color w:val="FFFFFF"/>
                <w:sz w:val="18"/>
              </w:rPr>
              <w:t>Purpose</w:t>
            </w:r>
          </w:p>
        </w:tc>
      </w:tr>
      <w:tr>
        <w:tc>
          <w:tcPr>
            <w:tcW w:type="dxa" w:w="4703"/>
            <w:shd w:val="clear" w:color="auto" w:fill="f4f6fb"/>
          </w:tcPr>
          <w:p>
            <w:r>
              <w:rPr>
                <w:sz w:val="18"/>
              </w:rPr>
              <w:t>Python 3.10+</w:t>
            </w:r>
          </w:p>
        </w:tc>
        <w:tc>
          <w:tcPr>
            <w:tcW w:type="dxa" w:w="4703"/>
            <w:shd w:val="clear" w:color="auto" w:fill="f4f6fb"/>
          </w:tcPr>
          <w:p>
            <w:r>
              <w:rPr>
                <w:sz w:val="18"/>
              </w:rPr>
              <w:t>Core programming language</w:t>
            </w:r>
          </w:p>
        </w:tc>
      </w:tr>
      <w:tr>
        <w:tc>
          <w:tcPr>
            <w:tcW w:type="dxa" w:w="4703"/>
            <w:shd w:val="clear" w:color="auto" w:fill="ffffff"/>
          </w:tcPr>
          <w:p>
            <w:r>
              <w:rPr>
                <w:sz w:val="18"/>
              </w:rPr>
              <w:t>pandas ≥2.0</w:t>
            </w:r>
          </w:p>
        </w:tc>
        <w:tc>
          <w:tcPr>
            <w:tcW w:type="dxa" w:w="4703"/>
            <w:shd w:val="clear" w:color="auto" w:fill="ffffff"/>
          </w:tcPr>
          <w:p>
            <w:r>
              <w:rPr>
                <w:sz w:val="18"/>
              </w:rPr>
              <w:t>Data manipulation and analysis</w:t>
            </w:r>
          </w:p>
        </w:tc>
      </w:tr>
      <w:tr>
        <w:tc>
          <w:tcPr>
            <w:tcW w:type="dxa" w:w="4703"/>
            <w:shd w:val="clear" w:color="auto" w:fill="f4f6fb"/>
          </w:tcPr>
          <w:p>
            <w:r>
              <w:rPr>
                <w:sz w:val="18"/>
              </w:rPr>
              <w:t>numpy ≥1.24</w:t>
            </w:r>
          </w:p>
        </w:tc>
        <w:tc>
          <w:tcPr>
            <w:tcW w:type="dxa" w:w="4703"/>
            <w:shd w:val="clear" w:color="auto" w:fill="f4f6fb"/>
          </w:tcPr>
          <w:p>
            <w:r>
              <w:rPr>
                <w:sz w:val="18"/>
              </w:rPr>
              <w:t>Numerical computing</w:t>
            </w:r>
          </w:p>
        </w:tc>
      </w:tr>
      <w:tr>
        <w:tc>
          <w:tcPr>
            <w:tcW w:type="dxa" w:w="4703"/>
            <w:shd w:val="clear" w:color="auto" w:fill="ffffff"/>
          </w:tcPr>
          <w:p>
            <w:r>
              <w:rPr>
                <w:sz w:val="18"/>
              </w:rPr>
              <w:t>openpyxl ≥3.1</w:t>
            </w:r>
          </w:p>
        </w:tc>
        <w:tc>
          <w:tcPr>
            <w:tcW w:type="dxa" w:w="4703"/>
            <w:shd w:val="clear" w:color="auto" w:fill="ffffff"/>
          </w:tcPr>
          <w:p>
            <w:r>
              <w:rPr>
                <w:sz w:val="18"/>
              </w:rPr>
              <w:t>Excel file reading</w:t>
            </w:r>
          </w:p>
        </w:tc>
      </w:tr>
      <w:tr>
        <w:tc>
          <w:tcPr>
            <w:tcW w:type="dxa" w:w="4703"/>
            <w:shd w:val="clear" w:color="auto" w:fill="f4f6fb"/>
          </w:tcPr>
          <w:p>
            <w:r>
              <w:rPr>
                <w:sz w:val="18"/>
              </w:rPr>
              <w:t>matplotlib ≥3.7</w:t>
            </w:r>
          </w:p>
        </w:tc>
        <w:tc>
          <w:tcPr>
            <w:tcW w:type="dxa" w:w="4703"/>
            <w:shd w:val="clear" w:color="auto" w:fill="f4f6fb"/>
          </w:tcPr>
          <w:p>
            <w:r>
              <w:rPr>
                <w:sz w:val="18"/>
              </w:rPr>
              <w:t>Static chart generation</w:t>
            </w:r>
          </w:p>
        </w:tc>
      </w:tr>
      <w:tr>
        <w:tc>
          <w:tcPr>
            <w:tcW w:type="dxa" w:w="4703"/>
            <w:shd w:val="clear" w:color="auto" w:fill="ffffff"/>
          </w:tcPr>
          <w:p>
            <w:r>
              <w:rPr>
                <w:sz w:val="18"/>
              </w:rPr>
              <w:t>seaborn ≥0.12</w:t>
            </w:r>
          </w:p>
        </w:tc>
        <w:tc>
          <w:tcPr>
            <w:tcW w:type="dxa" w:w="4703"/>
            <w:shd w:val="clear" w:color="auto" w:fill="ffffff"/>
          </w:tcPr>
          <w:p>
            <w:r>
              <w:rPr>
                <w:sz w:val="18"/>
              </w:rPr>
              <w:t>Statistical visualization</w:t>
            </w:r>
          </w:p>
        </w:tc>
      </w:tr>
      <w:tr>
        <w:tc>
          <w:tcPr>
            <w:tcW w:type="dxa" w:w="4703"/>
            <w:shd w:val="clear" w:color="auto" w:fill="f4f6fb"/>
          </w:tcPr>
          <w:p>
            <w:r>
              <w:rPr>
                <w:sz w:val="18"/>
              </w:rPr>
              <w:t>plotly ≥5.18</w:t>
            </w:r>
          </w:p>
        </w:tc>
        <w:tc>
          <w:tcPr>
            <w:tcW w:type="dxa" w:w="4703"/>
            <w:shd w:val="clear" w:color="auto" w:fill="f4f6fb"/>
          </w:tcPr>
          <w:p>
            <w:r>
              <w:rPr>
                <w:sz w:val="18"/>
              </w:rPr>
              <w:t>Interactive dashboard charts</w:t>
            </w:r>
          </w:p>
        </w:tc>
      </w:tr>
      <w:tr>
        <w:tc>
          <w:tcPr>
            <w:tcW w:type="dxa" w:w="4703"/>
            <w:shd w:val="clear" w:color="auto" w:fill="ffffff"/>
          </w:tcPr>
          <w:p>
            <w:r>
              <w:rPr>
                <w:sz w:val="18"/>
              </w:rPr>
              <w:t>streamlit ≥1.30</w:t>
            </w:r>
          </w:p>
        </w:tc>
        <w:tc>
          <w:tcPr>
            <w:tcW w:type="dxa" w:w="4703"/>
            <w:shd w:val="clear" w:color="auto" w:fill="ffffff"/>
          </w:tcPr>
          <w:p>
            <w:r>
              <w:rPr>
                <w:sz w:val="18"/>
              </w:rPr>
              <w:t>Interactive dashboard framework</w:t>
            </w:r>
          </w:p>
        </w:tc>
      </w:tr>
      <w:tr>
        <w:tc>
          <w:tcPr>
            <w:tcW w:type="dxa" w:w="4703"/>
            <w:shd w:val="clear" w:color="auto" w:fill="f4f6fb"/>
          </w:tcPr>
          <w:p>
            <w:r>
              <w:rPr>
                <w:sz w:val="18"/>
              </w:rPr>
              <w:t>scikit-learn ≥1.3</w:t>
            </w:r>
          </w:p>
        </w:tc>
        <w:tc>
          <w:tcPr>
            <w:tcW w:type="dxa" w:w="4703"/>
            <w:shd w:val="clear" w:color="auto" w:fill="f4f6fb"/>
          </w:tcPr>
          <w:p>
            <w:r>
              <w:rPr>
                <w:sz w:val="18"/>
              </w:rPr>
              <w:t>Machine learning pipeline</w:t>
            </w:r>
          </w:p>
        </w:tc>
      </w:tr>
      <w:tr>
        <w:tc>
          <w:tcPr>
            <w:tcW w:type="dxa" w:w="4703"/>
            <w:shd w:val="clear" w:color="auto" w:fill="ffffff"/>
          </w:tcPr>
          <w:p>
            <w:r>
              <w:rPr>
                <w:sz w:val="18"/>
              </w:rPr>
              <w:t>python-docx</w:t>
            </w:r>
          </w:p>
        </w:tc>
        <w:tc>
          <w:tcPr>
            <w:tcW w:type="dxa" w:w="4703"/>
            <w:shd w:val="clear" w:color="auto" w:fill="ffffff"/>
          </w:tcPr>
          <w:p>
            <w:r>
              <w:rPr>
                <w:sz w:val="18"/>
              </w:rPr>
              <w:t>Word report generation</w:t>
            </w:r>
          </w:p>
        </w:tc>
      </w:tr>
      <w:tr>
        <w:tc>
          <w:tcPr>
            <w:tcW w:type="dxa" w:w="4703"/>
            <w:shd w:val="clear" w:color="auto" w:fill="f4f6fb"/>
          </w:tcPr>
          <w:p>
            <w:r>
              <w:rPr>
                <w:sz w:val="18"/>
              </w:rPr>
              <w:t>pytest</w:t>
            </w:r>
          </w:p>
        </w:tc>
        <w:tc>
          <w:tcPr>
            <w:tcW w:type="dxa" w:w="4703"/>
            <w:shd w:val="clear" w:color="auto" w:fill="f4f6fb"/>
          </w:tcPr>
          <w:p>
            <w:r>
              <w:rPr>
                <w:sz w:val="18"/>
              </w:rPr>
              <w:t>Automated testing</w:t>
            </w:r>
          </w:p>
        </w:tc>
      </w:tr>
      <w:tr>
        <w:tc>
          <w:tcPr>
            <w:tcW w:type="dxa" w:w="4703"/>
            <w:shd w:val="clear" w:color="auto" w:fill="ffffff"/>
          </w:tcPr>
          <w:p>
            <w:r>
              <w:rPr>
                <w:sz w:val="18"/>
              </w:rPr>
              <w:t>Jupyter</w:t>
            </w:r>
          </w:p>
        </w:tc>
        <w:tc>
          <w:tcPr>
            <w:tcW w:type="dxa" w:w="4703"/>
            <w:shd w:val="clear" w:color="auto" w:fill="ffffff"/>
          </w:tcPr>
          <w:p>
            <w:r>
              <w:rPr>
                <w:sz w:val="18"/>
              </w:rPr>
              <w:t>Interactive notebook environment</w:t>
            </w:r>
          </w:p>
        </w:tc>
      </w:tr>
    </w:tbl>
    <w:p>
      <w:pPr>
        <w:pStyle w:val="Heading2"/>
      </w:pPr>
      <w:r>
        <w:rPr>
          <w:b/>
          <w:color w:val="2563EB"/>
        </w:rPr>
        <w:t>14.2 References</w:t>
      </w:r>
    </w:p>
    <w:p>
      <w:pPr>
        <w:pStyle w:val="ListBullet"/>
      </w:pPr>
      <w:r>
        <w:rPr>
          <w:sz w:val="18"/>
        </w:rPr>
        <w:t>Reichheld, F.F. (2001). Loyalty Rules. Harvard Business School Press.</w:t>
      </w:r>
    </w:p>
    <w:p>
      <w:pPr>
        <w:pStyle w:val="ListBullet"/>
      </w:pPr>
      <w:r>
        <w:rPr>
          <w:sz w:val="18"/>
        </w:rPr>
        <w:t>Gallo, A. (2014). The value of keeping the right customers. Harvard Business Review.</w:t>
      </w:r>
    </w:p>
    <w:p>
      <w:pPr>
        <w:pStyle w:val="ListBullet"/>
      </w:pPr>
      <w:r>
        <w:rPr>
          <w:sz w:val="18"/>
        </w:rPr>
        <w:t>scikit-learn developers. (2023). scikit-learn: Machine Learning in Python. https://scikit-learn.org</w:t>
      </w:r>
    </w:p>
    <w:p>
      <w:pPr>
        <w:pStyle w:val="ListBullet"/>
      </w:pPr>
      <w:r>
        <w:rPr>
          <w:sz w:val="18"/>
        </w:rPr>
        <w:t>Streamlit Inc. (2024). Streamlit documentation. https://docs.streamlit.io</w:t>
      </w:r>
    </w:p>
    <w:p>
      <w:pPr>
        <w:pStyle w:val="ListBullet"/>
      </w:pPr>
      <w:r>
        <w:rPr>
          <w:sz w:val="18"/>
        </w:rPr>
        <w:t>Plotly Technologies Inc. (2024). Plotly Python graphing library. https://plotly.com/python</w:t>
      </w:r>
    </w:p>
    <w:p>
      <w:pPr>
        <w:pStyle w:val="ListBullet"/>
      </w:pPr>
      <w:r>
        <w:rPr>
          <w:sz w:val="18"/>
        </w:rPr>
        <w:t>pandas development team. (2024). pandas documentation. https://pandas.pydata.org</w:t>
      </w:r>
    </w:p>
    <w:p>
      <w:pPr>
        <w:pStyle w:val="ListBullet"/>
      </w:pPr>
      <w:r>
        <w:rPr>
          <w:sz w:val="18"/>
        </w:rPr>
        <w:t>AICTE IBM SkillsBuild Data Analytics with AI Internship 2026 project guidelines.</w:t>
      </w:r>
    </w:p>
    <w:p/>
    <w:p>
      <w:pPr>
        <w:jc w:val="center"/>
      </w:pPr>
      <w:r>
        <w:rPr>
          <w:i/>
          <w:color w:val="6B7280"/>
          <w:sz w:val="18"/>
        </w:rPr>
        <w:t>Customer Churn Analysis and Prediction — Umar Rahi — AICTE | IBM SkillsBuild Data Analytics with AI Internship 2026</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