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C0047" w14:textId="4A29589B" w:rsidR="0058336C" w:rsidRPr="00BE422F" w:rsidRDefault="0058336C">
      <w:pPr>
        <w:spacing w:after="0" w:line="259" w:lineRule="auto"/>
        <w:ind w:left="0" w:firstLine="0"/>
        <w:jc w:val="center"/>
        <w:rPr>
          <w:b/>
          <w:bCs/>
          <w:sz w:val="34"/>
          <w:szCs w:val="34"/>
        </w:rPr>
      </w:pPr>
    </w:p>
    <w:p w14:paraId="58735C36" w14:textId="37BB6371" w:rsidR="0058336C" w:rsidRPr="00BE422F" w:rsidRDefault="00000000">
      <w:pPr>
        <w:spacing w:after="285" w:line="265" w:lineRule="auto"/>
        <w:ind w:left="10" w:hanging="10"/>
        <w:jc w:val="center"/>
        <w:rPr>
          <w:b/>
          <w:bCs/>
          <w:sz w:val="34"/>
          <w:szCs w:val="34"/>
        </w:rPr>
      </w:pPr>
      <w:r w:rsidRPr="00BE422F">
        <w:rPr>
          <w:b/>
          <w:bCs/>
          <w:sz w:val="34"/>
          <w:szCs w:val="34"/>
        </w:rPr>
        <w:t>Data Visualization Lab 5</w:t>
      </w:r>
    </w:p>
    <w:p w14:paraId="5CA57B34" w14:textId="77777777" w:rsidR="0058336C" w:rsidRDefault="00000000">
      <w:pPr>
        <w:spacing w:after="168" w:line="265" w:lineRule="auto"/>
        <w:ind w:left="10" w:hanging="10"/>
        <w:jc w:val="center"/>
        <w:rPr>
          <w:sz w:val="24"/>
        </w:rPr>
      </w:pPr>
      <w:r>
        <w:rPr>
          <w:sz w:val="24"/>
        </w:rPr>
        <w:t>M. Umar Shafiq</w:t>
      </w:r>
    </w:p>
    <w:p w14:paraId="2CC10A46" w14:textId="77777777" w:rsidR="00BE422F" w:rsidRDefault="00BE422F" w:rsidP="00BE422F">
      <w:pPr>
        <w:spacing w:after="168" w:line="265" w:lineRule="auto"/>
        <w:ind w:left="10" w:hanging="10"/>
        <w:jc w:val="center"/>
        <w:rPr>
          <w:sz w:val="24"/>
        </w:rPr>
      </w:pPr>
      <w:r>
        <w:rPr>
          <w:sz w:val="24"/>
        </w:rPr>
        <w:t>BSDSF24A050</w:t>
      </w:r>
    </w:p>
    <w:p w14:paraId="3CDF3611" w14:textId="0DF267DD" w:rsidR="0058336C" w:rsidRDefault="00BE422F" w:rsidP="00BE422F">
      <w:pPr>
        <w:spacing w:after="168" w:line="265" w:lineRule="auto"/>
      </w:pPr>
      <w:r>
        <w:rPr>
          <w:noProof/>
        </w:rPr>
        <w:drawing>
          <wp:inline distT="0" distB="0" distL="0" distR="0" wp14:anchorId="7CE2F899" wp14:editId="10653507">
            <wp:extent cx="6497955" cy="4135755"/>
            <wp:effectExtent l="0" t="0" r="0" b="0"/>
            <wp:docPr id="137612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4671" name="Picture 1376124671"/>
                    <pic:cNvPicPr/>
                  </pic:nvPicPr>
                  <pic:blipFill>
                    <a:blip r:embed="rId7">
                      <a:extLst>
                        <a:ext uri="{28A0092B-C50C-407E-A947-70E740481C1C}">
                          <a14:useLocalDpi xmlns:a14="http://schemas.microsoft.com/office/drawing/2010/main" val="0"/>
                        </a:ext>
                      </a:extLst>
                    </a:blip>
                    <a:stretch>
                      <a:fillRect/>
                    </a:stretch>
                  </pic:blipFill>
                  <pic:spPr>
                    <a:xfrm>
                      <a:off x="0" y="0"/>
                      <a:ext cx="6497955" cy="4135755"/>
                    </a:xfrm>
                    <a:prstGeom prst="rect">
                      <a:avLst/>
                    </a:prstGeom>
                  </pic:spPr>
                </pic:pic>
              </a:graphicData>
            </a:graphic>
          </wp:inline>
        </w:drawing>
      </w:r>
    </w:p>
    <w:p w14:paraId="45E68DA2" w14:textId="2546591E" w:rsidR="0058336C" w:rsidRDefault="00BE422F" w:rsidP="00BE422F">
      <w:pPr>
        <w:pBdr>
          <w:top w:val="single" w:sz="3" w:space="0" w:color="000000"/>
          <w:left w:val="single" w:sz="3" w:space="0" w:color="000000"/>
          <w:bottom w:val="single" w:sz="3" w:space="0" w:color="000000"/>
          <w:right w:val="single" w:sz="3" w:space="0" w:color="000000"/>
        </w:pBdr>
        <w:spacing w:after="0" w:line="259" w:lineRule="auto"/>
        <w:ind w:left="10" w:right="629" w:hanging="10"/>
      </w:pPr>
      <w:r>
        <w:rPr>
          <w:noProof/>
        </w:rPr>
        <w:lastRenderedPageBreak/>
        <w:drawing>
          <wp:inline distT="0" distB="0" distL="0" distR="0" wp14:anchorId="72284D58" wp14:editId="7BF4F221">
            <wp:extent cx="6497955" cy="5270500"/>
            <wp:effectExtent l="0" t="0" r="0" b="6350"/>
            <wp:docPr id="942753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3454" name="Picture 942753454"/>
                    <pic:cNvPicPr/>
                  </pic:nvPicPr>
                  <pic:blipFill>
                    <a:blip r:embed="rId8">
                      <a:extLst>
                        <a:ext uri="{28A0092B-C50C-407E-A947-70E740481C1C}">
                          <a14:useLocalDpi xmlns:a14="http://schemas.microsoft.com/office/drawing/2010/main" val="0"/>
                        </a:ext>
                      </a:extLst>
                    </a:blip>
                    <a:stretch>
                      <a:fillRect/>
                    </a:stretch>
                  </pic:blipFill>
                  <pic:spPr>
                    <a:xfrm>
                      <a:off x="0" y="0"/>
                      <a:ext cx="6497955" cy="5270500"/>
                    </a:xfrm>
                    <a:prstGeom prst="rect">
                      <a:avLst/>
                    </a:prstGeom>
                  </pic:spPr>
                </pic:pic>
              </a:graphicData>
            </a:graphic>
          </wp:inline>
        </w:drawing>
      </w:r>
    </w:p>
    <w:p w14:paraId="445F5A09" w14:textId="1646A1E8" w:rsidR="0058336C" w:rsidRDefault="00BE422F" w:rsidP="00BE422F">
      <w:pPr>
        <w:pBdr>
          <w:top w:val="single" w:sz="3" w:space="0" w:color="000000"/>
          <w:left w:val="single" w:sz="3" w:space="0" w:color="000000"/>
          <w:bottom w:val="single" w:sz="3" w:space="0" w:color="000000"/>
          <w:right w:val="single" w:sz="3" w:space="0" w:color="000000"/>
        </w:pBdr>
        <w:spacing w:after="0" w:line="259" w:lineRule="auto"/>
        <w:ind w:left="10" w:right="629" w:hanging="10"/>
      </w:pPr>
      <w:r>
        <w:rPr>
          <w:noProof/>
        </w:rPr>
        <w:lastRenderedPageBreak/>
        <w:drawing>
          <wp:inline distT="0" distB="0" distL="0" distR="0" wp14:anchorId="2EBDF2A9" wp14:editId="268BA0C0">
            <wp:extent cx="6497955" cy="5292090"/>
            <wp:effectExtent l="0" t="0" r="0" b="3810"/>
            <wp:docPr id="1366698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8686" name="Picture 1366698686"/>
                    <pic:cNvPicPr/>
                  </pic:nvPicPr>
                  <pic:blipFill>
                    <a:blip r:embed="rId9">
                      <a:extLst>
                        <a:ext uri="{28A0092B-C50C-407E-A947-70E740481C1C}">
                          <a14:useLocalDpi xmlns:a14="http://schemas.microsoft.com/office/drawing/2010/main" val="0"/>
                        </a:ext>
                      </a:extLst>
                    </a:blip>
                    <a:stretch>
                      <a:fillRect/>
                    </a:stretch>
                  </pic:blipFill>
                  <pic:spPr>
                    <a:xfrm>
                      <a:off x="0" y="0"/>
                      <a:ext cx="6497955" cy="5292090"/>
                    </a:xfrm>
                    <a:prstGeom prst="rect">
                      <a:avLst/>
                    </a:prstGeom>
                  </pic:spPr>
                </pic:pic>
              </a:graphicData>
            </a:graphic>
          </wp:inline>
        </w:drawing>
      </w:r>
    </w:p>
    <w:p w14:paraId="42C69451" w14:textId="77777777" w:rsidR="0058336C" w:rsidRDefault="00000000">
      <w:pPr>
        <w:pStyle w:val="Heading2"/>
        <w:ind w:left="-5"/>
      </w:pPr>
      <w:r>
        <w:t>1. Long-term Growth &amp; Seasonal Volatility</w:t>
      </w:r>
    </w:p>
    <w:p w14:paraId="5734CB01" w14:textId="77777777" w:rsidR="0058336C" w:rsidRDefault="00000000">
      <w:pPr>
        <w:numPr>
          <w:ilvl w:val="0"/>
          <w:numId w:val="1"/>
        </w:numPr>
        <w:ind w:right="580" w:hanging="191"/>
      </w:pPr>
      <w:r>
        <w:rPr>
          <w:b/>
        </w:rPr>
        <w:t xml:space="preserve">Trend Stabilization: </w:t>
      </w:r>
      <w:r>
        <w:t>The 12-month rolling sales average reveals a consistent upward trajectory from 2022 to 2025. This rolling calculation effectively smooths out the intense month-to-month volatility, proving that the underlying business is growing despite seasonal dips in the late summer months.</w:t>
      </w:r>
    </w:p>
    <w:p w14:paraId="1F5CCE91" w14:textId="77777777" w:rsidR="0058336C" w:rsidRDefault="00000000">
      <w:pPr>
        <w:numPr>
          <w:ilvl w:val="0"/>
          <w:numId w:val="1"/>
        </w:numPr>
        <w:spacing w:after="387"/>
        <w:ind w:right="580" w:hanging="191"/>
      </w:pPr>
      <w:r>
        <w:rPr>
          <w:b/>
        </w:rPr>
        <w:t xml:space="preserve">Fiscal Accumulation: </w:t>
      </w:r>
      <w:r>
        <w:t>The custom fiscal year tracking (starting in April) correctly aligns with the company’s financial reporting. Fiscal Quarter 3 (Oct-Dec) consistently accounts for the largest proportion of annual sales, driven by end-of-year holiday promotions and campaigns.</w:t>
      </w:r>
    </w:p>
    <w:p w14:paraId="466D450D" w14:textId="77777777" w:rsidR="0058336C" w:rsidRDefault="00000000">
      <w:pPr>
        <w:pStyle w:val="Heading2"/>
        <w:ind w:left="-5"/>
      </w:pPr>
      <w:r>
        <w:t>2. Year-Over-Year (YoY) Performance Shifts</w:t>
      </w:r>
    </w:p>
    <w:p w14:paraId="68FEDC49" w14:textId="77777777" w:rsidR="0058336C" w:rsidRDefault="00000000">
      <w:pPr>
        <w:numPr>
          <w:ilvl w:val="0"/>
          <w:numId w:val="2"/>
        </w:numPr>
        <w:ind w:right="290" w:hanging="191"/>
      </w:pPr>
      <w:r>
        <w:rPr>
          <w:b/>
        </w:rPr>
        <w:t xml:space="preserve">Channel Evolution: </w:t>
      </w:r>
      <w:r>
        <w:t>The YoY analysis matrices demonstrate a distinct shift in consumer behavior. While traditional ’Retail’ channels maintained steady volume, the ’Online’ and ’Marketplace’ fulfillment channels exhibited the highest YoY percentage growth, particularly in 2024 and 2025.</w:t>
      </w:r>
    </w:p>
    <w:p w14:paraId="1455D130" w14:textId="77777777" w:rsidR="0058336C" w:rsidRDefault="00000000">
      <w:pPr>
        <w:numPr>
          <w:ilvl w:val="0"/>
          <w:numId w:val="2"/>
        </w:numPr>
        <w:spacing w:after="387"/>
        <w:ind w:right="290" w:hanging="191"/>
      </w:pPr>
      <w:r>
        <w:rPr>
          <w:b/>
        </w:rPr>
        <w:t xml:space="preserve">CategoryLeaders: </w:t>
      </w:r>
      <w:r>
        <w:t>Consumer electronics and Home Appliances emerged as the top-performing categories by YoY growth percentage in the latest complete year, indicating highly successful product launches or promotional strategies in those sectors.</w:t>
      </w:r>
    </w:p>
    <w:p w14:paraId="3B46CACC" w14:textId="77777777" w:rsidR="0058336C" w:rsidRDefault="00000000">
      <w:pPr>
        <w:pStyle w:val="Heading2"/>
        <w:ind w:left="-5"/>
      </w:pPr>
      <w:r>
        <w:lastRenderedPageBreak/>
        <w:t>3. Budget Variance &amp; Target Adherence</w:t>
      </w:r>
    </w:p>
    <w:p w14:paraId="25DEBBF8" w14:textId="77777777" w:rsidR="0058336C" w:rsidRDefault="00000000">
      <w:pPr>
        <w:numPr>
          <w:ilvl w:val="0"/>
          <w:numId w:val="3"/>
        </w:numPr>
        <w:ind w:right="580" w:hanging="191"/>
      </w:pPr>
      <w:r>
        <w:rPr>
          <w:b/>
        </w:rPr>
        <w:t xml:space="preserve">Actual vs. Budget Performance: </w:t>
      </w:r>
      <w:r>
        <w:t>The comparison between actual transactional data and monthly budget targets shows that the company generally exceeded baseline targets during the first half of the dataset (2022-2023).</w:t>
      </w:r>
    </w:p>
    <w:p w14:paraId="302AE8C2" w14:textId="5D08D753" w:rsidR="0058336C" w:rsidRDefault="00000000" w:rsidP="00BE422F">
      <w:pPr>
        <w:numPr>
          <w:ilvl w:val="0"/>
          <w:numId w:val="3"/>
        </w:numPr>
        <w:spacing w:after="496"/>
        <w:ind w:right="580" w:hanging="191"/>
      </w:pPr>
      <w:r>
        <w:rPr>
          <w:b/>
        </w:rPr>
        <w:t xml:space="preserve">Late 2025 Variances: </w:t>
      </w:r>
      <w:r>
        <w:t>Toward the end of 2025, specifically in the South and West regions, the model highlights distinct negative sales variances. This suggests that while sales volume remained high, the aggressive budget scenarios set by Regional Directors for Q4 2025 outpaced actual market demand</w:t>
      </w:r>
    </w:p>
    <w:sectPr w:rsidR="0058336C">
      <w:footerReference w:type="even" r:id="rId10"/>
      <w:footerReference w:type="default" r:id="rId11"/>
      <w:footerReference w:type="first" r:id="rId12"/>
      <w:pgSz w:w="11906" w:h="16838"/>
      <w:pgMar w:top="1330" w:right="539" w:bottom="2086" w:left="1134" w:header="720" w:footer="7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2A166" w14:textId="77777777" w:rsidR="002A2A0A" w:rsidRDefault="002A2A0A">
      <w:pPr>
        <w:spacing w:after="0" w:line="240" w:lineRule="auto"/>
      </w:pPr>
      <w:r>
        <w:separator/>
      </w:r>
    </w:p>
  </w:endnote>
  <w:endnote w:type="continuationSeparator" w:id="0">
    <w:p w14:paraId="7914318E" w14:textId="77777777" w:rsidR="002A2A0A" w:rsidRDefault="002A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44B69" w14:textId="77777777" w:rsidR="0058336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54C4" w14:textId="77777777" w:rsidR="0058336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8956" w14:textId="77777777" w:rsidR="0058336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ACCA0" w14:textId="77777777" w:rsidR="002A2A0A" w:rsidRDefault="002A2A0A">
      <w:pPr>
        <w:spacing w:after="0" w:line="240" w:lineRule="auto"/>
      </w:pPr>
      <w:r>
        <w:separator/>
      </w:r>
    </w:p>
  </w:footnote>
  <w:footnote w:type="continuationSeparator" w:id="0">
    <w:p w14:paraId="5493A36F" w14:textId="77777777" w:rsidR="002A2A0A" w:rsidRDefault="002A2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3BAC"/>
    <w:multiLevelType w:val="hybridMultilevel"/>
    <w:tmpl w:val="77847DA2"/>
    <w:lvl w:ilvl="0" w:tplc="4D8426B6">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B06FCE">
      <w:start w:val="1"/>
      <w:numFmt w:val="bullet"/>
      <w:lvlText w:val="o"/>
      <w:lvlJc w:val="left"/>
      <w:pPr>
        <w:ind w:left="1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C803E6">
      <w:start w:val="1"/>
      <w:numFmt w:val="bullet"/>
      <w:lvlText w:val="▪"/>
      <w:lvlJc w:val="left"/>
      <w:pPr>
        <w:ind w:left="2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30423E">
      <w:start w:val="1"/>
      <w:numFmt w:val="bullet"/>
      <w:lvlText w:val="•"/>
      <w:lvlJc w:val="left"/>
      <w:pPr>
        <w:ind w:left="2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AC5B42">
      <w:start w:val="1"/>
      <w:numFmt w:val="bullet"/>
      <w:lvlText w:val="o"/>
      <w:lvlJc w:val="left"/>
      <w:pPr>
        <w:ind w:left="3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E87758">
      <w:start w:val="1"/>
      <w:numFmt w:val="bullet"/>
      <w:lvlText w:val="▪"/>
      <w:lvlJc w:val="left"/>
      <w:pPr>
        <w:ind w:left="4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B8933A">
      <w:start w:val="1"/>
      <w:numFmt w:val="bullet"/>
      <w:lvlText w:val="•"/>
      <w:lvlJc w:val="left"/>
      <w:pPr>
        <w:ind w:left="5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396025C">
      <w:start w:val="1"/>
      <w:numFmt w:val="bullet"/>
      <w:lvlText w:val="o"/>
      <w:lvlJc w:val="left"/>
      <w:pPr>
        <w:ind w:left="5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CC1E1E">
      <w:start w:val="1"/>
      <w:numFmt w:val="bullet"/>
      <w:lvlText w:val="▪"/>
      <w:lvlJc w:val="left"/>
      <w:pPr>
        <w:ind w:left="64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4C4B8E"/>
    <w:multiLevelType w:val="hybridMultilevel"/>
    <w:tmpl w:val="BBC866E0"/>
    <w:lvl w:ilvl="0" w:tplc="34A027F6">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B0B494">
      <w:start w:val="1"/>
      <w:numFmt w:val="bullet"/>
      <w:lvlText w:val="o"/>
      <w:lvlJc w:val="left"/>
      <w:pPr>
        <w:ind w:left="1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AC3C72">
      <w:start w:val="1"/>
      <w:numFmt w:val="bullet"/>
      <w:lvlText w:val="▪"/>
      <w:lvlJc w:val="left"/>
      <w:pPr>
        <w:ind w:left="2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9F62740">
      <w:start w:val="1"/>
      <w:numFmt w:val="bullet"/>
      <w:lvlText w:val="•"/>
      <w:lvlJc w:val="left"/>
      <w:pPr>
        <w:ind w:left="2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6C1FFE">
      <w:start w:val="1"/>
      <w:numFmt w:val="bullet"/>
      <w:lvlText w:val="o"/>
      <w:lvlJc w:val="left"/>
      <w:pPr>
        <w:ind w:left="3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C4B64C">
      <w:start w:val="1"/>
      <w:numFmt w:val="bullet"/>
      <w:lvlText w:val="▪"/>
      <w:lvlJc w:val="left"/>
      <w:pPr>
        <w:ind w:left="4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A0C584">
      <w:start w:val="1"/>
      <w:numFmt w:val="bullet"/>
      <w:lvlText w:val="•"/>
      <w:lvlJc w:val="left"/>
      <w:pPr>
        <w:ind w:left="5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9E30A6">
      <w:start w:val="1"/>
      <w:numFmt w:val="bullet"/>
      <w:lvlText w:val="o"/>
      <w:lvlJc w:val="left"/>
      <w:pPr>
        <w:ind w:left="5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7E2AF0">
      <w:start w:val="1"/>
      <w:numFmt w:val="bullet"/>
      <w:lvlText w:val="▪"/>
      <w:lvlJc w:val="left"/>
      <w:pPr>
        <w:ind w:left="64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C290376"/>
    <w:multiLevelType w:val="hybridMultilevel"/>
    <w:tmpl w:val="0F08EBEE"/>
    <w:lvl w:ilvl="0" w:tplc="CB2CE4D4">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208898">
      <w:start w:val="1"/>
      <w:numFmt w:val="bullet"/>
      <w:lvlText w:val="o"/>
      <w:lvlJc w:val="left"/>
      <w:pPr>
        <w:ind w:left="1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766C44">
      <w:start w:val="1"/>
      <w:numFmt w:val="bullet"/>
      <w:lvlText w:val="▪"/>
      <w:lvlJc w:val="left"/>
      <w:pPr>
        <w:ind w:left="2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EE4460">
      <w:start w:val="1"/>
      <w:numFmt w:val="bullet"/>
      <w:lvlText w:val="•"/>
      <w:lvlJc w:val="left"/>
      <w:pPr>
        <w:ind w:left="2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266454">
      <w:start w:val="1"/>
      <w:numFmt w:val="bullet"/>
      <w:lvlText w:val="o"/>
      <w:lvlJc w:val="left"/>
      <w:pPr>
        <w:ind w:left="3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989B82">
      <w:start w:val="1"/>
      <w:numFmt w:val="bullet"/>
      <w:lvlText w:val="▪"/>
      <w:lvlJc w:val="left"/>
      <w:pPr>
        <w:ind w:left="4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72B184">
      <w:start w:val="1"/>
      <w:numFmt w:val="bullet"/>
      <w:lvlText w:val="•"/>
      <w:lvlJc w:val="left"/>
      <w:pPr>
        <w:ind w:left="5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043A32">
      <w:start w:val="1"/>
      <w:numFmt w:val="bullet"/>
      <w:lvlText w:val="o"/>
      <w:lvlJc w:val="left"/>
      <w:pPr>
        <w:ind w:left="5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72F6A0">
      <w:start w:val="1"/>
      <w:numFmt w:val="bullet"/>
      <w:lvlText w:val="▪"/>
      <w:lvlJc w:val="left"/>
      <w:pPr>
        <w:ind w:left="64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4737AB8"/>
    <w:multiLevelType w:val="hybridMultilevel"/>
    <w:tmpl w:val="366C5036"/>
    <w:lvl w:ilvl="0" w:tplc="F28EE4F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49866322">
    <w:abstractNumId w:val="0"/>
  </w:num>
  <w:num w:numId="2" w16cid:durableId="77413504">
    <w:abstractNumId w:val="2"/>
  </w:num>
  <w:num w:numId="3" w16cid:durableId="2013020590">
    <w:abstractNumId w:val="1"/>
  </w:num>
  <w:num w:numId="4" w16cid:durableId="806584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36C"/>
    <w:rsid w:val="002A2A0A"/>
    <w:rsid w:val="0058336C"/>
    <w:rsid w:val="00BE422F"/>
    <w:rsid w:val="00E27E2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1568"/>
  <w15:docId w15:val="{30A2A94D-98D6-4552-A5BC-ECBC6E7A4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9" w:line="245" w:lineRule="auto"/>
      <w:ind w:left="201" w:right="595" w:hanging="201"/>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65"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spacing w:after="131"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9"/>
    </w:rPr>
  </w:style>
  <w:style w:type="paragraph" w:styleId="ListParagraph">
    <w:name w:val="List Paragraph"/>
    <w:basedOn w:val="Normal"/>
    <w:uiPriority w:val="34"/>
    <w:qFormat/>
    <w:rsid w:val="00BE42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shafiq</dc:creator>
  <cp:keywords/>
  <cp:lastModifiedBy>umar shafiq</cp:lastModifiedBy>
  <cp:revision>2</cp:revision>
  <dcterms:created xsi:type="dcterms:W3CDTF">2026-03-12T16:43:00Z</dcterms:created>
  <dcterms:modified xsi:type="dcterms:W3CDTF">2026-03-12T16:43:00Z</dcterms:modified>
</cp:coreProperties>
</file>