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XPS spectra are simulated</w:t>
      </w:r>
    </w:p>
    <w:p>
      <w:r>
        <w:t>Mathematical explanation of the PROPHESY and SESSA datasets</w:t>
      </w:r>
    </w:p>
    <w:p>
      <w:r>
        <w:t>An XPS simulation starts with a sample and its chemical components, predicts the electrons that reach the analyzer, applies the instrument response, and adds measurement noise. This document explains that sequence and the equations behind it. It then relates the equations to the actual generators used in this project and to the labels needed for machine learning peak fitting.</w:t>
      </w:r>
    </w:p>
    <w:p>
      <w:pPr>
        <w:pStyle w:val="Heading1"/>
      </w:pPr>
      <w:r>
        <w:t>1 What an XPS spectrum represents</w:t>
      </w:r>
    </w:p>
    <w:p>
      <w:r>
        <w:t>X-ray photons eject electrons from atomic orbitals. The measured kinetic energy identifies the binding energy of the electron, while the intensity depends on abundance, photoionization probability, electron escape, and the instrument. Chemical environments can shift the binding energy and produce overlapping components within one orbital region, such as C 1s.</w:t>
      </w:r>
    </w:p>
    <w:p>
      <w:r>
        <w:rPr>
          <w:rFonts w:ascii="DejaVu Sans" w:hAnsi="DejaVu Sans"/>
          <w:sz w:val="20"/>
        </w:rPr>
        <w:t>E_B = hν − E_K − φ_analyzer</w:t>
      </w:r>
    </w:p>
    <w:p>
      <w:r>
        <w:t>E_B is binding energy, E_K is measured kinetic energy, hν is photon energy, and φ_analyzer is the analyzer work-function term for the usual calibrated solid-sample convention. Energy referencing must be consistent. The SESSA packaging in this project uses E_B = 1486.6 − E_K, with no additional work-function subtraction. This is the stored simulation convention; an experimental spectrum may need a different calibration. [3]</w:t>
      </w:r>
    </w:p>
    <w:p>
      <w:pPr>
        <w:pStyle w:val="Heading1"/>
      </w:pPr>
      <w:r>
        <w:t>2 A useful mathematical representation</w:t>
      </w:r>
    </w:p>
    <w:p>
      <w:r>
        <w:rPr>
          <w:rFonts w:ascii="DejaVu Sans" w:hAnsi="DejaVu Sans"/>
          <w:sz w:val="20"/>
        </w:rPr>
        <w:t>m(E) = [Σₖ Aₖ Lₖ(E; μₖ, wₖ)] ⊗ R(E) + B(E)</w:t>
      </w:r>
    </w:p>
    <w:p>
      <w:r>
        <w:t>Here E is binding energy; m is the expected spectrum before random noise; k indexes components; μ is a peak center; w is a width; L is a unit-area line shape; A is its integrated area; R is the instrumental response; and B is the background at the measured-spectrum level. The convolution symbol ⊗ means that finite resolution spreads intensity across neighboring energies. This is a general explanatory model, not a literal statement of every simulator’s internal algorithm.</w:t>
      </w:r>
    </w:p>
    <w:p>
      <w:r>
        <w:t>A sampled spectrum is a vector y = [y₁, …, yN] on an energy grid E₁, …, EN. For a count-density model, expected counts in channel i are the integral of m over that channel. The project files instead store sampled channel intensities and apply their own count scaling; multiplying those values by the energy step again would change their meaning.</w:t>
      </w:r>
    </w:p>
    <w:p>
      <w:r>
        <w:t>Keep four quantities separate: the intrinsic components, the clean detected signal, the expected total including background, and one noisy acquisition. A clean simulation target can still include instrumental broadening and simulator approximations.</w:t>
      </w:r>
    </w:p>
    <w:p>
      <w:r>
        <w:br w:type="page"/>
      </w:r>
    </w:p>
    <w:p>
      <w:pPr>
        <w:pStyle w:val="Heading1"/>
      </w:pPr>
      <w:r>
        <w:t>3 Peak shapes and peak parameters</w:t>
      </w:r>
    </w:p>
    <w:p>
      <w:r>
        <w:t>A Gaussian component with unit integrated area is</w:t>
      </w:r>
    </w:p>
    <w:p>
      <w:r>
        <w:rPr>
          <w:rFonts w:ascii="DejaVu Sans" w:hAnsi="DejaVu Sans"/>
          <w:sz w:val="20"/>
        </w:rPr>
        <w:t>G(E; μ, σ) = exp[−(E − μ)²/(2σ²)] / [σ√(2π)]</w:t>
      </w:r>
    </w:p>
    <w:p>
      <w:r>
        <w:rPr>
          <w:rFonts w:ascii="DejaVu Sans" w:hAnsi="DejaVu Sans"/>
          <w:sz w:val="20"/>
        </w:rPr>
        <w:t>FWHM = 2√(2 ln 2) σ ≈ 2.35482 σ</w:t>
      </w:r>
    </w:p>
    <w:p>
      <w:r>
        <w:t>The center μ and standard deviation σ are in eV. FWHM is the full width at half maximum. PROPHESY peak_width values describe Gaussian σ in the generating cross section. SESSA packaged width labels describe FWHM. They must be converted before comparing widths or training one shared predictor. [2,3]</w:t>
      </w:r>
    </w:p>
    <w:p>
      <w:r>
        <w:rPr>
          <w:rFonts w:ascii="DejaVu Sans" w:hAnsi="DejaVu Sans"/>
          <w:sz w:val="20"/>
        </w:rPr>
        <w:t>Pₖ(E) = Aₖ G(E; μₖ, σₖ) = Hₖ exp[−(E − μₖ)²/(2σₖ²)]</w:t>
      </w:r>
    </w:p>
    <w:p>
      <w:r>
        <w:rPr>
          <w:rFonts w:ascii="DejaVu Sans" w:hAnsi="DejaVu Sans"/>
          <w:sz w:val="20"/>
        </w:rPr>
        <w:t>Aₖ = Hₖ σₖ√(2π)</w:t>
      </w:r>
    </w:p>
    <w:p>
      <w:r>
        <w:t>H is the isolated peak height. Area and height are different targets: for equal areas, a narrower Gaussian is taller. The observed maximum of an overlapping spectrum includes contributions from neighboring peaks and the background, so it is generally not an isolated component height.</w:t>
      </w:r>
    </w:p>
    <w:p>
      <w:r>
        <w:t>For example, an isolated Gaussian with height 100 counts per channel and σ = 0.50 eV has FWHM ≈ 1.177 eV and a continuous energy integral of about 125.3 counts·eV. On a 0.05 eV grid, its summed channel counts are approximately 125.3/0.05 = 2506, provided the grid captures the whole peak. A trapezoidal area and a sum of channels therefore have different units.</w:t>
      </w:r>
    </w:p>
    <w:p>
      <w:r>
        <w:t>Other useful line shapes include a Lorentzian, L(E) = γ/[π((E−μ)²+γ²)], whose FWHM is 2γ, and a Voigt profile, which convolves a Gaussian with a Lorentzian. These describe different broadening mechanisms. The local generators discussed here explicitly prescribe Gaussian components; a Gaussian dataset does not establish performance on arbitrary asymmetric or Voigt experimental peaks.</w:t>
      </w:r>
    </w:p>
    <w:p>
      <w:pPr>
        <w:pStyle w:val="Heading1"/>
      </w:pPr>
      <w:r>
        <w:t>4 Broadening and background</w:t>
      </w:r>
    </w:p>
    <w:p>
      <w:r>
        <w:t>If independent intrinsic, photon-source, and analyzer responses are Gaussian on a common energy scale, their variances add: σ_observed² = σ_intrinsic² + σ_source² + σ_analyzer². This is a useful special case. PROPHESY actually integrates source and analyzer responses numerically, so a stored intrinsic width should not automatically be treated as the fitted width of its final spectrum. [2]</w:t>
      </w:r>
    </w:p>
    <w:p>
      <w:r>
        <w:t>Inelastic scattering removes kinetic energy and redistributes electrons toward higher apparent binding energy. It contributes a loss tail or background. Empirical backgrounds approximate this intensity; transport calculations model the loss process more directly. Subtracting a background from noisy data does not undo the noise and can produce negative residuals.</w:t>
      </w:r>
    </w:p>
    <w:p>
      <w:r>
        <w:br w:type="page"/>
      </w:r>
    </w:p>
    <w:p>
      <w:pPr>
        <w:pStyle w:val="Heading1"/>
      </w:pPr>
      <w:r>
        <w:t>5 How geometry and depth determine intensity</w:t>
      </w:r>
    </w:p>
    <w:p>
      <w:r>
        <w:t>Electrons emitted deeper in a sample have a lower probability of reaching the surface without an inelastic collision. A simple attenuation expression is</w:t>
      </w:r>
    </w:p>
    <w:p>
      <w:r>
        <w:rPr>
          <w:rFonts w:ascii="DejaVu Sans" w:hAnsi="DejaVu Sans"/>
          <w:sz w:val="20"/>
        </w:rPr>
        <w:t>P_escape = exp(−ℓ/λ)</w:t>
      </w:r>
    </w:p>
    <w:p>
      <w:r>
        <w:t>ℓ is the path traveled inside the sample and λ is an attenuation length in the same units. An effective attenuation length can incorporate effects beyond a straight-path inelastic mean free path; the two quantities should not be silently interchanged.</w:t>
      </w:r>
    </w:p>
    <w:p>
      <w:r>
        <w:rPr>
          <w:rFonts w:ascii="DejaVu Sans" w:hAnsi="DejaVu Sans"/>
          <w:sz w:val="20"/>
        </w:rPr>
        <w:t>Aₖ ∝ t Φ σphoto,ₖ T ∫V ρₖ(r) f_beam(r) exp[−ℓ(r)/λₖ] dV</w:t>
      </w:r>
    </w:p>
    <w:p>
      <w:r>
        <w:t>This schematic integral combines exposure time t, photon flux Φ, photoionization cross section σphoto, analyzer transmission T, number-density profile ρ, spatial beam weighting f_beam, and the escape probability. Acceptance angles, unit conversions, and response factors must be included consistently in a full implementation. Cross section controls emission probability; it is unrelated to the Gaussian width symbol σ.</w:t>
      </w:r>
    </w:p>
    <w:p>
      <w:r>
        <w:t>For a flat sample at emission angle θ from the surface normal, the straight-line path from depth z is z/cosθ. With constant density and λ, integration from zero to infinity gives an intensity proportional to ρλcosθ. Under these assumptions about 95% of the unscattered signal comes from the first 3λcosθ. Curved surfaces require the actual geometry instead of this planar approximation.</w:t>
      </w:r>
    </w:p>
    <w:p>
      <w:pPr>
        <w:pStyle w:val="Heading1"/>
      </w:pPr>
      <w:r>
        <w:t>6 PROPHESY forward simulation</w:t>
      </w:r>
    </w:p>
    <w:p>
      <w:r>
        <w:t>PROPHESY was developed to reconstruct chemically resolved concentration profiles across liquid interfaces. Its acquisition framework includes planar, cylindrical, and spherical geometries. The saved spectral catalogue in this project contains cylinders representing liquid jets and spheres representing droplets, with a saved radius of 10 µm. [1,2]</w:t>
      </w:r>
    </w:p>
    <w:p>
      <w:r>
        <w:t>The generator chooses a radial concentration profile, photon energy, attenuation length, beam position and width, and analyzer geometry. Profile tags 0001–0005 refer to bulk or surface concentration distributions; they do not identify five different particle shapes. For example, with depth d = 1000(R−r) in nm, a bulk transition is ρ(d) = c/[1+exp(−d/a)]. Surface enrichment adds a localized Gaussian to that profile. [2]</w:t>
      </w:r>
    </w:p>
    <w:p>
      <w:r>
        <w:rPr>
          <w:rFonts w:ascii="DejaVu Sans" w:hAnsi="DejaVu Sans"/>
          <w:sz w:val="20"/>
        </w:rPr>
        <w:t>Q = H_beamᵀ ρ</w:t>
      </w:r>
    </w:p>
    <w:p>
      <w:r>
        <w:rPr>
          <w:rFonts w:ascii="DejaVu Sans" w:hAnsi="DejaVu Sans"/>
          <w:sz w:val="20"/>
        </w:rPr>
        <w:t>Sᵢ = Δt κ Q Jᵢ ;   Bᵢ = Δt κ Q J_bg,ᵢ</w:t>
      </w:r>
    </w:p>
    <w:p>
      <w:r>
        <w:t>The discretized geometry operator H_beam contains beam weighting, attenuation, and quadrature weights; ρ is the sampled radial concentration. Q is their integrated contribution. J and J_bg come from numerical integration of the prescribed signal or background cross section with the photon-source and analyzer responses. These expressions describe the current C1s and S2p generators. κ is their unit-conversion factor. [2]</w:t>
      </w:r>
    </w:p>
    <w:p>
      <w:r>
        <w:br w:type="page"/>
      </w:r>
    </w:p>
    <w:p>
      <w:pPr>
        <w:pStyle w:val="Heading1"/>
      </w:pPr>
      <w:r>
        <w:t>7 Why PROPHESY C1s shapes are so similar</w:t>
      </w:r>
    </w:p>
    <w:p>
      <w:r>
        <w:rPr>
          <w:rFonts w:ascii="DejaVu Sans" w:hAnsi="DejaVu Sans"/>
          <w:sz w:val="20"/>
        </w:rPr>
        <w:t>σphoto(E; hν) = σtotal(hν) Σₖ pₖ G(E; μₖ(hν), σₖ(hν))</w:t>
      </w:r>
    </w:p>
    <w:p>
      <w:r>
        <w:t>The current C1s generator fixes p = [0.70, 0.25, 0.05]. Its base centers are [280.3, 281.8, 283.8] eV. A shared photon-energy-dependent factor shifts the centers, and a shared multiplier changes the widths. These are the numerical inputs in this generator; they should not be relabeled as the SESSA chemical-state centers. [2]</w:t>
      </w:r>
    </w:p>
    <w:p>
      <w:r>
        <w:t>At a given excitation setting, changing concentration, beam overlap or geometry chiefly changes the scalar Q multiplying a common spectral mixture. If S(E) = C f(E), then S(E)/max(S) = f(E)/max(f). Normalization removes the factor C exactly. Thus very different intensity or depth-profile conditions can have the same normalized clean shape. Noise realizations add variation without creating new chemical mixtures.</w:t>
      </w:r>
    </w:p>
    <w:p>
      <w:r>
        <w:t>This is consistent with the project’s depth-profile objective: varying photon energy changes depth sensitivity, and the resulting intensity variation carries information about concentration versus depth. It does not require independently randomized peak mixtures for every condition. A VAE reconstruction task can consequently look easy even when the number of noisy spectra is large.</w:t>
      </w:r>
    </w:p>
    <w:p>
      <w:pPr>
        <w:pStyle w:val="Heading1"/>
      </w:pPr>
      <w:r>
        <w:t>8 Other PROPHESY regions and noise</w:t>
      </w:r>
    </w:p>
    <w:p>
      <w:r>
        <w:t>S2p uses two Gaussian components with weights 0.66 and 0.34 and photon-energy-dependent centers and widths. O1s uses separate liquid and vapor signals, allowing their mixture ratio to change the shape. The O1s total is the liquid signal plus gas signal plus a liquid background. These are different generation assumptions from C1s. [2]</w:t>
      </w:r>
    </w:p>
    <w:p>
      <w:r>
        <w:rPr>
          <w:rFonts w:ascii="DejaVu Sans" w:hAnsi="DejaVu Sans"/>
          <w:sz w:val="20"/>
        </w:rPr>
        <w:t>Yᵢ ∼ Poisson(max(Sᵢ + Bᵢ + σnoise Zᵢ, 0));   Zᵢ ∼ Normal(0,1)</w:t>
      </w:r>
    </w:p>
    <w:p>
      <w:r>
        <w:t>ATTIRE adds the optional Gaussian perturbation to the Poisson mean before drawing counts. In the current scripts the dark-noise input is zero, giving ordinary Poisson sampling. The standard deviation of Poisson counts is √m for mean m; relative noise is approximately 1/√m. Repeated scans share the same physical parameters. [2]</w:t>
      </w:r>
    </w:p>
    <w:p>
      <w:r>
        <w:t>The saved peak tables contain generating parameters, rather than independent fits to each noisy scan. The ML archive includes 1500 labeled spectral conditions and 52500 primary or repeated acquisitions. The additional 120 legacy conditions lack the separate peak metadata required by that archive. These totals describe the saved collection, not a limit on future simulations. [5]</w:t>
      </w:r>
    </w:p>
    <w:p>
      <w:r>
        <w:t>Absolute scales need care: the current spherical-water script omits the Δtκ multiplier used in the cylinder-water signal calculation, and the cylinder vapor-density code flags a unit inconsistency. Retain those distinctions when comparing absolute O1s intensities; do not infer equivalent physical count calibration across those branches. [2]</w:t>
      </w:r>
    </w:p>
    <w:p>
      <w:r>
        <w:br w:type="page"/>
      </w:r>
    </w:p>
    <w:p>
      <w:pPr>
        <w:pStyle w:val="Heading1"/>
      </w:pPr>
      <w:r>
        <w:t>9 How the local SESSA workflow simulates C1s</w:t>
      </w:r>
    </w:p>
    <w:p>
      <w:r>
        <w:t>SESSA uses physical databases and electron-transport calculations to predict spectra for specified material and measurement conditions. It supports more morphologies than used here. The local generator creates a homogeneous planar material; its chemical families do not represent spheres, core–shell particles or separate particle geometries. [3,4]</w:t>
      </w:r>
    </w:p>
    <w:p>
      <w:r>
        <w:t>Each case selects nominal fractions for C–C/C–H, C–O, C=O, O–C=O and a π–π* pseudo-component. Active fractions are drawn from a Dirichlet distribution. An aging variable changes that distribution; it is a synthetic composition parameter, not simulated reaction time. Density varies from 1.10 to 1.75 g/cm³. An approximate O:C ratio and a band gap are passed to SESSA. [3]</w:t>
      </w:r>
    </w:p>
    <w:p>
      <w:r>
        <w:rPr>
          <w:rFonts w:ascii="DejaVu Sans" w:hAnsi="DejaVu Sans"/>
          <w:sz w:val="20"/>
        </w:rPr>
        <w:t>μₖ = μbase,ₖ + Δcharge + εₖ</w:t>
      </w:r>
    </w:p>
    <w:p>
      <w:r>
        <w:t>Base centers are [284.8, 286.25, 287.75, 289.05, 291.2] eV. A shared charging shift is uniform from −1.5 to 2.5 eV, with additional independent Gaussian jitter. A common width is sampled from 0.90–1.60 eV; perturbed component FWHMs are clipped to 0.70–2.00 eV. Gaussian σ = FWHM/2.35482 is supplied to SESSA. These changing fractions, centers and widths create substantially more mixture diversity than the fixed PROPHESY C1s weights. [3]</w:t>
      </w:r>
    </w:p>
    <w:p>
      <w:r>
        <w:t>For each physical case the session first simulates the full spectrum, then sets NCOL to zero and simulates the zero-inelastic-collision spectrum. Surface-excitation and other transport flags are explicitly set in the session. The latter output is the project’s clean target. Simulator convergence is set to 0.01; that setting is not a guarantee of 1% error in every channel. [3]</w:t>
      </w:r>
    </w:p>
    <w:p>
      <w:r>
        <w:rPr>
          <w:rFonts w:ascii="DejaVu Sans" w:hAnsi="DejaVu Sans"/>
          <w:sz w:val="20"/>
        </w:rPr>
        <w:t>F = max(interpolate(full), 0)</w:t>
      </w:r>
    </w:p>
    <w:p>
      <w:r>
        <w:rPr>
          <w:rFonts w:ascii="DejaVu Sans" w:hAnsi="DejaVu Sans"/>
          <w:sz w:val="20"/>
        </w:rPr>
        <w:t>Z = min(max(interpolate(zero), 0), F)</w:t>
      </w:r>
    </w:p>
    <w:p>
      <w:r>
        <w:rPr>
          <w:rFonts w:ascii="DejaVu Sans" w:hAnsi="DejaVu Sans"/>
          <w:sz w:val="20"/>
        </w:rPr>
        <w:t>c = M / max(max(F), 10⁻³⁰)</w:t>
      </w:r>
    </w:p>
    <w:p>
      <w:r>
        <w:rPr>
          <w:rFonts w:ascii="DejaVu Sans" w:hAnsi="DejaVu Sans"/>
          <w:sz w:val="20"/>
        </w:rPr>
        <w:t>m = cF ;   s = cZ ;   b = c(F − Z)</w:t>
      </w:r>
    </w:p>
    <w:p>
      <w:r>
        <w:t>Packaging maps the output to 280–300 eV with 401 points. F and Z are the clipped full and zero-loss arrays. M is a chosen maximum count level; c sets the acquisition scale. Thus the expected total m equals clean signal s plus the nonnegative derived background b. The count level is imposed during packaging, not calculated from a stored exposure time and photon flux. [3]</w:t>
      </w:r>
    </w:p>
    <w:p>
      <w:r>
        <w:rPr>
          <w:rFonts w:ascii="DejaVu Sans" w:hAnsi="DejaVu Sans"/>
          <w:sz w:val="20"/>
        </w:rPr>
        <w:t>Yᵢ = max(Poisson(mᵢ) + ηᵢ, 0);   ηᵢ ∼ Normal(0, σread²)</w:t>
      </w:r>
    </w:p>
    <w:p>
      <w:r>
        <w:t>Here read noise is added after the Poisson draw, with σread sampled from 0–1.5 counts. Five acquisitions share each physical case. The saved collection contains 14000 cases and 70000 acquisitions, including 2000 continuation cases emphasizing lower count levels. [3,5]</w:t>
      </w:r>
    </w:p>
    <w:p>
      <w:r>
        <w:br w:type="page"/>
      </w:r>
    </w:p>
    <w:p>
      <w:pPr>
        <w:pStyle w:val="Heading1"/>
      </w:pPr>
      <w:r>
        <w:t>10 What machine learning peak fitting should predict</w:t>
      </w:r>
    </w:p>
    <w:p>
      <w:r>
        <w:t>For a component-fitting task, useful outputs are presence, center, width, and isolated height or area for each component. A model reconstructing a whole clean spectrum has a different target. A vanilla VAE does not automatically assign chemically meaningful peaks to its latent coordinates; explicit component outputs or a constrained peak decoder are needed for interpretable parameter fitting.</w:t>
      </w:r>
    </w:p>
    <w:p>
      <w:r>
        <w:rPr>
          <w:rFonts w:ascii="DejaVu Sans" w:hAnsi="DejaVu Sans"/>
          <w:sz w:val="20"/>
        </w:rPr>
        <w:t>ĥ = argmin over h ≥ 0  ‖Gh − Z‖²</w:t>
      </w:r>
    </w:p>
    <w:p>
      <w:r>
        <w:t>In the SESSA builder, G contains unit-height Gaussians at the recorded centers and widths. Nonnegative least squares estimates isolated heights from the zero-loss output. Those heights are multiplied by the acquisition scale c. They are derived labels whose approximation error is recorded, rather than direct detector heights supplied by SESSA. The nominal area_fraction field is a material fraction and should not be substituted for a fitted spectral area. [3]</w:t>
      </w:r>
    </w:p>
    <w:p>
      <w:r>
        <w:t>The 2000 continuation HDF5 files store height labels; the 12000 baseline files use an older schema without them. The loader can derive them. PROPHESY archive areas are calculated from clean simulated signals and mixture weights; O1s phase areas refer to the packaged 528–542 eV interval. Finite-window areas need not equal full Gaussian integrals. [3,5]</w:t>
      </w:r>
    </w:p>
    <w:p>
      <w:r>
        <w:t>Keep repeated acquisitions from each physical case together when splitting training and evaluation data. Preserve the intensity normalization factor if absolute heights or areas are targets. Convert width conventions, check units and energy referencing, and distinguish generating centers from centers measured after response broadening. Evaluate component errors and reconstruction errors separately. Many overlapping peaks can yield similar totals, so a good reconstructed curve alone does not prove accurate peak parameters.</w:t>
      </w:r>
    </w:p>
    <w:p>
      <w:pPr>
        <w:pStyle w:val="Heading1"/>
      </w:pPr>
      <w:r>
        <w:t>Sources and implementation map</w:t>
      </w:r>
    </w:p>
    <w:p>
      <w:r>
        <w:t>[1] Inversion model for extracting chemically resolved depth profiles across liquid interfaces of various configurations from XPS data: PROPHESY. Article overview: https://pmc.ncbi.nlm.nih.gov/articles/PMC10481271/ . Used for the stated project objective and geometry scope.</w:t>
      </w:r>
    </w:p>
    <w:p>
      <w:r>
        <w:t>[2] Local PROPHESY source: data/dataGenAndSaveVapOut.jl; the S2p, water, Sphere and Sphere_water variants; packages/XPSpack/src/XPSalignment.jl and cross_section.jl; packages/ATTIRE/src/analyzer.jl and noise.jl. Paths are relative to /home/umar/projects/Thesis/PROPHESY. These implement the detailed simulation equations discussed here.</w:t>
      </w:r>
    </w:p>
    <w:p>
      <w:r>
        <w:t>[3] Local spectraVAE source: sessa_atmospheric/generate_sessa_batch.py, build_vae_dataset.py, build_h5_dataset.py and continue_dataset.py; atmospheric_dataset.py. Paths are relative to /home/umar/projects/Thesis/spectraVAE. These define sampling, SESSA commands, packaging, noise and height-label calculation.</w:t>
      </w:r>
    </w:p>
    <w:p>
      <w:r>
        <w:t>[4] NIST Standard Reference Database 100, SESSA: https://www.nist.gov/srd/nist-standard-reference-database-100 . For the transport model and available physical databases; the local session determines which options are used.</w:t>
      </w:r>
    </w:p>
    <w:p>
      <w:r>
        <w:t>[5] Saved PROPHESY and SESSA physical catalogues in outputs/generator_documentation_01a11b64, and prophesy_peakfit/build_archive.py in spectraVAE. Counts and stored-label availability describe the inspected local dataset snapshot, rather than every spectrum the software could generate.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XPS spectra are simulated</dc:title>
  <dc:subject>PROPHESY and SESSA mathematical models and peak fitting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