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7385" w:rsidRPr="00CF7385" w:rsidRDefault="00CF7385" w:rsidP="00CF7385">
      <w:pPr>
        <w:jc w:val="both"/>
        <w:rPr>
          <w:b/>
        </w:rPr>
      </w:pPr>
      <w:bookmarkStart w:id="0" w:name="_GoBack"/>
      <w:r w:rsidRPr="00CF7385">
        <w:rPr>
          <w:b/>
        </w:rPr>
        <w:t>Muhammad Umar Farooq</w:t>
      </w:r>
    </w:p>
    <w:p w:rsidR="00D45FF9" w:rsidRDefault="00A83DE7" w:rsidP="00CF7385">
      <w:pPr>
        <w:jc w:val="both"/>
      </w:pPr>
      <w:r>
        <w:t>The provided table and charts illustrates about the information of financial plan of police force from 2017 and 2018 in a selected area of Britain. The table gives information about the money received and chart demonstrate about how it distributes.</w:t>
      </w:r>
    </w:p>
    <w:p w:rsidR="00A83DE7" w:rsidRDefault="00A83DE7" w:rsidP="00CF7385">
      <w:pPr>
        <w:jc w:val="both"/>
      </w:pPr>
      <w:r>
        <w:t xml:space="preserve">Overall, public safety force budget intake increased by the next year in all sources. While, a significant portion of the money invested on staff, but it had a study decline with the time. Meanwhile, building and transportation expenses remain stabilized. Furthermore, a minimal portion allocated for technology which have increasing trend. </w:t>
      </w:r>
    </w:p>
    <w:p w:rsidR="00A83DE7" w:rsidRDefault="00A83DE7" w:rsidP="00CF7385">
      <w:pPr>
        <w:jc w:val="both"/>
      </w:pPr>
      <w:r>
        <w:t>A comprehensive analysis revels that, the national government receive about 2 millions more then the previous year and climb at 177.8m moreover, Local taxes jumped with approximately 10 million with the passage of time. Finally, total rose in budget was about 14 million.</w:t>
      </w:r>
    </w:p>
    <w:p w:rsidR="00A83DE7" w:rsidRDefault="00A83DE7" w:rsidP="00CF7385">
      <w:pPr>
        <w:jc w:val="both"/>
      </w:pPr>
      <w:r>
        <w:t>A dedicated observation indicates that, salaries covered about 70% of the spending outline but it had a 6% decrease by the year. Building and transportation spent 17% of money and remain stabled. Lastly, technological development utilized 8% fanatical assets in 2017 and tide on almost doubled by 2018.</w:t>
      </w:r>
      <w:bookmarkEnd w:id="0"/>
    </w:p>
    <w:sectPr w:rsidR="00A83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DE7"/>
    <w:rsid w:val="00A83DE7"/>
    <w:rsid w:val="00CF7385"/>
    <w:rsid w:val="00D45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29E344-F77D-4D4A-8851-8CEAF0AB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2025-06-13T08:10:00Z</dcterms:created>
  <dcterms:modified xsi:type="dcterms:W3CDTF">2025-06-13T08:47:00Z</dcterms:modified>
</cp:coreProperties>
</file>