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482B" w14:textId="0810DC2B" w:rsidR="000E0855" w:rsidRDefault="000E0855">
      <w:pPr>
        <w:rPr>
          <w:b/>
          <w:bCs/>
        </w:rPr>
      </w:pPr>
      <w:r>
        <w:rPr>
          <w:b/>
          <w:bCs/>
        </w:rPr>
        <w:t>Time: 25 min</w:t>
      </w:r>
      <w:r>
        <w:rPr>
          <w:b/>
          <w:bCs/>
        </w:rPr>
        <w:br/>
        <w:t xml:space="preserve">GPT Rate: 7 Bands </w:t>
      </w:r>
    </w:p>
    <w:p w14:paraId="652146BC" w14:textId="4AE7F8B2" w:rsidR="00B84AC7" w:rsidRDefault="00B84AC7">
      <w:pPr>
        <w:rPr>
          <w:b/>
          <w:bCs/>
        </w:rPr>
      </w:pPr>
      <w:r w:rsidRPr="00B84AC7">
        <w:rPr>
          <w:b/>
          <w:bCs/>
        </w:rPr>
        <w:t>The chart below gives information about how families in one country spent their weekly income in 1968 and in 2018.</w:t>
      </w:r>
      <w:r w:rsidR="007102B7">
        <w:rPr>
          <w:b/>
          <w:bCs/>
        </w:rPr>
        <w:t xml:space="preserve"> </w:t>
      </w:r>
    </w:p>
    <w:p w14:paraId="5EE52735" w14:textId="56F374B9" w:rsidR="00B42FDD" w:rsidRPr="00B42FDD" w:rsidRDefault="00B84AC7" w:rsidP="00B42FDD">
      <w:r>
        <w:rPr>
          <w:noProof/>
        </w:rPr>
        <w:drawing>
          <wp:inline distT="0" distB="0" distL="0" distR="0" wp14:anchorId="2488934D" wp14:editId="2AC194CA">
            <wp:extent cx="6003985" cy="3333750"/>
            <wp:effectExtent l="0" t="0" r="0" b="0"/>
            <wp:docPr id="23250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2859" name="Picture 2325028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670" cy="334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B61">
        <w:br/>
      </w:r>
      <w:r w:rsidR="00B42FDD" w:rsidRPr="00B42FDD">
        <w:t xml:space="preserve">The provided chart illustrates statistical insights into </w:t>
      </w:r>
      <w:r w:rsidR="00B72BC3" w:rsidRPr="00B72BC3">
        <w:t>how families in a country spent their weekly income</w:t>
      </w:r>
      <w:r w:rsidR="00B72BC3">
        <w:t xml:space="preserve"> </w:t>
      </w:r>
      <w:r w:rsidR="00B42FDD" w:rsidRPr="00B42FDD">
        <w:t>in 1968 and in 2018.</w:t>
      </w:r>
    </w:p>
    <w:p w14:paraId="3DF225D7" w14:textId="77777777" w:rsidR="00B47A7E" w:rsidRDefault="00B42FDD" w:rsidP="00B42FDD">
      <w:r w:rsidRPr="00B42FDD">
        <w:t xml:space="preserve">Overall, it is evident that food, housing, and </w:t>
      </w:r>
      <w:r w:rsidR="00B47A7E">
        <w:t>l</w:t>
      </w:r>
      <w:r w:rsidRPr="00B42FDD">
        <w:t xml:space="preserve">eisure </w:t>
      </w:r>
      <w:r w:rsidR="00EC1C57">
        <w:t>accounted for the largest share of weekly expenditure</w:t>
      </w:r>
      <w:r w:rsidRPr="00B42FDD">
        <w:t xml:space="preserve"> in both time frames. </w:t>
      </w:r>
      <w:r w:rsidR="00B47A7E" w:rsidRPr="00B47A7E">
        <w:t>whereas fuel and power accounted for the smallest share of spending.</w:t>
      </w:r>
    </w:p>
    <w:p w14:paraId="3DE8D2B6" w14:textId="55B2E85D" w:rsidR="00474DB2" w:rsidRDefault="00B42FDD" w:rsidP="00B42FDD">
      <w:r w:rsidRPr="00B42FDD">
        <w:t>An analytical perspective highlight</w:t>
      </w:r>
      <w:r w:rsidR="00B72BC3">
        <w:t>s</w:t>
      </w:r>
      <w:r w:rsidRPr="00B42FDD">
        <w:t xml:space="preserve"> that 35% </w:t>
      </w:r>
      <w:r w:rsidR="003517D9">
        <w:t xml:space="preserve">of </w:t>
      </w:r>
      <w:r w:rsidRPr="00B42FDD">
        <w:t xml:space="preserve">weekly income was spent on Food in 1968. In contrast, this trend had a dramatic decrease over the period, and approximately 18% weekly budget was invested in food in 2018. Meanwhile, </w:t>
      </w:r>
      <w:r w:rsidR="000E4BF3" w:rsidRPr="000E4BF3">
        <w:t>Fuel and power, personal goods, and clothing and footwear followed the overall decline over the perio</w:t>
      </w:r>
      <w:r w:rsidR="000E4BF3">
        <w:t>d</w:t>
      </w:r>
      <w:r w:rsidRPr="00B42FDD">
        <w:t xml:space="preserve">, </w:t>
      </w:r>
      <w:r w:rsidR="000E4BF3" w:rsidRPr="000E4BF3">
        <w:t xml:space="preserve">housing </w:t>
      </w:r>
      <w:r w:rsidR="00B72BC3">
        <w:t xml:space="preserve">expenditure </w:t>
      </w:r>
      <w:r w:rsidR="002F7799">
        <w:t xml:space="preserve">increased </w:t>
      </w:r>
      <w:r w:rsidR="000E4BF3" w:rsidRPr="000E4BF3">
        <w:t>from 10</w:t>
      </w:r>
      <w:r w:rsidR="002F7799">
        <w:t>%</w:t>
      </w:r>
      <w:r w:rsidR="000E4BF3" w:rsidRPr="000E4BF3">
        <w:t xml:space="preserve"> to 19</w:t>
      </w:r>
      <w:r w:rsidR="002F7799">
        <w:t>%</w:t>
      </w:r>
      <w:r w:rsidRPr="00B42FDD">
        <w:t>, personal goods dropped from 8</w:t>
      </w:r>
      <w:r w:rsidR="002F7799">
        <w:t>%</w:t>
      </w:r>
      <w:r w:rsidRPr="00B42FDD">
        <w:t xml:space="preserve"> to 4</w:t>
      </w:r>
      <w:r w:rsidR="002F7799">
        <w:t>%</w:t>
      </w:r>
      <w:r w:rsidRPr="00B42FDD">
        <w:t>, and clothing and footwear consequently ha</w:t>
      </w:r>
      <w:r w:rsidR="003517D9">
        <w:t>d</w:t>
      </w:r>
      <w:r w:rsidRPr="00B42FDD">
        <w:t xml:space="preserve"> a downward trend. Subsequently, families spent about 8% </w:t>
      </w:r>
      <w:r w:rsidR="003517D9">
        <w:t xml:space="preserve">of </w:t>
      </w:r>
      <w:r w:rsidRPr="00B42FDD">
        <w:t xml:space="preserve">income on Leisure in 1968. Apparently, </w:t>
      </w:r>
      <w:r w:rsidR="002F7799">
        <w:t>this figure more than doubled, reaching over 18% in 2018</w:t>
      </w:r>
      <w:r w:rsidRPr="00B42FDD">
        <w:t xml:space="preserve">. </w:t>
      </w:r>
      <w:r w:rsidR="003517D9">
        <w:t>Similarly</w:t>
      </w:r>
      <w:r w:rsidRPr="00B42FDD">
        <w:t>, Housing and Transport followed the increasing trend, while housing expenditures rose from 10</w:t>
      </w:r>
      <w:r w:rsidR="002F7799">
        <w:t>%</w:t>
      </w:r>
      <w:r w:rsidRPr="00B42FDD">
        <w:t xml:space="preserve"> to 19</w:t>
      </w:r>
      <w:r w:rsidR="002F7799">
        <w:t>%</w:t>
      </w:r>
      <w:r w:rsidRPr="00B42FDD">
        <w:t xml:space="preserve">, </w:t>
      </w:r>
      <w:r w:rsidR="000E4BF3" w:rsidRPr="000E4BF3">
        <w:t>weekly expenditure on travel rose from 8% to 14%</w:t>
      </w:r>
      <w:r w:rsidRPr="00B42FDD">
        <w:t xml:space="preserve">. At the penultimate stage, </w:t>
      </w:r>
      <w:r w:rsidR="003517D9" w:rsidRPr="003517D9">
        <w:t>Household goods remained constant across both time frames, at about 8%</w:t>
      </w:r>
    </w:p>
    <w:sectPr w:rsidR="00474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61"/>
    <w:rsid w:val="000E0855"/>
    <w:rsid w:val="000E4BF3"/>
    <w:rsid w:val="002F7799"/>
    <w:rsid w:val="003517D9"/>
    <w:rsid w:val="00474DB2"/>
    <w:rsid w:val="00510B64"/>
    <w:rsid w:val="00575B02"/>
    <w:rsid w:val="007102B7"/>
    <w:rsid w:val="00A03712"/>
    <w:rsid w:val="00AD5CD3"/>
    <w:rsid w:val="00B00485"/>
    <w:rsid w:val="00B22F58"/>
    <w:rsid w:val="00B42FDD"/>
    <w:rsid w:val="00B47A7E"/>
    <w:rsid w:val="00B72BC3"/>
    <w:rsid w:val="00B84AC7"/>
    <w:rsid w:val="00B931CC"/>
    <w:rsid w:val="00BD5E6B"/>
    <w:rsid w:val="00C57852"/>
    <w:rsid w:val="00C96323"/>
    <w:rsid w:val="00DA1B23"/>
    <w:rsid w:val="00E93B61"/>
    <w:rsid w:val="00EC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9EB5"/>
  <w15:chartTrackingRefBased/>
  <w15:docId w15:val="{0363E58C-E21F-4FD1-8A6E-D9918768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22</cp:revision>
  <dcterms:created xsi:type="dcterms:W3CDTF">2025-09-01T16:18:00Z</dcterms:created>
  <dcterms:modified xsi:type="dcterms:W3CDTF">2025-09-23T14:06:00Z</dcterms:modified>
</cp:coreProperties>
</file>