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03FC" w14:textId="37F40A90" w:rsidR="00086B96" w:rsidRPr="00086B96" w:rsidRDefault="004A3D26">
      <w:pPr>
        <w:rPr>
          <w:rFonts w:asciiTheme="majorHAnsi" w:hAnsiTheme="majorHAnsi" w:cstheme="majorHAnsi"/>
          <w:b/>
          <w:bCs/>
          <w:noProof/>
        </w:rPr>
      </w:pPr>
      <w:r>
        <w:rPr>
          <w:rFonts w:asciiTheme="majorHAnsi" w:hAnsiTheme="majorHAnsi" w:cstheme="majorHAnsi"/>
          <w:b/>
          <w:bCs/>
          <w:noProof/>
        </w:rPr>
        <w:t>Band 7</w:t>
      </w:r>
      <w:r>
        <w:rPr>
          <w:rFonts w:asciiTheme="majorHAnsi" w:hAnsiTheme="majorHAnsi" w:cstheme="majorHAnsi"/>
          <w:b/>
          <w:bCs/>
          <w:noProof/>
        </w:rPr>
        <w:br/>
      </w:r>
      <w:r w:rsidR="00086B96" w:rsidRPr="00086B96">
        <w:rPr>
          <w:rFonts w:asciiTheme="majorHAnsi" w:hAnsiTheme="majorHAnsi" w:cstheme="majorHAnsi"/>
          <w:b/>
          <w:bCs/>
          <w:noProof/>
        </w:rPr>
        <w:t>The chart below shows the number of households in the US by their annual ’ income in 2007, 2011 and 2015.</w:t>
      </w:r>
    </w:p>
    <w:p w14:paraId="58CE5014" w14:textId="69E6E819" w:rsidR="00086B96" w:rsidRDefault="00086B9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231229C" wp14:editId="6488A9CC">
            <wp:extent cx="5219700" cy="2357755"/>
            <wp:effectExtent l="0" t="0" r="0" b="4445"/>
            <wp:docPr id="165001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15909" name="Picture 1650015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619" cy="236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1DAB" w14:textId="77777777" w:rsidR="009B65C2" w:rsidRPr="009B65C2" w:rsidRDefault="009B65C2" w:rsidP="009B65C2">
      <w:pPr>
        <w:rPr>
          <w:rFonts w:asciiTheme="majorHAnsi" w:hAnsiTheme="majorHAnsi" w:cstheme="majorHAnsi"/>
        </w:rPr>
      </w:pPr>
      <w:r w:rsidRPr="009B65C2">
        <w:rPr>
          <w:rFonts w:asciiTheme="majorHAnsi" w:hAnsiTheme="majorHAnsi" w:cstheme="majorHAnsi"/>
        </w:rPr>
        <w:t>The provided chart illustrates statistical insights related to the annual income of US residents in 2007, 2011, and 2015.</w:t>
      </w:r>
    </w:p>
    <w:p w14:paraId="0EA00E94" w14:textId="1749BDCD" w:rsidR="009B65C2" w:rsidRDefault="009B65C2" w:rsidP="009B65C2">
      <w:pPr>
        <w:rPr>
          <w:rFonts w:asciiTheme="majorHAnsi" w:hAnsiTheme="majorHAnsi" w:cstheme="majorHAnsi"/>
        </w:rPr>
      </w:pPr>
      <w:r w:rsidRPr="009B65C2">
        <w:rPr>
          <w:rFonts w:asciiTheme="majorHAnsi" w:hAnsiTheme="majorHAnsi" w:cstheme="majorHAnsi"/>
        </w:rPr>
        <w:t>Overall, it is evident that a significant number of households in all three time periods earn</w:t>
      </w:r>
      <w:r w:rsidR="00C70BFB">
        <w:rPr>
          <w:rFonts w:asciiTheme="majorHAnsi" w:hAnsiTheme="majorHAnsi" w:cstheme="majorHAnsi"/>
        </w:rPr>
        <w:t>ed more than $100,000 per year</w:t>
      </w:r>
      <w:r w:rsidRPr="009B65C2">
        <w:rPr>
          <w:rFonts w:asciiTheme="majorHAnsi" w:hAnsiTheme="majorHAnsi" w:cstheme="majorHAnsi"/>
        </w:rPr>
        <w:t>. This is followed by households that earned less than a quarter of a million during the year, which also contributed a considerable amount.</w:t>
      </w:r>
    </w:p>
    <w:p w14:paraId="7B900C45" w14:textId="42FE80C9" w:rsidR="00DC4B32" w:rsidRDefault="00E02D93" w:rsidP="00E575E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detailed observation indicates that</w:t>
      </w:r>
      <w:r w:rsidR="00E575E9">
        <w:rPr>
          <w:rFonts w:asciiTheme="majorHAnsi" w:hAnsiTheme="majorHAnsi" w:cstheme="majorHAnsi"/>
        </w:rPr>
        <w:t xml:space="preserve">, </w:t>
      </w:r>
      <w:r w:rsidR="00E575E9" w:rsidRPr="00E575E9">
        <w:rPr>
          <w:rFonts w:asciiTheme="majorHAnsi" w:hAnsiTheme="majorHAnsi" w:cstheme="majorHAnsi"/>
        </w:rPr>
        <w:t xml:space="preserve">approximately 22 million </w:t>
      </w:r>
      <w:r w:rsidR="002C4B0C">
        <w:rPr>
          <w:rFonts w:asciiTheme="majorHAnsi" w:hAnsiTheme="majorHAnsi" w:cstheme="majorHAnsi"/>
        </w:rPr>
        <w:t>US</w:t>
      </w:r>
      <w:r w:rsidR="00E575E9" w:rsidRPr="00E575E9">
        <w:rPr>
          <w:rFonts w:asciiTheme="majorHAnsi" w:hAnsiTheme="majorHAnsi" w:cstheme="majorHAnsi"/>
        </w:rPr>
        <w:t xml:space="preserve"> households earned less than $25,000 in 2017, but by the time this figure increased and more than 27 million people were belonging to this category</w:t>
      </w:r>
      <w:r>
        <w:rPr>
          <w:rFonts w:asciiTheme="majorHAnsi" w:hAnsiTheme="majorHAnsi" w:cstheme="majorHAnsi"/>
        </w:rPr>
        <w:t xml:space="preserve"> in 2011 and 2015</w:t>
      </w:r>
      <w:r w:rsidR="009B65C2" w:rsidRPr="009B65C2">
        <w:rPr>
          <w:rFonts w:asciiTheme="majorHAnsi" w:hAnsiTheme="majorHAnsi" w:cstheme="majorHAnsi"/>
        </w:rPr>
        <w:t>. In contrast, individuals who had a yearly income from $25,000 to $49,999 followed a similar pattern as the previous one</w:t>
      </w:r>
      <w:r w:rsidR="00245CC1">
        <w:rPr>
          <w:rFonts w:asciiTheme="majorHAnsi" w:hAnsiTheme="majorHAnsi" w:cstheme="majorHAnsi"/>
        </w:rPr>
        <w:t>;</w:t>
      </w:r>
      <w:r w:rsidR="009B65C2" w:rsidRPr="009B65C2">
        <w:rPr>
          <w:rFonts w:asciiTheme="majorHAnsi" w:hAnsiTheme="majorHAnsi" w:cstheme="majorHAnsi"/>
        </w:rPr>
        <w:t xml:space="preserve"> it started </w:t>
      </w:r>
      <w:r w:rsidR="00245CC1">
        <w:rPr>
          <w:rFonts w:asciiTheme="majorHAnsi" w:hAnsiTheme="majorHAnsi" w:cstheme="majorHAnsi"/>
        </w:rPr>
        <w:t>at</w:t>
      </w:r>
      <w:r w:rsidR="009B65C2" w:rsidRPr="009B65C2">
        <w:rPr>
          <w:rFonts w:asciiTheme="majorHAnsi" w:hAnsiTheme="majorHAnsi" w:cstheme="majorHAnsi"/>
        </w:rPr>
        <w:t xml:space="preserve"> 23 </w:t>
      </w:r>
      <w:r w:rsidR="00245CC1">
        <w:rPr>
          <w:rFonts w:asciiTheme="majorHAnsi" w:hAnsiTheme="majorHAnsi" w:cstheme="majorHAnsi"/>
        </w:rPr>
        <w:t xml:space="preserve">million </w:t>
      </w:r>
      <w:r w:rsidR="009B65C2" w:rsidRPr="009B65C2">
        <w:rPr>
          <w:rFonts w:asciiTheme="majorHAnsi" w:hAnsiTheme="majorHAnsi" w:cstheme="majorHAnsi"/>
        </w:rPr>
        <w:t xml:space="preserve">and </w:t>
      </w:r>
      <w:r w:rsidR="00245CC1">
        <w:rPr>
          <w:rFonts w:asciiTheme="majorHAnsi" w:hAnsiTheme="majorHAnsi" w:cstheme="majorHAnsi"/>
        </w:rPr>
        <w:t xml:space="preserve">ended </w:t>
      </w:r>
      <w:r w:rsidR="009B65C2" w:rsidRPr="009B65C2">
        <w:rPr>
          <w:rFonts w:asciiTheme="majorHAnsi" w:hAnsiTheme="majorHAnsi" w:cstheme="majorHAnsi"/>
        </w:rPr>
        <w:t xml:space="preserve">at 28 million. </w:t>
      </w:r>
      <w:r w:rsidR="00DC4B32">
        <w:rPr>
          <w:rFonts w:asciiTheme="majorHAnsi" w:hAnsiTheme="majorHAnsi" w:cstheme="majorHAnsi"/>
        </w:rPr>
        <w:t>Subsequently</w:t>
      </w:r>
      <w:r w:rsidR="009B65C2" w:rsidRPr="009B65C2">
        <w:rPr>
          <w:rFonts w:asciiTheme="majorHAnsi" w:hAnsiTheme="majorHAnsi" w:cstheme="majorHAnsi"/>
        </w:rPr>
        <w:t>, 22 million people ha</w:t>
      </w:r>
      <w:r w:rsidR="00245CC1">
        <w:rPr>
          <w:rFonts w:asciiTheme="majorHAnsi" w:hAnsiTheme="majorHAnsi" w:cstheme="majorHAnsi"/>
        </w:rPr>
        <w:t>d an</w:t>
      </w:r>
      <w:r w:rsidR="009B65C2" w:rsidRPr="009B65C2">
        <w:rPr>
          <w:rFonts w:asciiTheme="majorHAnsi" w:hAnsiTheme="majorHAnsi" w:cstheme="majorHAnsi"/>
        </w:rPr>
        <w:t xml:space="preserve"> annual income from $50,000 to $74,9999</w:t>
      </w:r>
      <w:r w:rsidR="00DC4B32">
        <w:rPr>
          <w:rFonts w:asciiTheme="majorHAnsi" w:hAnsiTheme="majorHAnsi" w:cstheme="majorHAnsi"/>
        </w:rPr>
        <w:t>,</w:t>
      </w:r>
      <w:r w:rsidR="009B65C2" w:rsidRPr="009B65C2">
        <w:rPr>
          <w:rFonts w:asciiTheme="majorHAnsi" w:hAnsiTheme="majorHAnsi" w:cstheme="majorHAnsi"/>
        </w:rPr>
        <w:t xml:space="preserve"> and this remain</w:t>
      </w:r>
      <w:r w:rsidR="00245CC1">
        <w:rPr>
          <w:rFonts w:asciiTheme="majorHAnsi" w:hAnsiTheme="majorHAnsi" w:cstheme="majorHAnsi"/>
        </w:rPr>
        <w:t>ed</w:t>
      </w:r>
      <w:r w:rsidR="009B65C2" w:rsidRPr="009B65C2">
        <w:rPr>
          <w:rFonts w:asciiTheme="majorHAnsi" w:hAnsiTheme="majorHAnsi" w:cstheme="majorHAnsi"/>
        </w:rPr>
        <w:t xml:space="preserve"> unchanged throughout all </w:t>
      </w:r>
      <w:r w:rsidR="00DC4B32" w:rsidRPr="009B65C2">
        <w:rPr>
          <w:rFonts w:asciiTheme="majorHAnsi" w:hAnsiTheme="majorHAnsi" w:cstheme="majorHAnsi"/>
        </w:rPr>
        <w:t>three</w:t>
      </w:r>
      <w:r w:rsidR="00DC4B32">
        <w:rPr>
          <w:rFonts w:asciiTheme="majorHAnsi" w:hAnsiTheme="majorHAnsi" w:cstheme="majorHAnsi"/>
        </w:rPr>
        <w:t>-time</w:t>
      </w:r>
      <w:r w:rsidR="009B65C2" w:rsidRPr="009B65C2">
        <w:rPr>
          <w:rFonts w:asciiTheme="majorHAnsi" w:hAnsiTheme="majorHAnsi" w:cstheme="majorHAnsi"/>
        </w:rPr>
        <w:t xml:space="preserve"> intervals. </w:t>
      </w:r>
    </w:p>
    <w:p w14:paraId="038D7AC6" w14:textId="1AC7BC50" w:rsidR="00086B96" w:rsidRPr="00086B96" w:rsidRDefault="009B65C2" w:rsidP="00E02D93">
      <w:pPr>
        <w:rPr>
          <w:rFonts w:asciiTheme="majorHAnsi" w:hAnsiTheme="majorHAnsi" w:cstheme="majorHAnsi"/>
        </w:rPr>
      </w:pPr>
      <w:r w:rsidRPr="009B65C2">
        <w:rPr>
          <w:rFonts w:asciiTheme="majorHAnsi" w:hAnsiTheme="majorHAnsi" w:cstheme="majorHAnsi"/>
        </w:rPr>
        <w:t>At the penultimate stage, about 15 million citizen who ha</w:t>
      </w:r>
      <w:r w:rsidR="00245CC1">
        <w:rPr>
          <w:rFonts w:asciiTheme="majorHAnsi" w:hAnsiTheme="majorHAnsi" w:cstheme="majorHAnsi"/>
        </w:rPr>
        <w:t>d an</w:t>
      </w:r>
      <w:r w:rsidRPr="009B65C2">
        <w:rPr>
          <w:rFonts w:asciiTheme="majorHAnsi" w:hAnsiTheme="majorHAnsi" w:cstheme="majorHAnsi"/>
        </w:rPr>
        <w:t xml:space="preserve"> annual income from $75,999 to $99,000 </w:t>
      </w:r>
      <w:r w:rsidR="00245CC1">
        <w:rPr>
          <w:rFonts w:asciiTheme="majorHAnsi" w:hAnsiTheme="majorHAnsi" w:cstheme="majorHAnsi"/>
        </w:rPr>
        <w:t xml:space="preserve">experienced </w:t>
      </w:r>
      <w:r w:rsidRPr="009B65C2">
        <w:rPr>
          <w:rFonts w:asciiTheme="majorHAnsi" w:hAnsiTheme="majorHAnsi" w:cstheme="majorHAnsi"/>
        </w:rPr>
        <w:t>minor chang</w:t>
      </w:r>
      <w:r w:rsidR="00245CC1">
        <w:rPr>
          <w:rFonts w:asciiTheme="majorHAnsi" w:hAnsiTheme="majorHAnsi" w:cstheme="majorHAnsi"/>
        </w:rPr>
        <w:t>es</w:t>
      </w:r>
      <w:r w:rsidRPr="009B65C2">
        <w:rPr>
          <w:rFonts w:asciiTheme="majorHAnsi" w:hAnsiTheme="majorHAnsi" w:cstheme="majorHAnsi"/>
        </w:rPr>
        <w:t xml:space="preserve">, but it could be considered stable. In comparison to this, more than 35 million household </w:t>
      </w:r>
      <w:r w:rsidR="00245CC1">
        <w:rPr>
          <w:rFonts w:asciiTheme="majorHAnsi" w:hAnsiTheme="majorHAnsi" w:cstheme="majorHAnsi"/>
        </w:rPr>
        <w:t>earned</w:t>
      </w:r>
      <w:r w:rsidRPr="009B65C2">
        <w:rPr>
          <w:rFonts w:asciiTheme="majorHAnsi" w:hAnsiTheme="majorHAnsi" w:cstheme="majorHAnsi"/>
        </w:rPr>
        <w:t xml:space="preserve"> $100,000 or more money over the year; this trend </w:t>
      </w:r>
      <w:r w:rsidR="00245CC1">
        <w:rPr>
          <w:rFonts w:asciiTheme="majorHAnsi" w:hAnsiTheme="majorHAnsi" w:cstheme="majorHAnsi"/>
        </w:rPr>
        <w:t xml:space="preserve">experienced </w:t>
      </w:r>
      <w:r w:rsidRPr="009B65C2">
        <w:rPr>
          <w:rFonts w:asciiTheme="majorHAnsi" w:hAnsiTheme="majorHAnsi" w:cstheme="majorHAnsi"/>
        </w:rPr>
        <w:t>unprecedented fluctuation over time. In 2007, 29 million, in 2011, 26 million, and in 2015, the number of households reached its peak with more than 37 million.</w:t>
      </w:r>
    </w:p>
    <w:sectPr w:rsidR="00086B96" w:rsidRPr="00086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96"/>
    <w:rsid w:val="00016E51"/>
    <w:rsid w:val="00023389"/>
    <w:rsid w:val="00086B96"/>
    <w:rsid w:val="00245CC1"/>
    <w:rsid w:val="002C4B0C"/>
    <w:rsid w:val="004A3D26"/>
    <w:rsid w:val="00636CC4"/>
    <w:rsid w:val="009B65C2"/>
    <w:rsid w:val="00B404A4"/>
    <w:rsid w:val="00BD097A"/>
    <w:rsid w:val="00C70BFB"/>
    <w:rsid w:val="00D1219A"/>
    <w:rsid w:val="00D57486"/>
    <w:rsid w:val="00DC4B32"/>
    <w:rsid w:val="00E02D93"/>
    <w:rsid w:val="00E575E9"/>
    <w:rsid w:val="00F1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D150"/>
  <w15:chartTrackingRefBased/>
  <w15:docId w15:val="{FDB6B4B9-8702-472E-B1D9-9D5330FD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8</cp:revision>
  <dcterms:created xsi:type="dcterms:W3CDTF">2025-09-10T08:22:00Z</dcterms:created>
  <dcterms:modified xsi:type="dcterms:W3CDTF">2025-09-29T05:30:00Z</dcterms:modified>
</cp:coreProperties>
</file>