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6AA0" w14:textId="67EA912A" w:rsidR="00F4597A" w:rsidRDefault="00F4597A" w:rsidP="003B7306">
      <w:pPr>
        <w:jc w:val="both"/>
        <w:rPr>
          <w:b/>
          <w:bCs/>
        </w:rPr>
      </w:pPr>
      <w:r>
        <w:rPr>
          <w:b/>
          <w:bCs/>
        </w:rPr>
        <w:t>Band = 7</w:t>
      </w:r>
    </w:p>
    <w:p w14:paraId="600B4EA7" w14:textId="3DD080A7" w:rsidR="00D61D15" w:rsidRPr="009A3000" w:rsidRDefault="00D61D15" w:rsidP="003B7306">
      <w:pPr>
        <w:jc w:val="both"/>
        <w:rPr>
          <w:b/>
          <w:bCs/>
        </w:rPr>
      </w:pPr>
      <w:r w:rsidRPr="009A3000">
        <w:rPr>
          <w:b/>
          <w:bCs/>
        </w:rPr>
        <w:t>The graph below gives information about the percentage of the population in four Asian countries living in cities from 1970 to 2020, with predictions for 2030 and 2040.</w:t>
      </w:r>
    </w:p>
    <w:p w14:paraId="4D2EB22B" w14:textId="327E3D33" w:rsidR="00D61D15" w:rsidRDefault="00D61D15" w:rsidP="003B7306">
      <w:pPr>
        <w:jc w:val="both"/>
      </w:pPr>
      <w:r>
        <w:rPr>
          <w:noProof/>
        </w:rPr>
        <w:drawing>
          <wp:inline distT="0" distB="0" distL="0" distR="0" wp14:anchorId="2FFE9FCD" wp14:editId="02A8D84A">
            <wp:extent cx="5732890" cy="2699705"/>
            <wp:effectExtent l="0" t="0" r="1270" b="5715"/>
            <wp:docPr id="2655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2771" name="Picture 26552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7658" cy="27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ED30" w14:textId="76D9D3C2" w:rsidR="00D61D15" w:rsidRDefault="00D61D15" w:rsidP="003B7306">
      <w:pPr>
        <w:jc w:val="both"/>
      </w:pPr>
      <w:r>
        <w:t xml:space="preserve">The provided graph illustrates </w:t>
      </w:r>
      <w:r w:rsidR="00616C08" w:rsidRPr="00616C08">
        <w:t>statistical insights related to the population in Asian countries such as the Philippines, Malaysia, Thailand, and Indonesia</w:t>
      </w:r>
      <w:r>
        <w:t xml:space="preserve"> living in </w:t>
      </w:r>
      <w:r w:rsidR="002B7453">
        <w:t>urban settings</w:t>
      </w:r>
      <w:r>
        <w:t xml:space="preserve"> from 1970 to 2040.</w:t>
      </w:r>
    </w:p>
    <w:p w14:paraId="2C34CF57" w14:textId="1D9DA84C" w:rsidR="00D61D15" w:rsidRDefault="00D61D15" w:rsidP="003B7306">
      <w:pPr>
        <w:jc w:val="both"/>
      </w:pPr>
      <w:r>
        <w:t xml:space="preserve">Overall, it is evident that the </w:t>
      </w:r>
      <w:r w:rsidR="0060692C">
        <w:t>proportion of people living in urban areas</w:t>
      </w:r>
      <w:r>
        <w:t xml:space="preserve"> increas</w:t>
      </w:r>
      <w:r w:rsidR="0060692C">
        <w:t xml:space="preserve">ed </w:t>
      </w:r>
      <w:r>
        <w:t xml:space="preserve">in </w:t>
      </w:r>
      <w:r w:rsidR="0060692C">
        <w:t xml:space="preserve">all four </w:t>
      </w:r>
      <w:r>
        <w:t>targeted Asian countries over the period</w:t>
      </w:r>
      <w:r w:rsidR="0060692C">
        <w:t>, and Malaysia continuously had the highest percentage of urban population, whereas Indonesia showed very dramatic growth.</w:t>
      </w:r>
    </w:p>
    <w:p w14:paraId="316BAD1C" w14:textId="32A06050" w:rsidR="007D5A2D" w:rsidRDefault="002931D1" w:rsidP="003B7306">
      <w:pPr>
        <w:jc w:val="both"/>
      </w:pPr>
      <w:r w:rsidRPr="002931D1">
        <w:t>An analytical perspective highlights that</w:t>
      </w:r>
      <w:r w:rsidR="002B7453">
        <w:t xml:space="preserve">, </w:t>
      </w:r>
      <w:r w:rsidR="00D61D15">
        <w:t xml:space="preserve">Indonesia started at approximately 12% of </w:t>
      </w:r>
      <w:r>
        <w:t xml:space="preserve">the </w:t>
      </w:r>
      <w:r w:rsidR="00D61D15">
        <w:t>population living in major cities in 1970, while this rose dramatically from 2000 to 2040</w:t>
      </w:r>
      <w:r w:rsidR="002B7453">
        <w:t xml:space="preserve"> and in </w:t>
      </w:r>
      <w:r w:rsidR="007D5A2D">
        <w:t xml:space="preserve">the </w:t>
      </w:r>
      <w:r w:rsidR="002B7453">
        <w:t>end,</w:t>
      </w:r>
      <w:r w:rsidR="007D5A2D">
        <w:t xml:space="preserve"> it reached </w:t>
      </w:r>
      <w:r w:rsidR="001F100F">
        <w:t>6</w:t>
      </w:r>
      <w:r w:rsidR="007D5A2D">
        <w:t>0%.</w:t>
      </w:r>
      <w:r w:rsidR="00D61D15">
        <w:t xml:space="preserve"> Subsequently, Thailand had some fluctuation </w:t>
      </w:r>
      <w:r w:rsidR="000F252A">
        <w:t xml:space="preserve">with </w:t>
      </w:r>
      <w:r w:rsidR="00D61D15">
        <w:t>upward growth</w:t>
      </w:r>
      <w:r w:rsidR="007D5A2D">
        <w:t>, as it beg</w:t>
      </w:r>
      <w:r w:rsidR="009A3000">
        <w:t>a</w:t>
      </w:r>
      <w:r w:rsidR="007D5A2D">
        <w:t xml:space="preserve">n at 18% and climbed </w:t>
      </w:r>
      <w:r>
        <w:t>to</w:t>
      </w:r>
      <w:r w:rsidR="007D5A2D">
        <w:t xml:space="preserve"> 30% by the next two decades, meanwhile this remain</w:t>
      </w:r>
      <w:r>
        <w:t>ed</w:t>
      </w:r>
      <w:r w:rsidR="007D5A2D">
        <w:t xml:space="preserve"> </w:t>
      </w:r>
      <w:r w:rsidR="000F252A">
        <w:t>steady</w:t>
      </w:r>
      <w:r w:rsidR="007D5A2D">
        <w:t xml:space="preserve"> until 2000, </w:t>
      </w:r>
      <w:r w:rsidR="009A3000">
        <w:t xml:space="preserve">thereafter it </w:t>
      </w:r>
      <w:r w:rsidR="007D5A2D">
        <w:t>reached 54%.</w:t>
      </w:r>
    </w:p>
    <w:p w14:paraId="3CA9A160" w14:textId="6615E7A8" w:rsidR="007D5A2D" w:rsidRDefault="007D5A2D" w:rsidP="003B7306">
      <w:pPr>
        <w:jc w:val="both"/>
      </w:pPr>
      <w:r>
        <w:t xml:space="preserve">In addition to this, </w:t>
      </w:r>
      <w:r w:rsidR="002931D1">
        <w:t xml:space="preserve">the </w:t>
      </w:r>
      <w:r>
        <w:t xml:space="preserve">Philippines </w:t>
      </w:r>
      <w:r w:rsidR="002931D1">
        <w:t xml:space="preserve">was </w:t>
      </w:r>
      <w:r w:rsidR="003B437F">
        <w:t xml:space="preserve">relatively stable with small changes </w:t>
      </w:r>
      <w:r>
        <w:t xml:space="preserve">over the time frame. In the initial time period, it </w:t>
      </w:r>
      <w:r w:rsidR="003235F9">
        <w:t xml:space="preserve">rose sharply </w:t>
      </w:r>
      <w:r>
        <w:t xml:space="preserve">from about 31% to 50%, but later </w:t>
      </w:r>
      <w:r w:rsidR="003235F9">
        <w:t>it experienced instability</w:t>
      </w:r>
      <w:r w:rsidR="001F100F">
        <w:t xml:space="preserve">. At the penultimate stage, </w:t>
      </w:r>
      <w:r w:rsidR="003235F9" w:rsidRPr="003235F9">
        <w:t>Malaysia had an unprecedented transformation. In the beginning, 30% of people were living in metropolitan areas, but this trend kept growing and reached the top of the list with more than 80% of the population.</w:t>
      </w:r>
    </w:p>
    <w:p w14:paraId="7FA57762" w14:textId="77777777" w:rsidR="007D5A2D" w:rsidRDefault="007D5A2D" w:rsidP="003B7306">
      <w:pPr>
        <w:jc w:val="both"/>
      </w:pPr>
    </w:p>
    <w:sectPr w:rsidR="007D5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D15"/>
    <w:rsid w:val="000F252A"/>
    <w:rsid w:val="001F100F"/>
    <w:rsid w:val="002931D1"/>
    <w:rsid w:val="002B7453"/>
    <w:rsid w:val="002D23DB"/>
    <w:rsid w:val="003235F9"/>
    <w:rsid w:val="003B437F"/>
    <w:rsid w:val="003B7306"/>
    <w:rsid w:val="003F4B0A"/>
    <w:rsid w:val="0060692C"/>
    <w:rsid w:val="00616C08"/>
    <w:rsid w:val="007D5A2D"/>
    <w:rsid w:val="009A3000"/>
    <w:rsid w:val="00D61D15"/>
    <w:rsid w:val="00F4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AC61"/>
  <w15:chartTrackingRefBased/>
  <w15:docId w15:val="{B943C891-5355-45BA-BF29-A9FD08BC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16</cp:revision>
  <dcterms:created xsi:type="dcterms:W3CDTF">2025-09-09T18:10:00Z</dcterms:created>
  <dcterms:modified xsi:type="dcterms:W3CDTF">2025-09-09T20:14:00Z</dcterms:modified>
</cp:coreProperties>
</file>