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F172A"/>
          <w:sz w:val="36"/>
          <w:szCs w:val="36"/>
        </w:rPr>
        <w:t xml:space="preserve">UncertaCat: Dual-Model Clinical Retinal Cataract Screening</w:t>
      </w:r>
    </w:p>
    <w:p>
      <w:pPr>
        <w:spacing w:after="120" w:before="60"/>
        <w:jc w:val="center"/>
      </w:pPr>
      <w:r>
        <w:rPr>
          <w:b/>
          <w:bCs/>
          <w:color w:val="1E3A8A"/>
          <w:sz w:val="24"/>
          <w:szCs w:val="24"/>
        </w:rPr>
        <w:t xml:space="preserve">A Robust, Uncertainty-Aware, and Domain-Adaptive Deep Learning System for Multi-Hospital Tele-Ophthalmology</w:t>
      </w:r>
    </w:p>
    <w:p>
      <w:pPr>
        <w:spacing w:after="200" w:before="60"/>
        <w:jc w:val="center"/>
      </w:pPr>
      <w:r>
        <w:rPr>
          <w:i/>
          <w:iCs/>
          <w:color w:val="475569"/>
          <w:sz w:val="22"/>
          <w:szCs w:val="22"/>
        </w:rPr>
        <w:t xml:space="preserve">Comprehensive Technical Report, Empirical Validation Guide, and Defense Preparation Manual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shd w:fill="F1F5F9" w:val="clear"/>
            <w:tcMar>
              <w:top w:type="dxa" w:w="100"/>
              <w:left w:type="dxa" w:w="100"/>
              <w:bottom w:type="dxa" w:w="100"/>
              <w:right w:type="dxa" w:w="100"/>
            </w:tcMar>
          </w:tcPr>
          <w:p>
            <w:pPr>
              <w:jc w:val="left"/>
            </w:pPr>
            <w:r>
              <w:rPr>
                <w:b/>
                <w:bCs/>
                <w:color w:val="0F172A"/>
                <w:sz w:val="20"/>
                <w:szCs w:val="20"/>
              </w:rPr>
              <w:t xml:space="preserve">Project Metadata</w:t>
            </w:r>
          </w:p>
        </w:tc>
        <w:tc>
          <w:tcPr>
            <w:tcW w:type="dxa" w:w="4950"/>
            <w:shd w:fill="F1F5F9" w:val="clear"/>
            <w:tcMar>
              <w:top w:type="dxa" w:w="100"/>
              <w:left w:type="dxa" w:w="100"/>
              <w:bottom w:type="dxa" w:w="100"/>
              <w:right w:type="dxa" w:w="100"/>
            </w:tcMar>
          </w:tcPr>
          <w:p>
            <w:pPr>
              <w:jc w:val="left"/>
            </w:pPr>
            <w:r>
              <w:rPr>
                <w:b/>
                <w:bCs/>
                <w:color w:val="0F172A"/>
                <w:sz w:val="20"/>
                <w:szCs w:val="20"/>
              </w:rPr>
              <w:t xml:space="preserve">Resource / Reference</w:t>
            </w:r>
          </w:p>
        </w:tc>
      </w:tr>
      <w:tr>
        <w:tc>
          <w:tcPr>
            <w:tcW w:type="dxa" w:w="4950"/>
            <w:shd w:fill="FFFFFF" w:val="clear"/>
            <w:tcMar>
              <w:top w:type="dxa" w:w="80"/>
              <w:left w:type="dxa" w:w="100"/>
              <w:bottom w:type="dxa" w:w="80"/>
              <w:right w:type="dxa" w:w="100"/>
            </w:tcMar>
          </w:tcPr>
          <w:p>
            <w:pPr>
              <w:jc w:val="left"/>
            </w:pPr>
            <w:r>
              <w:rPr>
                <w:color w:val="1E293B"/>
                <w:sz w:val="19"/>
                <w:szCs w:val="19"/>
              </w:rPr>
              <w:t xml:space="preserve">Principal Authors</w:t>
            </w:r>
          </w:p>
        </w:tc>
        <w:tc>
          <w:tcPr>
            <w:tcW w:type="dxa" w:w="4950"/>
            <w:shd w:fill="FFFFFF" w:val="clear"/>
            <w:tcMar>
              <w:top w:type="dxa" w:w="80"/>
              <w:left w:type="dxa" w:w="100"/>
              <w:bottom w:type="dxa" w:w="80"/>
              <w:right w:type="dxa" w:w="100"/>
            </w:tcMar>
          </w:tcPr>
          <w:p>
            <w:pPr>
              <w:jc w:val="left"/>
            </w:pPr>
            <w:r>
              <w:rPr>
                <w:color w:val="1E293B"/>
                <w:sz w:val="19"/>
                <w:szCs w:val="19"/>
              </w:rPr>
              <w:t xml:space="preserve">Umar Iqbal &amp; Research Team</w:t>
            </w:r>
          </w:p>
        </w:tc>
      </w:tr>
      <w:tr>
        <w:tc>
          <w:tcPr>
            <w:tcW w:type="dxa" w:w="4950"/>
            <w:shd w:fill="F8FAFC" w:val="clear"/>
            <w:tcMar>
              <w:top w:type="dxa" w:w="80"/>
              <w:left w:type="dxa" w:w="100"/>
              <w:bottom w:type="dxa" w:w="80"/>
              <w:right w:type="dxa" w:w="100"/>
            </w:tcMar>
          </w:tcPr>
          <w:p>
            <w:pPr>
              <w:jc w:val="left"/>
            </w:pPr>
            <w:r>
              <w:rPr>
                <w:color w:val="1E293B"/>
                <w:sz w:val="19"/>
                <w:szCs w:val="19"/>
              </w:rPr>
              <w:t xml:space="preserve">Academic Scope</w:t>
            </w:r>
          </w:p>
        </w:tc>
        <w:tc>
          <w:tcPr>
            <w:tcW w:type="dxa" w:w="4950"/>
            <w:shd w:fill="F8FAFC" w:val="clear"/>
            <w:tcMar>
              <w:top w:type="dxa" w:w="80"/>
              <w:left w:type="dxa" w:w="100"/>
              <w:bottom w:type="dxa" w:w="80"/>
              <w:right w:type="dxa" w:w="100"/>
            </w:tcMar>
          </w:tcPr>
          <w:p>
            <w:pPr>
              <w:jc w:val="left"/>
            </w:pPr>
            <w:r>
              <w:rPr>
                <w:color w:val="1E293B"/>
                <w:sz w:val="19"/>
                <w:szCs w:val="19"/>
              </w:rPr>
              <w:t xml:space="preserve">Final Year Major Project / Capstone Research</w:t>
            </w:r>
          </w:p>
        </w:tc>
      </w:tr>
      <w:tr>
        <w:tc>
          <w:tcPr>
            <w:tcW w:type="dxa" w:w="4950"/>
            <w:shd w:fill="FFFFFF" w:val="clear"/>
            <w:tcMar>
              <w:top w:type="dxa" w:w="80"/>
              <w:left w:type="dxa" w:w="100"/>
              <w:bottom w:type="dxa" w:w="80"/>
              <w:right w:type="dxa" w:w="100"/>
            </w:tcMar>
          </w:tcPr>
          <w:p>
            <w:pPr>
              <w:jc w:val="left"/>
            </w:pPr>
            <w:r>
              <w:rPr>
                <w:color w:val="1E293B"/>
                <w:sz w:val="19"/>
                <w:szCs w:val="19"/>
              </w:rPr>
              <w:t xml:space="preserve">Live Production Web Application</w:t>
            </w:r>
          </w:p>
        </w:tc>
        <w:tc>
          <w:tcPr>
            <w:tcW w:type="dxa" w:w="4950"/>
            <w:shd w:fill="FFFFFF" w:val="clear"/>
            <w:tcMar>
              <w:top w:type="dxa" w:w="80"/>
              <w:left w:type="dxa" w:w="100"/>
              <w:bottom w:type="dxa" w:w="80"/>
              <w:right w:type="dxa" w:w="100"/>
            </w:tcMar>
          </w:tcPr>
          <w:p>
            <w:pPr>
              <w:jc w:val="left"/>
            </w:pPr>
            <w:r>
              <w:rPr>
                <w:color w:val="1E293B"/>
                <w:sz w:val="19"/>
                <w:szCs w:val="19"/>
              </w:rPr>
              <w:t xml:space="preserve">https://huggingface.co/spaces/UmarIqbal000/uncertacat-cataract-screening</w:t>
            </w:r>
          </w:p>
        </w:tc>
      </w:tr>
      <w:tr>
        <w:tc>
          <w:tcPr>
            <w:tcW w:type="dxa" w:w="4950"/>
            <w:shd w:fill="F8FAFC" w:val="clear"/>
            <w:tcMar>
              <w:top w:type="dxa" w:w="80"/>
              <w:left w:type="dxa" w:w="100"/>
              <w:bottom w:type="dxa" w:w="80"/>
              <w:right w:type="dxa" w:w="100"/>
            </w:tcMar>
          </w:tcPr>
          <w:p>
            <w:pPr>
              <w:jc w:val="left"/>
            </w:pPr>
            <w:r>
              <w:rPr>
                <w:color w:val="1E293B"/>
                <w:sz w:val="19"/>
                <w:szCs w:val="19"/>
              </w:rPr>
              <w:t xml:space="preserve">Source Code and Notebooks Repository</w:t>
            </w:r>
          </w:p>
        </w:tc>
        <w:tc>
          <w:tcPr>
            <w:tcW w:type="dxa" w:w="4950"/>
            <w:shd w:fill="F8FAFC" w:val="clear"/>
            <w:tcMar>
              <w:top w:type="dxa" w:w="80"/>
              <w:left w:type="dxa" w:w="100"/>
              <w:bottom w:type="dxa" w:w="80"/>
              <w:right w:type="dxa" w:w="100"/>
            </w:tcMar>
          </w:tcPr>
          <w:p>
            <w:pPr>
              <w:jc w:val="left"/>
            </w:pPr>
            <w:r>
              <w:rPr>
                <w:color w:val="1E293B"/>
                <w:sz w:val="19"/>
                <w:szCs w:val="19"/>
              </w:rPr>
              <w:t xml:space="preserve">https://github.com/UmarIqbal000/UncertaCat-Modules</w:t>
            </w:r>
          </w:p>
        </w:tc>
      </w:tr>
      <w:tr>
        <w:tc>
          <w:tcPr>
            <w:tcW w:type="dxa" w:w="4950"/>
            <w:shd w:fill="FFFFFF" w:val="clear"/>
            <w:tcMar>
              <w:top w:type="dxa" w:w="80"/>
              <w:left w:type="dxa" w:w="100"/>
              <w:bottom w:type="dxa" w:w="80"/>
              <w:right w:type="dxa" w:w="100"/>
            </w:tcMar>
          </w:tcPr>
          <w:p>
            <w:pPr>
              <w:jc w:val="left"/>
            </w:pPr>
            <w:r>
              <w:rPr>
                <w:color w:val="1E293B"/>
                <w:sz w:val="19"/>
                <w:szCs w:val="19"/>
              </w:rPr>
              <w:t xml:space="preserve">Google Drive Dataset Archive</w:t>
            </w:r>
          </w:p>
        </w:tc>
        <w:tc>
          <w:tcPr>
            <w:tcW w:type="dxa" w:w="4950"/>
            <w:shd w:fill="FFFFFF" w:val="clear"/>
            <w:tcMar>
              <w:top w:type="dxa" w:w="80"/>
              <w:left w:type="dxa" w:w="100"/>
              <w:bottom w:type="dxa" w:w="80"/>
              <w:right w:type="dxa" w:w="100"/>
            </w:tcMar>
          </w:tcPr>
          <w:p>
            <w:pPr>
              <w:jc w:val="left"/>
            </w:pPr>
            <w:r>
              <w:rPr>
                <w:color w:val="1E293B"/>
                <w:sz w:val="19"/>
                <w:szCs w:val="19"/>
              </w:rPr>
              <w:t xml:space="preserve">https://drive.google.com/drive/u/0/folders/1F9ZVb2mQkmq25Tbgqj_xSv2Wzz-bZf6C</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Executive Usage Notice</w:t>
            </w:r>
          </w:p>
          <w:p>
            <w:pPr>
              <w:spacing w:after="40" w:before="40" w:line="260"/>
            </w:pPr>
            <w:r>
              <w:rPr>
                <w:color w:val="334155"/>
                <w:sz w:val="21"/>
                <w:szCs w:val="21"/>
              </w:rPr>
              <w:t xml:space="preserve">This technical document provides a complete, step-by-step account of the medical problem, mathematical formulation, dataset engineering, evolutionary debugging across versions v1 to v6, empirical results, and oral defense answers. All figures and performance benchmarks are grounded in real experimental data.</w:t>
            </w:r>
          </w:p>
        </w:tc>
      </w:tr>
    </w:tbl>
    <w:p>
      <w:r>
        <w:br w:type="page"/>
      </w:r>
    </w:p>
    <w:p>
      <w:pPr>
        <w:pStyle w:val="Heading1"/>
        <w:pBdr>
          <w:bottom w:val="single" w:color="2563EB" w:sz="12"/>
        </w:pBdr>
        <w:spacing w:after="140" w:before="280"/>
      </w:pPr>
      <w:r>
        <w:rPr>
          <w:b/>
          <w:bCs/>
          <w:color w:val="0F172A"/>
          <w:sz w:val="32"/>
          <w:szCs w:val="32"/>
        </w:rPr>
        <w:t xml:space="preserve">1. Executive Summary and Clinical Motivation</w:t>
      </w:r>
    </w:p>
    <w:p>
      <w:pPr>
        <w:pStyle w:val="Heading2"/>
        <w:pBdr>
          <w:bottom w:val="single" w:color="CBD5E1" w:sz="6"/>
        </w:pBdr>
        <w:spacing w:after="120" w:before="240"/>
      </w:pPr>
      <w:r>
        <w:rPr>
          <w:b/>
          <w:bCs/>
          <w:color w:val="1E3A8A"/>
          <w:sz w:val="26"/>
          <w:szCs w:val="26"/>
        </w:rPr>
        <w:t xml:space="preserve">1.1 The Clinical Challenge: Preventable Global Blindness</w:t>
      </w:r>
    </w:p>
    <w:p>
      <w:pPr>
        <w:spacing w:after="100" w:before="100" w:line="280"/>
        <w:jc w:val="left"/>
      </w:pPr>
      <w:r>
        <w:rPr>
          <w:b w:val="false"/>
          <w:bCs w:val="false"/>
          <w:i w:val="false"/>
          <w:iCs w:val="false"/>
          <w:color w:val="1E293B"/>
          <w:sz w:val="22"/>
          <w:szCs w:val="22"/>
        </w:rPr>
        <w:t xml:space="preserve">Cataracts represent the primary cause of blindness and severe visual impairment worldwide, accounting for over 50 percent of blindness in low-income and middle-income regions. A cataract occurs when the crystalline lens of the human eye, normally transparent, develops protein aggregations that produce cloudy, opaque barriers to incoming light. This prevents sharp images from focusing on the retina.</w:t>
      </w:r>
    </w:p>
    <w:p>
      <w:pPr>
        <w:spacing w:after="100" w:before="100" w:line="280"/>
        <w:jc w:val="left"/>
      </w:pPr>
      <w:r>
        <w:rPr>
          <w:b w:val="false"/>
          <w:bCs w:val="false"/>
          <w:i w:val="false"/>
          <w:iCs w:val="false"/>
          <w:color w:val="1E293B"/>
          <w:sz w:val="22"/>
          <w:szCs w:val="22"/>
        </w:rPr>
        <w:t xml:space="preserve">The tragedy of cataract blindness is that it is entirely reversible. A standard, low-cost surgical procedure lasting only fifteen minutes can replace the opacified natural lens with an artificial intraocular lens (IOL), fully restoring patient sight. However, in rural and semi-urban communities, there is a severe shortage of trained ophthalmologists. While community clinics frequently have technicians capable of capturing digital color retinal fundus images, there are rarely on-site doctors to interpret these scans. As a result, millions of patients remain undiagnosed until vision loss becomes advanced.</w:t>
      </w:r>
    </w:p>
    <w:p>
      <w:pPr>
        <w:pStyle w:val="Heading2"/>
        <w:pBdr>
          <w:bottom w:val="single" w:color="CBD5E1" w:sz="6"/>
        </w:pBdr>
        <w:spacing w:after="120" w:before="240"/>
      </w:pPr>
      <w:r>
        <w:rPr>
          <w:b/>
          <w:bCs/>
          <w:color w:val="1E3A8A"/>
          <w:sz w:val="26"/>
          <w:szCs w:val="26"/>
        </w:rPr>
        <w:t xml:space="preserve">1.2 The Failure of Naive Medical AI: The Cross-Hospital Domain Gap</w:t>
      </w:r>
    </w:p>
    <w:p>
      <w:pPr>
        <w:spacing w:after="100" w:before="100" w:line="280"/>
        <w:jc w:val="left"/>
      </w:pPr>
      <w:r>
        <w:rPr>
          <w:b w:val="false"/>
          <w:bCs w:val="false"/>
          <w:i w:val="false"/>
          <w:iCs w:val="false"/>
          <w:color w:val="1E293B"/>
          <w:sz w:val="22"/>
          <w:szCs w:val="22"/>
        </w:rPr>
        <w:t xml:space="preserve">Standard deep learning classification models typically perform with high accuracy in controlled laboratory environments. However, when deployed across different medical institutions, these naive models frequently suffer from what clinicians call Silent Failure.</w:t>
      </w:r>
    </w:p>
    <w:p>
      <w:pPr>
        <w:spacing w:after="100" w:before="100" w:line="280"/>
        <w:jc w:val="left"/>
      </w:pPr>
      <w:r>
        <w:rPr>
          <w:b w:val="false"/>
          <w:bCs w:val="false"/>
          <w:i w:val="false"/>
          <w:iCs w:val="false"/>
          <w:color w:val="1E293B"/>
          <w:sz w:val="22"/>
          <w:szCs w:val="22"/>
        </w:rPr>
        <w:t xml:space="preserve">In ophthalmology, every hospital uses distinct retinal cameras (such as Topcon, Zeiss, Canon, or Kowa). Each camera model features different optical lenses, field-of-view apertures, sensor quantum efficiencies, and flash illumination angles. Furthermore, patient populations exhibit varied retinal pigmentation and disease severity distributions.</w:t>
      </w:r>
    </w:p>
    <w:p>
      <w:pPr>
        <w:spacing w:after="100" w:before="100" w:line="280"/>
        <w:jc w:val="left"/>
      </w:pPr>
      <w:r>
        <w:rPr>
          <w:b w:val="false"/>
          <w:bCs w:val="false"/>
          <w:i w:val="false"/>
          <w:iCs w:val="false"/>
          <w:color w:val="1E293B"/>
          <w:sz w:val="22"/>
          <w:szCs w:val="22"/>
        </w:rPr>
        <w:t xml:space="preserve">When an artificial intelligence model trained on data from one hospital (Source Domain) is tested on fundus photographs from another hospital (Target Domain) without adaptation:</w:t>
      </w:r>
    </w:p>
    <w:p>
      <w:pPr>
        <w:pStyle w:val="ListParagraph"/>
        <w:numPr>
          <w:ilvl w:val="0"/>
          <w:numId w:val="1"/>
        </w:numPr>
        <w:spacing w:after="60" w:before="60" w:line="260"/>
      </w:pPr>
      <w:r>
        <w:rPr>
          <w:b/>
          <w:bCs/>
          <w:color w:val="1E293B"/>
          <w:sz w:val="22"/>
          <w:szCs w:val="22"/>
        </w:rPr>
        <w:t xml:space="preserve">Clinical Sensitivity Collapses: </w:t>
      </w:r>
      <w:r>
        <w:rPr>
          <w:color w:val="334155"/>
          <w:sz w:val="22"/>
          <w:szCs w:val="22"/>
        </w:rPr>
        <w:t xml:space="preserve">In our direct experiments, zero-shot sensitivity dropped from 85.2 percent down to 53.8 percent. This means the model failed to detect nearly half of all true cataract cases.</w:t>
      </w:r>
    </w:p>
    <w:p>
      <w:pPr>
        <w:pStyle w:val="ListParagraph"/>
        <w:numPr>
          <w:ilvl w:val="0"/>
          <w:numId w:val="1"/>
        </w:numPr>
        <w:spacing w:after="60" w:before="60" w:line="260"/>
      </w:pPr>
      <w:r>
        <w:rPr>
          <w:b/>
          <w:bCs/>
          <w:color w:val="1E293B"/>
          <w:sz w:val="22"/>
          <w:szCs w:val="22"/>
        </w:rPr>
        <w:t xml:space="preserve">Dangerous Overconfidence: </w:t>
      </w:r>
      <w:r>
        <w:rPr>
          <w:color w:val="334155"/>
          <w:sz w:val="22"/>
          <w:szCs w:val="22"/>
        </w:rPr>
        <w:t xml:space="preserve">Naive models output false negative predictions with high artificial confidence, reassuring patients that their eyes are healthy when they actually have deteriorating cataracts.</w:t>
      </w:r>
    </w:p>
    <w:p>
      <w:pPr>
        <w:pStyle w:val="ListParagraph"/>
        <w:numPr>
          <w:ilvl w:val="0"/>
          <w:numId w:val="1"/>
        </w:numPr>
        <w:spacing w:after="60" w:before="60" w:line="260"/>
      </w:pPr>
      <w:r>
        <w:rPr>
          <w:b/>
          <w:bCs/>
          <w:color w:val="1E293B"/>
          <w:sz w:val="22"/>
          <w:szCs w:val="22"/>
        </w:rPr>
        <w:t xml:space="preserve">Absence of Doubt Signals: </w:t>
      </w:r>
      <w:r>
        <w:rPr>
          <w:color w:val="334155"/>
          <w:sz w:val="22"/>
          <w:szCs w:val="22"/>
        </w:rPr>
        <w:t xml:space="preserve">Standard softmax classifiers cannot express uncertainty. They treat an unseen, out-of-distribution camera artifact as a known pattern.</w:t>
      </w:r>
    </w:p>
    <w:p>
      <w:pPr>
        <w:pStyle w:val="Heading2"/>
        <w:pBdr>
          <w:bottom w:val="single" w:color="CBD5E1" w:sz="6"/>
        </w:pBdr>
        <w:spacing w:after="120" w:before="240"/>
      </w:pPr>
      <w:r>
        <w:rPr>
          <w:b/>
          <w:bCs/>
          <w:color w:val="1E3A8A"/>
          <w:sz w:val="26"/>
          <w:szCs w:val="26"/>
        </w:rPr>
        <w:t xml:space="preserve">1.3 The UncertaCat Solution</w:t>
      </w:r>
    </w:p>
    <w:p>
      <w:pPr>
        <w:spacing w:after="100" w:before="100" w:line="280"/>
        <w:jc w:val="left"/>
      </w:pPr>
      <w:r>
        <w:rPr>
          <w:b w:val="false"/>
          <w:bCs w:val="false"/>
          <w:i w:val="false"/>
          <w:iCs w:val="false"/>
          <w:color w:val="1E293B"/>
          <w:sz w:val="22"/>
          <w:szCs w:val="22"/>
        </w:rPr>
        <w:t xml:space="preserve">To resolve these systemic clinical failures, our project developed UncertaCat, an end-to-end framework featuring:</w:t>
      </w:r>
    </w:p>
    <w:p>
      <w:pPr>
        <w:pStyle w:val="ListParagraph"/>
        <w:numPr>
          <w:ilvl w:val="0"/>
          <w:numId w:val="1"/>
        </w:numPr>
        <w:spacing w:after="60" w:before="60" w:line="260"/>
      </w:pPr>
      <w:r>
        <w:rPr>
          <w:b/>
          <w:bCs/>
          <w:color w:val="1E293B"/>
          <w:sz w:val="22"/>
          <w:szCs w:val="22"/>
        </w:rPr>
        <w:t xml:space="preserve">1. Optical Standardization Pipeline: </w:t>
      </w:r>
      <w:r>
        <w:rPr>
          <w:color w:val="334155"/>
          <w:sz w:val="22"/>
          <w:szCs w:val="22"/>
        </w:rPr>
        <w:t xml:space="preserve">Preprocessing that eliminates camera boundary shortcuts and homogenizes non-uniform illumination across diverse camera optics.</w:t>
      </w:r>
    </w:p>
    <w:p>
      <w:pPr>
        <w:pStyle w:val="ListParagraph"/>
        <w:numPr>
          <w:ilvl w:val="0"/>
          <w:numId w:val="1"/>
        </w:numPr>
        <w:spacing w:after="60" w:before="60" w:line="260"/>
      </w:pPr>
      <w:r>
        <w:rPr>
          <w:b/>
          <w:bCs/>
          <w:color w:val="1E293B"/>
          <w:sz w:val="22"/>
          <w:szCs w:val="22"/>
        </w:rPr>
        <w:t xml:space="preserve">2. Multi-Task Deep Backbone: </w:t>
      </w:r>
      <w:r>
        <w:rPr>
          <w:color w:val="334155"/>
          <w:sz w:val="22"/>
          <w:szCs w:val="22"/>
        </w:rPr>
        <w:t xml:space="preserve">A DenseNet-121 architecture predicting both binary cataract classification and a continuous lens opacification severity score.</w:t>
      </w:r>
    </w:p>
    <w:p>
      <w:pPr>
        <w:pStyle w:val="ListParagraph"/>
        <w:numPr>
          <w:ilvl w:val="0"/>
          <w:numId w:val="1"/>
        </w:numPr>
        <w:spacing w:after="60" w:before="60" w:line="260"/>
      </w:pPr>
      <w:r>
        <w:rPr>
          <w:b/>
          <w:bCs/>
          <w:color w:val="1E293B"/>
          <w:sz w:val="22"/>
          <w:szCs w:val="22"/>
        </w:rPr>
        <w:t xml:space="preserve">3. Epistemic Uncertainty Quantification: </w:t>
      </w:r>
      <w:r>
        <w:rPr>
          <w:color w:val="334155"/>
          <w:sz w:val="22"/>
          <w:szCs w:val="22"/>
        </w:rPr>
        <w:t xml:space="preserve">Monte Carlo Dropout sampling at inference time to compute predictive variance (sigma), enabling the system to quantify its own uncertainty.</w:t>
      </w:r>
    </w:p>
    <w:p>
      <w:pPr>
        <w:pStyle w:val="ListParagraph"/>
        <w:numPr>
          <w:ilvl w:val="0"/>
          <w:numId w:val="1"/>
        </w:numPr>
        <w:spacing w:after="60" w:before="60" w:line="260"/>
      </w:pPr>
      <w:r>
        <w:rPr>
          <w:b/>
          <w:bCs/>
          <w:color w:val="1E293B"/>
          <w:sz w:val="22"/>
          <w:szCs w:val="22"/>
        </w:rPr>
        <w:t xml:space="preserve">4. Two-Stage Unsupervised Hospital Domain Adaptation: </w:t>
      </w:r>
      <w:r>
        <w:rPr>
          <w:color w:val="334155"/>
          <w:sz w:val="22"/>
          <w:szCs w:val="22"/>
        </w:rPr>
        <w:t xml:space="preserve">Aligning second-order feature statistics via CORAL and refining boundaries with target pseudo-labels, completely without requiring ground-truth labels from the target hospital.</w:t>
      </w:r>
    </w:p>
    <w:p>
      <w:pPr>
        <w:pStyle w:val="ListParagraph"/>
        <w:numPr>
          <w:ilvl w:val="0"/>
          <w:numId w:val="1"/>
        </w:numPr>
        <w:spacing w:after="60" w:before="60" w:line="260"/>
      </w:pPr>
      <w:r>
        <w:rPr>
          <w:b/>
          <w:bCs/>
          <w:color w:val="1E293B"/>
          <w:sz w:val="22"/>
          <w:szCs w:val="22"/>
        </w:rPr>
        <w:t xml:space="preserve">5. Automated Clinical Safety Referrals: </w:t>
      </w:r>
      <w:r>
        <w:rPr>
          <w:color w:val="334155"/>
          <w:sz w:val="22"/>
          <w:szCs w:val="22"/>
        </w:rPr>
        <w:t xml:space="preserve">An automated triage system that routes highly uncertain scans directly to specialist slit-lamp biomicroscopy, preventing silent misdiagnoses.</w:t>
      </w:r>
    </w:p>
    <w:p>
      <w:r>
        <w:br w:type="page"/>
      </w:r>
    </w:p>
    <w:p>
      <w:pPr>
        <w:pStyle w:val="Heading1"/>
        <w:pBdr>
          <w:bottom w:val="single" w:color="2563EB" w:sz="12"/>
        </w:pBdr>
        <w:spacing w:after="140" w:before="280"/>
      </w:pPr>
      <w:r>
        <w:rPr>
          <w:b/>
          <w:bCs/>
          <w:color w:val="0F172A"/>
          <w:sz w:val="32"/>
          <w:szCs w:val="32"/>
        </w:rPr>
        <w:t xml:space="preserve">2. Multi-Source Dataset Curation and Deduplication</w:t>
      </w:r>
    </w:p>
    <w:p>
      <w:pPr>
        <w:spacing w:after="100" w:before="100" w:line="280"/>
        <w:jc w:val="left"/>
      </w:pPr>
      <w:r>
        <w:rPr>
          <w:b w:val="false"/>
          <w:bCs w:val="false"/>
          <w:i w:val="false"/>
          <w:iCs w:val="false"/>
          <w:color w:val="1E293B"/>
          <w:sz w:val="22"/>
          <w:szCs w:val="22"/>
        </w:rPr>
        <w:t xml:space="preserve">A core achievement of this project was the construction of a diverse, multi-center benchmark dataset. Rather than relying on a single clean dataset, we aggregated and harmonized five distinct medical repositories.</w:t>
      </w:r>
    </w:p>
    <w:p>
      <w:pPr>
        <w:pStyle w:val="Heading2"/>
        <w:pBdr>
          <w:bottom w:val="single" w:color="CBD5E1" w:sz="6"/>
        </w:pBdr>
        <w:spacing w:after="120" w:before="240"/>
      </w:pPr>
      <w:r>
        <w:rPr>
          <w:b/>
          <w:bCs/>
          <w:color w:val="1E3A8A"/>
          <w:sz w:val="26"/>
          <w:szCs w:val="26"/>
        </w:rPr>
        <w:t xml:space="preserve">2.1 Consolidated Cohort Breakdown (5,179 Total Curated Scans)</w:t>
      </w:r>
    </w:p>
    <w:p>
      <w:pPr>
        <w:spacing w:after="100" w:before="100" w:line="280"/>
        <w:jc w:val="left"/>
      </w:pPr>
      <w:r>
        <w:rPr>
          <w:b w:val="false"/>
          <w:bCs w:val="false"/>
          <w:i w:val="false"/>
          <w:iCs w:val="false"/>
          <w:color w:val="1E293B"/>
          <w:sz w:val="22"/>
          <w:szCs w:val="22"/>
        </w:rPr>
        <w:t xml:space="preserve">All raw fundus images and standardized metadata are archived on Google Drive: https://drive.google.com/drive/u/0/folders/1F9ZVb2mQkmq25Tbgqj_xSv2Wzz-bZf6C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2000"/>
        <w:gridCol w:w="900"/>
        <w:gridCol w:w="800"/>
        <w:gridCol w:w="800"/>
        <w:gridCol w:w="1500"/>
        <w:gridCol w:w="2200"/>
      </w:tblGrid>
      <w:tr>
        <w:trPr>
          <w:tblHeader/>
        </w:trPr>
        <w:tc>
          <w:tcPr>
            <w:tcW w:type="dxa" w:w="400"/>
            <w:shd w:fill="F1F5F9" w:val="clear"/>
            <w:tcMar>
              <w:top w:type="dxa" w:w="100"/>
              <w:left w:type="dxa" w:w="100"/>
              <w:bottom w:type="dxa" w:w="100"/>
              <w:right w:type="dxa" w:w="100"/>
            </w:tcMar>
          </w:tcPr>
          <w:p>
            <w:pPr>
              <w:jc w:val="left"/>
            </w:pPr>
            <w:r>
              <w:rPr>
                <w:b/>
                <w:bCs/>
                <w:color w:val="0F172A"/>
                <w:sz w:val="20"/>
                <w:szCs w:val="20"/>
              </w:rPr>
              <w:t xml:space="preserve">#</w:t>
            </w:r>
          </w:p>
        </w:tc>
        <w:tc>
          <w:tcPr>
            <w:tcW w:type="dxa" w:w="1300"/>
            <w:shd w:fill="F1F5F9" w:val="clear"/>
            <w:tcMar>
              <w:top w:type="dxa" w:w="100"/>
              <w:left w:type="dxa" w:w="100"/>
              <w:bottom w:type="dxa" w:w="100"/>
              <w:right w:type="dxa" w:w="100"/>
            </w:tcMar>
          </w:tcPr>
          <w:p>
            <w:pPr>
              <w:jc w:val="left"/>
            </w:pPr>
            <w:r>
              <w:rPr>
                <w:b/>
                <w:bCs/>
                <w:color w:val="0F172A"/>
                <w:sz w:val="20"/>
                <w:szCs w:val="20"/>
              </w:rPr>
              <w:t xml:space="preserve">Dataset Name</w:t>
            </w:r>
          </w:p>
        </w:tc>
        <w:tc>
          <w:tcPr>
            <w:tcW w:type="dxa" w:w="2000"/>
            <w:shd w:fill="F1F5F9" w:val="clear"/>
            <w:tcMar>
              <w:top w:type="dxa" w:w="100"/>
              <w:left w:type="dxa" w:w="100"/>
              <w:bottom w:type="dxa" w:w="100"/>
              <w:right w:type="dxa" w:w="100"/>
            </w:tcMar>
          </w:tcPr>
          <w:p>
            <w:pPr>
              <w:jc w:val="left"/>
            </w:pPr>
            <w:r>
              <w:rPr>
                <w:b/>
                <w:bCs/>
                <w:color w:val="0F172A"/>
                <w:sz w:val="20"/>
                <w:szCs w:val="20"/>
              </w:rPr>
              <w:t xml:space="preserve">Repository Source</w:t>
            </w:r>
          </w:p>
        </w:tc>
        <w:tc>
          <w:tcPr>
            <w:tcW w:type="dxa" w:w="900"/>
            <w:shd w:fill="F1F5F9" w:val="clear"/>
            <w:tcMar>
              <w:top w:type="dxa" w:w="100"/>
              <w:left w:type="dxa" w:w="100"/>
              <w:bottom w:type="dxa" w:w="100"/>
              <w:right w:type="dxa" w:w="100"/>
            </w:tcMar>
          </w:tcPr>
          <w:p>
            <w:pPr>
              <w:jc w:val="left"/>
            </w:pPr>
            <w:r>
              <w:rPr>
                <w:b/>
                <w:bCs/>
                <w:color w:val="0F172A"/>
                <w:sz w:val="20"/>
                <w:szCs w:val="20"/>
              </w:rPr>
              <w:t xml:space="preserve">Scans</w:t>
            </w:r>
          </w:p>
        </w:tc>
        <w:tc>
          <w:tcPr>
            <w:tcW w:type="dxa" w:w="800"/>
            <w:shd w:fill="F1F5F9" w:val="clear"/>
            <w:tcMar>
              <w:top w:type="dxa" w:w="100"/>
              <w:left w:type="dxa" w:w="100"/>
              <w:bottom w:type="dxa" w:w="100"/>
              <w:right w:type="dxa" w:w="100"/>
            </w:tcMar>
          </w:tcPr>
          <w:p>
            <w:pPr>
              <w:jc w:val="left"/>
            </w:pPr>
            <w:r>
              <w:rPr>
                <w:b/>
                <w:bCs/>
                <w:color w:val="0F172A"/>
                <w:sz w:val="20"/>
                <w:szCs w:val="20"/>
              </w:rPr>
              <w:t xml:space="preserve">Cataract</w:t>
            </w:r>
          </w:p>
        </w:tc>
        <w:tc>
          <w:tcPr>
            <w:tcW w:type="dxa" w:w="800"/>
            <w:shd w:fill="F1F5F9" w:val="clear"/>
            <w:tcMar>
              <w:top w:type="dxa" w:w="100"/>
              <w:left w:type="dxa" w:w="100"/>
              <w:bottom w:type="dxa" w:w="100"/>
              <w:right w:type="dxa" w:w="100"/>
            </w:tcMar>
          </w:tcPr>
          <w:p>
            <w:pPr>
              <w:jc w:val="left"/>
            </w:pPr>
            <w:r>
              <w:rPr>
                <w:b/>
                <w:bCs/>
                <w:color w:val="0F172A"/>
                <w:sz w:val="20"/>
                <w:szCs w:val="20"/>
              </w:rPr>
              <w:t xml:space="preserve">Normal</w:t>
            </w:r>
          </w:p>
        </w:tc>
        <w:tc>
          <w:tcPr>
            <w:tcW w:type="dxa" w:w="1500"/>
            <w:shd w:fill="F1F5F9" w:val="clear"/>
            <w:tcMar>
              <w:top w:type="dxa" w:w="100"/>
              <w:left w:type="dxa" w:w="100"/>
              <w:bottom w:type="dxa" w:w="100"/>
              <w:right w:type="dxa" w:w="100"/>
            </w:tcMar>
          </w:tcPr>
          <w:p>
            <w:pPr>
              <w:jc w:val="left"/>
            </w:pPr>
            <w:r>
              <w:rPr>
                <w:b/>
                <w:bCs/>
                <w:color w:val="0F172A"/>
                <w:sz w:val="20"/>
                <w:szCs w:val="20"/>
              </w:rPr>
              <w:t xml:space="preserve">Assigned Split</w:t>
            </w:r>
          </w:p>
        </w:tc>
        <w:tc>
          <w:tcPr>
            <w:tcW w:type="dxa" w:w="2200"/>
            <w:shd w:fill="F1F5F9" w:val="clear"/>
            <w:tcMar>
              <w:top w:type="dxa" w:w="100"/>
              <w:left w:type="dxa" w:w="100"/>
              <w:bottom w:type="dxa" w:w="100"/>
              <w:right w:type="dxa" w:w="100"/>
            </w:tcMar>
          </w:tcPr>
          <w:p>
            <w:pPr>
              <w:jc w:val="left"/>
            </w:pPr>
            <w:r>
              <w:rPr>
                <w:b/>
                <w:bCs/>
                <w:color w:val="0F172A"/>
                <w:sz w:val="20"/>
                <w:szCs w:val="20"/>
              </w:rPr>
              <w:t xml:space="preserve">Clinical Role</w:t>
            </w:r>
          </w:p>
        </w:tc>
      </w:tr>
      <w:tr>
        <w:tc>
          <w:tcPr>
            <w:tcW w:type="dxa" w:w="400"/>
            <w:shd w:fill="FFFFFF" w:val="clear"/>
            <w:tcMar>
              <w:top w:type="dxa" w:w="80"/>
              <w:left w:type="dxa" w:w="100"/>
              <w:bottom w:type="dxa" w:w="80"/>
              <w:right w:type="dxa" w:w="100"/>
            </w:tcMar>
          </w:tcPr>
          <w:p>
            <w:pPr>
              <w:jc w:val="left"/>
            </w:pPr>
            <w:r>
              <w:rPr>
                <w:color w:val="1E293B"/>
                <w:sz w:val="19"/>
                <w:szCs w:val="19"/>
              </w:rPr>
              <w:t xml:space="preserve">1</w:t>
            </w:r>
          </w:p>
        </w:tc>
        <w:tc>
          <w:tcPr>
            <w:tcW w:type="dxa" w:w="1300"/>
            <w:shd w:fill="FFFFFF" w:val="clear"/>
            <w:tcMar>
              <w:top w:type="dxa" w:w="80"/>
              <w:left w:type="dxa" w:w="100"/>
              <w:bottom w:type="dxa" w:w="80"/>
              <w:right w:type="dxa" w:w="100"/>
            </w:tcMar>
          </w:tcPr>
          <w:p>
            <w:pPr>
              <w:jc w:val="left"/>
            </w:pPr>
            <w:r>
              <w:rPr>
                <w:color w:val="1E293B"/>
                <w:sz w:val="19"/>
                <w:szCs w:val="19"/>
              </w:rPr>
              <w:t xml:space="preserve">ODIR-5K</w:t>
            </w:r>
          </w:p>
        </w:tc>
        <w:tc>
          <w:tcPr>
            <w:tcW w:type="dxa" w:w="2000"/>
            <w:shd w:fill="FFFFFF" w:val="clear"/>
            <w:tcMar>
              <w:top w:type="dxa" w:w="80"/>
              <w:left w:type="dxa" w:w="100"/>
              <w:bottom w:type="dxa" w:w="80"/>
              <w:right w:type="dxa" w:w="100"/>
            </w:tcMar>
          </w:tcPr>
          <w:p>
            <w:pPr>
              <w:jc w:val="left"/>
            </w:pPr>
            <w:r>
              <w:rPr>
                <w:color w:val="1E293B"/>
                <w:sz w:val="19"/>
                <w:szCs w:val="19"/>
              </w:rPr>
              <w:t xml:space="preserve">Kaggle: andrewmvd/ocular-disease-recognition-odir5k</w:t>
            </w:r>
          </w:p>
        </w:tc>
        <w:tc>
          <w:tcPr>
            <w:tcW w:type="dxa" w:w="900"/>
            <w:shd w:fill="FFFFFF" w:val="clear"/>
            <w:tcMar>
              <w:top w:type="dxa" w:w="80"/>
              <w:left w:type="dxa" w:w="100"/>
              <w:bottom w:type="dxa" w:w="80"/>
              <w:right w:type="dxa" w:w="100"/>
            </w:tcMar>
          </w:tcPr>
          <w:p>
            <w:pPr>
              <w:jc w:val="left"/>
            </w:pPr>
            <w:r>
              <w:rPr>
                <w:color w:val="1E293B"/>
                <w:sz w:val="19"/>
                <w:szCs w:val="19"/>
              </w:rPr>
              <w:t xml:space="preserve">2,163</w:t>
            </w:r>
          </w:p>
        </w:tc>
        <w:tc>
          <w:tcPr>
            <w:tcW w:type="dxa" w:w="800"/>
            <w:shd w:fill="FFFFFF" w:val="clear"/>
            <w:tcMar>
              <w:top w:type="dxa" w:w="80"/>
              <w:left w:type="dxa" w:w="100"/>
              <w:bottom w:type="dxa" w:w="80"/>
              <w:right w:type="dxa" w:w="100"/>
            </w:tcMar>
          </w:tcPr>
          <w:p>
            <w:pPr>
              <w:jc w:val="left"/>
            </w:pPr>
            <w:r>
              <w:rPr>
                <w:color w:val="1E293B"/>
                <w:sz w:val="19"/>
                <w:szCs w:val="19"/>
              </w:rPr>
              <w:t xml:space="preserve">391</w:t>
            </w:r>
          </w:p>
        </w:tc>
        <w:tc>
          <w:tcPr>
            <w:tcW w:type="dxa" w:w="800"/>
            <w:shd w:fill="FFFFFF" w:val="clear"/>
            <w:tcMar>
              <w:top w:type="dxa" w:w="80"/>
              <w:left w:type="dxa" w:w="100"/>
              <w:bottom w:type="dxa" w:w="80"/>
              <w:right w:type="dxa" w:w="100"/>
            </w:tcMar>
          </w:tcPr>
          <w:p>
            <w:pPr>
              <w:jc w:val="left"/>
            </w:pPr>
            <w:r>
              <w:rPr>
                <w:color w:val="1E293B"/>
                <w:sz w:val="19"/>
                <w:szCs w:val="19"/>
              </w:rPr>
              <w:t xml:space="preserve">1,772</w:t>
            </w:r>
          </w:p>
        </w:tc>
        <w:tc>
          <w:tcPr>
            <w:tcW w:type="dxa" w:w="1500"/>
            <w:shd w:fill="FFFFFF" w:val="clear"/>
            <w:tcMar>
              <w:top w:type="dxa" w:w="80"/>
              <w:left w:type="dxa" w:w="100"/>
              <w:bottom w:type="dxa" w:w="80"/>
              <w:right w:type="dxa" w:w="100"/>
            </w:tcMar>
          </w:tcPr>
          <w:p>
            <w:pPr>
              <w:jc w:val="left"/>
            </w:pPr>
            <w:r>
              <w:rPr>
                <w:color w:val="1E293B"/>
                <w:sz w:val="19"/>
                <w:szCs w:val="19"/>
              </w:rPr>
              <w:t xml:space="preserve">Train: 1,492
Val: 331
Test: 340</w:t>
            </w:r>
          </w:p>
        </w:tc>
        <w:tc>
          <w:tcPr>
            <w:tcW w:type="dxa" w:w="2200"/>
            <w:shd w:fill="FFFFFF" w:val="clear"/>
            <w:tcMar>
              <w:top w:type="dxa" w:w="80"/>
              <w:left w:type="dxa" w:w="100"/>
              <w:bottom w:type="dxa" w:w="80"/>
              <w:right w:type="dxa" w:w="100"/>
            </w:tcMar>
          </w:tcPr>
          <w:p>
            <w:pPr>
              <w:jc w:val="left"/>
            </w:pPr>
            <w:r>
              <w:rPr>
                <w:color w:val="1E293B"/>
                <w:sz w:val="19"/>
                <w:szCs w:val="19"/>
              </w:rPr>
              <w:t xml:space="preserve">Primary Source Training Cohort (Zeiss, Canon, Topcon) with expert double-annotated labels.</w:t>
            </w:r>
          </w:p>
        </w:tc>
      </w:tr>
      <w:tr>
        <w:tc>
          <w:tcPr>
            <w:tcW w:type="dxa" w:w="400"/>
            <w:shd w:fill="F8FAFC" w:val="clear"/>
            <w:tcMar>
              <w:top w:type="dxa" w:w="80"/>
              <w:left w:type="dxa" w:w="100"/>
              <w:bottom w:type="dxa" w:w="80"/>
              <w:right w:type="dxa" w:w="100"/>
            </w:tcMar>
          </w:tcPr>
          <w:p>
            <w:pPr>
              <w:jc w:val="left"/>
            </w:pPr>
            <w:r>
              <w:rPr>
                <w:color w:val="1E293B"/>
                <w:sz w:val="19"/>
                <w:szCs w:val="19"/>
              </w:rPr>
              <w:t xml:space="preserve">2</w:t>
            </w:r>
          </w:p>
        </w:tc>
        <w:tc>
          <w:tcPr>
            <w:tcW w:type="dxa" w:w="1300"/>
            <w:shd w:fill="F8FAFC" w:val="clear"/>
            <w:tcMar>
              <w:top w:type="dxa" w:w="80"/>
              <w:left w:type="dxa" w:w="100"/>
              <w:bottom w:type="dxa" w:w="80"/>
              <w:right w:type="dxa" w:w="100"/>
            </w:tcMar>
          </w:tcPr>
          <w:p>
            <w:pPr>
              <w:jc w:val="left"/>
            </w:pPr>
            <w:r>
              <w:rPr>
                <w:color w:val="1E293B"/>
                <w:sz w:val="19"/>
                <w:szCs w:val="19"/>
              </w:rPr>
              <w:t xml:space="preserve">EyeDiseases</w:t>
            </w:r>
          </w:p>
        </w:tc>
        <w:tc>
          <w:tcPr>
            <w:tcW w:type="dxa" w:w="2000"/>
            <w:shd w:fill="F8FAFC" w:val="clear"/>
            <w:tcMar>
              <w:top w:type="dxa" w:w="80"/>
              <w:left w:type="dxa" w:w="100"/>
              <w:bottom w:type="dxa" w:w="80"/>
              <w:right w:type="dxa" w:w="100"/>
            </w:tcMar>
          </w:tcPr>
          <w:p>
            <w:pPr>
              <w:jc w:val="left"/>
            </w:pPr>
            <w:r>
              <w:rPr>
                <w:color w:val="1E293B"/>
                <w:sz w:val="19"/>
                <w:szCs w:val="19"/>
              </w:rPr>
              <w:t xml:space="preserve">Kaggle: gunavenkatdoddi/eye-diseases-classification</w:t>
            </w:r>
          </w:p>
        </w:tc>
        <w:tc>
          <w:tcPr>
            <w:tcW w:type="dxa" w:w="900"/>
            <w:shd w:fill="F8FAFC" w:val="clear"/>
            <w:tcMar>
              <w:top w:type="dxa" w:w="80"/>
              <w:left w:type="dxa" w:w="100"/>
              <w:bottom w:type="dxa" w:w="80"/>
              <w:right w:type="dxa" w:w="100"/>
            </w:tcMar>
          </w:tcPr>
          <w:p>
            <w:pPr>
              <w:jc w:val="left"/>
            </w:pPr>
            <w:r>
              <w:rPr>
                <w:color w:val="1E293B"/>
                <w:sz w:val="19"/>
                <w:szCs w:val="19"/>
              </w:rPr>
              <w:t xml:space="preserve">1,779</w:t>
            </w:r>
          </w:p>
        </w:tc>
        <w:tc>
          <w:tcPr>
            <w:tcW w:type="dxa" w:w="800"/>
            <w:shd w:fill="F8FAFC" w:val="clear"/>
            <w:tcMar>
              <w:top w:type="dxa" w:w="80"/>
              <w:left w:type="dxa" w:w="100"/>
              <w:bottom w:type="dxa" w:w="80"/>
              <w:right w:type="dxa" w:w="100"/>
            </w:tcMar>
          </w:tcPr>
          <w:p>
            <w:pPr>
              <w:jc w:val="left"/>
            </w:pPr>
            <w:r>
              <w:rPr>
                <w:color w:val="1E293B"/>
                <w:sz w:val="19"/>
                <w:szCs w:val="19"/>
              </w:rPr>
              <w:t xml:space="preserve">837</w:t>
            </w:r>
          </w:p>
        </w:tc>
        <w:tc>
          <w:tcPr>
            <w:tcW w:type="dxa" w:w="800"/>
            <w:shd w:fill="F8FAFC" w:val="clear"/>
            <w:tcMar>
              <w:top w:type="dxa" w:w="80"/>
              <w:left w:type="dxa" w:w="100"/>
              <w:bottom w:type="dxa" w:w="80"/>
              <w:right w:type="dxa" w:w="100"/>
            </w:tcMar>
          </w:tcPr>
          <w:p>
            <w:pPr>
              <w:jc w:val="left"/>
            </w:pPr>
            <w:r>
              <w:rPr>
                <w:color w:val="1E293B"/>
                <w:sz w:val="19"/>
                <w:szCs w:val="19"/>
              </w:rPr>
              <w:t xml:space="preserve">942</w:t>
            </w:r>
          </w:p>
        </w:tc>
        <w:tc>
          <w:tcPr>
            <w:tcW w:type="dxa" w:w="1500"/>
            <w:shd w:fill="F8FAFC" w:val="clear"/>
            <w:tcMar>
              <w:top w:type="dxa" w:w="80"/>
              <w:left w:type="dxa" w:w="100"/>
              <w:bottom w:type="dxa" w:w="80"/>
              <w:right w:type="dxa" w:w="100"/>
            </w:tcMar>
          </w:tcPr>
          <w:p>
            <w:pPr>
              <w:jc w:val="left"/>
            </w:pPr>
            <w:r>
              <w:rPr>
                <w:color w:val="1E293B"/>
                <w:sz w:val="19"/>
                <w:szCs w:val="19"/>
              </w:rPr>
              <w:t xml:space="preserve">Train: 1,261
Val: 255
Test: 263</w:t>
            </w:r>
          </w:p>
        </w:tc>
        <w:tc>
          <w:tcPr>
            <w:tcW w:type="dxa" w:w="2200"/>
            <w:shd w:fill="F8FAFC" w:val="clear"/>
            <w:tcMar>
              <w:top w:type="dxa" w:w="80"/>
              <w:left w:type="dxa" w:w="100"/>
              <w:bottom w:type="dxa" w:w="80"/>
              <w:right w:type="dxa" w:w="100"/>
            </w:tcMar>
          </w:tcPr>
          <w:p>
            <w:pPr>
              <w:jc w:val="left"/>
            </w:pPr>
            <w:r>
              <w:rPr>
                <w:color w:val="1E293B"/>
                <w:sz w:val="19"/>
                <w:szCs w:val="19"/>
              </w:rPr>
              <w:t xml:space="preserve">In-Domain Scaling &amp; Balancing for expanding feature variance across opacification stages.</w:t>
            </w:r>
          </w:p>
        </w:tc>
      </w:tr>
      <w:tr>
        <w:tc>
          <w:tcPr>
            <w:tcW w:type="dxa" w:w="400"/>
            <w:shd w:fill="FFFFFF" w:val="clear"/>
            <w:tcMar>
              <w:top w:type="dxa" w:w="80"/>
              <w:left w:type="dxa" w:w="100"/>
              <w:bottom w:type="dxa" w:w="80"/>
              <w:right w:type="dxa" w:w="100"/>
            </w:tcMar>
          </w:tcPr>
          <w:p>
            <w:pPr>
              <w:jc w:val="left"/>
            </w:pPr>
            <w:r>
              <w:rPr>
                <w:color w:val="1E293B"/>
                <w:sz w:val="19"/>
                <w:szCs w:val="19"/>
              </w:rPr>
              <w:t xml:space="preserve">3</w:t>
            </w:r>
          </w:p>
        </w:tc>
        <w:tc>
          <w:tcPr>
            <w:tcW w:type="dxa" w:w="1300"/>
            <w:shd w:fill="FFFFFF" w:val="clear"/>
            <w:tcMar>
              <w:top w:type="dxa" w:w="80"/>
              <w:left w:type="dxa" w:w="100"/>
              <w:bottom w:type="dxa" w:w="80"/>
              <w:right w:type="dxa" w:w="100"/>
            </w:tcMar>
          </w:tcPr>
          <w:p>
            <w:pPr>
              <w:jc w:val="left"/>
            </w:pPr>
            <w:r>
              <w:rPr>
                <w:color w:val="1E293B"/>
                <w:sz w:val="19"/>
                <w:szCs w:val="19"/>
              </w:rPr>
              <w:t xml:space="preserve">RFMiD</w:t>
            </w:r>
          </w:p>
        </w:tc>
        <w:tc>
          <w:tcPr>
            <w:tcW w:type="dxa" w:w="2000"/>
            <w:shd w:fill="FFFFFF" w:val="clear"/>
            <w:tcMar>
              <w:top w:type="dxa" w:w="80"/>
              <w:left w:type="dxa" w:w="100"/>
              <w:bottom w:type="dxa" w:w="80"/>
              <w:right w:type="dxa" w:w="100"/>
            </w:tcMar>
          </w:tcPr>
          <w:p>
            <w:pPr>
              <w:jc w:val="left"/>
            </w:pPr>
            <w:r>
              <w:rPr>
                <w:color w:val="1E293B"/>
                <w:sz w:val="19"/>
                <w:szCs w:val="19"/>
              </w:rPr>
              <w:t xml:space="preserve">Kaggle: andrewmvd/retinal-disease-classification</w:t>
            </w:r>
          </w:p>
        </w:tc>
        <w:tc>
          <w:tcPr>
            <w:tcW w:type="dxa" w:w="900"/>
            <w:shd w:fill="FFFFFF" w:val="clear"/>
            <w:tcMar>
              <w:top w:type="dxa" w:w="80"/>
              <w:left w:type="dxa" w:w="100"/>
              <w:bottom w:type="dxa" w:w="80"/>
              <w:right w:type="dxa" w:w="100"/>
            </w:tcMar>
          </w:tcPr>
          <w:p>
            <w:pPr>
              <w:jc w:val="left"/>
            </w:pPr>
            <w:r>
              <w:rPr>
                <w:color w:val="1E293B"/>
                <w:sz w:val="19"/>
                <w:szCs w:val="19"/>
              </w:rPr>
              <w:t xml:space="preserve">869</w:t>
            </w:r>
          </w:p>
        </w:tc>
        <w:tc>
          <w:tcPr>
            <w:tcW w:type="dxa" w:w="800"/>
            <w:shd w:fill="FFFFFF" w:val="clear"/>
            <w:tcMar>
              <w:top w:type="dxa" w:w="80"/>
              <w:left w:type="dxa" w:w="100"/>
              <w:bottom w:type="dxa" w:w="80"/>
              <w:right w:type="dxa" w:w="100"/>
            </w:tcMar>
          </w:tcPr>
          <w:p>
            <w:pPr>
              <w:jc w:val="left"/>
            </w:pPr>
            <w:r>
              <w:rPr>
                <w:color w:val="1E293B"/>
                <w:sz w:val="19"/>
                <w:szCs w:val="19"/>
              </w:rPr>
              <w:t xml:space="preserve">398</w:t>
            </w:r>
          </w:p>
        </w:tc>
        <w:tc>
          <w:tcPr>
            <w:tcW w:type="dxa" w:w="800"/>
            <w:shd w:fill="FFFFFF" w:val="clear"/>
            <w:tcMar>
              <w:top w:type="dxa" w:w="80"/>
              <w:left w:type="dxa" w:w="100"/>
              <w:bottom w:type="dxa" w:w="80"/>
              <w:right w:type="dxa" w:w="100"/>
            </w:tcMar>
          </w:tcPr>
          <w:p>
            <w:pPr>
              <w:jc w:val="left"/>
            </w:pPr>
            <w:r>
              <w:rPr>
                <w:color w:val="1E293B"/>
                <w:sz w:val="19"/>
                <w:szCs w:val="19"/>
              </w:rPr>
              <w:t xml:space="preserve">471</w:t>
            </w:r>
          </w:p>
        </w:tc>
        <w:tc>
          <w:tcPr>
            <w:tcW w:type="dxa" w:w="1500"/>
            <w:shd w:fill="FFFFFF" w:val="clear"/>
            <w:tcMar>
              <w:top w:type="dxa" w:w="80"/>
              <w:left w:type="dxa" w:w="100"/>
              <w:bottom w:type="dxa" w:w="80"/>
              <w:right w:type="dxa" w:w="100"/>
            </w:tcMar>
          </w:tcPr>
          <w:p>
            <w:pPr>
              <w:jc w:val="left"/>
            </w:pPr>
            <w:r>
              <w:rPr>
                <w:color w:val="1E293B"/>
                <w:sz w:val="19"/>
                <w:szCs w:val="19"/>
              </w:rPr>
              <w:t xml:space="preserve">Ext Holdout: 869</w:t>
            </w:r>
          </w:p>
        </w:tc>
        <w:tc>
          <w:tcPr>
            <w:tcW w:type="dxa" w:w="2200"/>
            <w:shd w:fill="FFFFFF" w:val="clear"/>
            <w:tcMar>
              <w:top w:type="dxa" w:w="80"/>
              <w:left w:type="dxa" w:w="100"/>
              <w:bottom w:type="dxa" w:w="80"/>
              <w:right w:type="dxa" w:w="100"/>
            </w:tcMar>
          </w:tcPr>
          <w:p>
            <w:pPr>
              <w:jc w:val="left"/>
            </w:pPr>
            <w:r>
              <w:rPr>
                <w:color w:val="1E293B"/>
                <w:sz w:val="19"/>
                <w:szCs w:val="19"/>
              </w:rPr>
              <w:t xml:space="preserve">100% Held-Out External Hospital Benchmark (Topcon TRC-NW8) for zero-shot vs adapted testing.</w:t>
            </w:r>
          </w:p>
        </w:tc>
      </w:tr>
      <w:tr>
        <w:tc>
          <w:tcPr>
            <w:tcW w:type="dxa" w:w="400"/>
            <w:shd w:fill="F8FAFC" w:val="clear"/>
            <w:tcMar>
              <w:top w:type="dxa" w:w="80"/>
              <w:left w:type="dxa" w:w="100"/>
              <w:bottom w:type="dxa" w:w="80"/>
              <w:right w:type="dxa" w:w="100"/>
            </w:tcMar>
          </w:tcPr>
          <w:p>
            <w:pPr>
              <w:jc w:val="left"/>
            </w:pPr>
            <w:r>
              <w:rPr>
                <w:color w:val="1E293B"/>
                <w:sz w:val="19"/>
                <w:szCs w:val="19"/>
              </w:rPr>
              <w:t xml:space="preserve">4</w:t>
            </w:r>
          </w:p>
        </w:tc>
        <w:tc>
          <w:tcPr>
            <w:tcW w:type="dxa" w:w="1300"/>
            <w:shd w:fill="F8FAFC" w:val="clear"/>
            <w:tcMar>
              <w:top w:type="dxa" w:w="80"/>
              <w:left w:type="dxa" w:w="100"/>
              <w:bottom w:type="dxa" w:w="80"/>
              <w:right w:type="dxa" w:w="100"/>
            </w:tcMar>
          </w:tcPr>
          <w:p>
            <w:pPr>
              <w:jc w:val="left"/>
            </w:pPr>
            <w:r>
              <w:rPr>
                <w:color w:val="1E293B"/>
                <w:sz w:val="19"/>
                <w:szCs w:val="19"/>
              </w:rPr>
              <w:t xml:space="preserve">CataractDataset</w:t>
            </w:r>
          </w:p>
        </w:tc>
        <w:tc>
          <w:tcPr>
            <w:tcW w:type="dxa" w:w="2000"/>
            <w:shd w:fill="F8FAFC" w:val="clear"/>
            <w:tcMar>
              <w:top w:type="dxa" w:w="80"/>
              <w:left w:type="dxa" w:w="100"/>
              <w:bottom w:type="dxa" w:w="80"/>
              <w:right w:type="dxa" w:w="100"/>
            </w:tcMar>
          </w:tcPr>
          <w:p>
            <w:pPr>
              <w:jc w:val="left"/>
            </w:pPr>
            <w:r>
              <w:rPr>
                <w:color w:val="1E293B"/>
                <w:sz w:val="19"/>
                <w:szCs w:val="19"/>
              </w:rPr>
              <w:t xml:space="preserve">Kaggle: jr2ngb/cataractdataset</w:t>
            </w:r>
          </w:p>
        </w:tc>
        <w:tc>
          <w:tcPr>
            <w:tcW w:type="dxa" w:w="900"/>
            <w:shd w:fill="F8FAFC" w:val="clear"/>
            <w:tcMar>
              <w:top w:type="dxa" w:w="80"/>
              <w:left w:type="dxa" w:w="100"/>
              <w:bottom w:type="dxa" w:w="80"/>
              <w:right w:type="dxa" w:w="100"/>
            </w:tcMar>
          </w:tcPr>
          <w:p>
            <w:pPr>
              <w:jc w:val="left"/>
            </w:pPr>
            <w:r>
              <w:rPr>
                <w:color w:val="1E293B"/>
                <w:sz w:val="19"/>
                <w:szCs w:val="19"/>
              </w:rPr>
              <w:t xml:space="preserve">223</w:t>
            </w:r>
          </w:p>
        </w:tc>
        <w:tc>
          <w:tcPr>
            <w:tcW w:type="dxa" w:w="800"/>
            <w:shd w:fill="F8FAFC" w:val="clear"/>
            <w:tcMar>
              <w:top w:type="dxa" w:w="80"/>
              <w:left w:type="dxa" w:w="100"/>
              <w:bottom w:type="dxa" w:w="80"/>
              <w:right w:type="dxa" w:w="100"/>
            </w:tcMar>
          </w:tcPr>
          <w:p>
            <w:pPr>
              <w:jc w:val="left"/>
            </w:pPr>
            <w:r>
              <w:rPr>
                <w:color w:val="1E293B"/>
                <w:sz w:val="19"/>
                <w:szCs w:val="19"/>
              </w:rPr>
              <w:t xml:space="preserve">0</w:t>
            </w:r>
          </w:p>
        </w:tc>
        <w:tc>
          <w:tcPr>
            <w:tcW w:type="dxa" w:w="800"/>
            <w:shd w:fill="F8FAFC" w:val="clear"/>
            <w:tcMar>
              <w:top w:type="dxa" w:w="80"/>
              <w:left w:type="dxa" w:w="100"/>
              <w:bottom w:type="dxa" w:w="80"/>
              <w:right w:type="dxa" w:w="100"/>
            </w:tcMar>
          </w:tcPr>
          <w:p>
            <w:pPr>
              <w:jc w:val="left"/>
            </w:pPr>
            <w:r>
              <w:rPr>
                <w:color w:val="1E293B"/>
                <w:sz w:val="19"/>
                <w:szCs w:val="19"/>
              </w:rPr>
              <w:t xml:space="preserve">223</w:t>
            </w:r>
          </w:p>
        </w:tc>
        <w:tc>
          <w:tcPr>
            <w:tcW w:type="dxa" w:w="1500"/>
            <w:shd w:fill="F8FAFC" w:val="clear"/>
            <w:tcMar>
              <w:top w:type="dxa" w:w="80"/>
              <w:left w:type="dxa" w:w="100"/>
              <w:bottom w:type="dxa" w:w="80"/>
              <w:right w:type="dxa" w:w="100"/>
            </w:tcMar>
          </w:tcPr>
          <w:p>
            <w:pPr>
              <w:jc w:val="left"/>
            </w:pPr>
            <w:r>
              <w:rPr>
                <w:color w:val="1E293B"/>
                <w:sz w:val="19"/>
                <w:szCs w:val="19"/>
              </w:rPr>
              <w:t xml:space="preserve">Train: 140
Val: 45
Test: 38</w:t>
            </w:r>
          </w:p>
        </w:tc>
        <w:tc>
          <w:tcPr>
            <w:tcW w:type="dxa" w:w="2200"/>
            <w:shd w:fill="F8FAFC" w:val="clear"/>
            <w:tcMar>
              <w:top w:type="dxa" w:w="80"/>
              <w:left w:type="dxa" w:w="100"/>
              <w:bottom w:type="dxa" w:w="80"/>
              <w:right w:type="dxa" w:w="100"/>
            </w:tcMar>
          </w:tcPr>
          <w:p>
            <w:pPr>
              <w:jc w:val="left"/>
            </w:pPr>
            <w:r>
              <w:rPr>
                <w:color w:val="1E293B"/>
                <w:sz w:val="19"/>
                <w:szCs w:val="19"/>
              </w:rPr>
              <w:t xml:space="preserve">Normal Optic Baseline Balancing to ensure high specificity on non-cataractous eyes.</w:t>
            </w:r>
          </w:p>
        </w:tc>
      </w:tr>
      <w:tr>
        <w:tc>
          <w:tcPr>
            <w:tcW w:type="dxa" w:w="400"/>
            <w:shd w:fill="FFFFFF" w:val="clear"/>
            <w:tcMar>
              <w:top w:type="dxa" w:w="80"/>
              <w:left w:type="dxa" w:w="100"/>
              <w:bottom w:type="dxa" w:w="80"/>
              <w:right w:type="dxa" w:w="100"/>
            </w:tcMar>
          </w:tcPr>
          <w:p>
            <w:pPr>
              <w:jc w:val="left"/>
            </w:pPr>
            <w:r>
              <w:rPr>
                <w:color w:val="1E293B"/>
                <w:sz w:val="19"/>
                <w:szCs w:val="19"/>
              </w:rPr>
              <w:t xml:space="preserve">5</w:t>
            </w:r>
          </w:p>
        </w:tc>
        <w:tc>
          <w:tcPr>
            <w:tcW w:type="dxa" w:w="1300"/>
            <w:shd w:fill="FFFFFF" w:val="clear"/>
            <w:tcMar>
              <w:top w:type="dxa" w:w="80"/>
              <w:left w:type="dxa" w:w="100"/>
              <w:bottom w:type="dxa" w:w="80"/>
              <w:right w:type="dxa" w:w="100"/>
            </w:tcMar>
          </w:tcPr>
          <w:p>
            <w:pPr>
              <w:jc w:val="left"/>
            </w:pPr>
            <w:r>
              <w:rPr>
                <w:color w:val="1E293B"/>
                <w:sz w:val="19"/>
                <w:szCs w:val="19"/>
              </w:rPr>
              <w:t xml:space="preserve">CSDI</w:t>
            </w:r>
          </w:p>
        </w:tc>
        <w:tc>
          <w:tcPr>
            <w:tcW w:type="dxa" w:w="2000"/>
            <w:shd w:fill="FFFFFF" w:val="clear"/>
            <w:tcMar>
              <w:top w:type="dxa" w:w="80"/>
              <w:left w:type="dxa" w:w="100"/>
              <w:bottom w:type="dxa" w:w="80"/>
              <w:right w:type="dxa" w:w="100"/>
            </w:tcMar>
          </w:tcPr>
          <w:p>
            <w:pPr>
              <w:jc w:val="left"/>
            </w:pPr>
            <w:r>
              <w:rPr>
                <w:color w:val="1E293B"/>
                <w:sz w:val="19"/>
                <w:szCs w:val="19"/>
              </w:rPr>
              <w:t xml:space="preserve">Hugging Face: RainyNight/CSDI</w:t>
            </w:r>
          </w:p>
        </w:tc>
        <w:tc>
          <w:tcPr>
            <w:tcW w:type="dxa" w:w="900"/>
            <w:shd w:fill="FFFFFF" w:val="clear"/>
            <w:tcMar>
              <w:top w:type="dxa" w:w="80"/>
              <w:left w:type="dxa" w:w="100"/>
              <w:bottom w:type="dxa" w:w="80"/>
              <w:right w:type="dxa" w:w="100"/>
            </w:tcMar>
          </w:tcPr>
          <w:p>
            <w:pPr>
              <w:jc w:val="left"/>
            </w:pPr>
            <w:r>
              <w:rPr>
                <w:color w:val="1E293B"/>
                <w:sz w:val="19"/>
                <w:szCs w:val="19"/>
              </w:rPr>
              <w:t xml:space="preserve">145</w:t>
            </w:r>
          </w:p>
        </w:tc>
        <w:tc>
          <w:tcPr>
            <w:tcW w:type="dxa" w:w="800"/>
            <w:shd w:fill="FFFFFF" w:val="clear"/>
            <w:tcMar>
              <w:top w:type="dxa" w:w="80"/>
              <w:left w:type="dxa" w:w="100"/>
              <w:bottom w:type="dxa" w:w="80"/>
              <w:right w:type="dxa" w:w="100"/>
            </w:tcMar>
          </w:tcPr>
          <w:p>
            <w:pPr>
              <w:jc w:val="left"/>
            </w:pPr>
            <w:r>
              <w:rPr>
                <w:color w:val="1E293B"/>
                <w:sz w:val="19"/>
                <w:szCs w:val="19"/>
              </w:rPr>
              <w:t xml:space="preserve">143</w:t>
            </w:r>
          </w:p>
        </w:tc>
        <w:tc>
          <w:tcPr>
            <w:tcW w:type="dxa" w:w="800"/>
            <w:shd w:fill="FFFFFF" w:val="clear"/>
            <w:tcMar>
              <w:top w:type="dxa" w:w="80"/>
              <w:left w:type="dxa" w:w="100"/>
              <w:bottom w:type="dxa" w:w="80"/>
              <w:right w:type="dxa" w:w="100"/>
            </w:tcMar>
          </w:tcPr>
          <w:p>
            <w:pPr>
              <w:jc w:val="left"/>
            </w:pPr>
            <w:r>
              <w:rPr>
                <w:color w:val="1E293B"/>
                <w:sz w:val="19"/>
                <w:szCs w:val="19"/>
              </w:rPr>
              <w:t xml:space="preserve">2</w:t>
            </w:r>
          </w:p>
        </w:tc>
        <w:tc>
          <w:tcPr>
            <w:tcW w:type="dxa" w:w="1500"/>
            <w:shd w:fill="FFFFFF" w:val="clear"/>
            <w:tcMar>
              <w:top w:type="dxa" w:w="80"/>
              <w:left w:type="dxa" w:w="100"/>
              <w:bottom w:type="dxa" w:w="80"/>
              <w:right w:type="dxa" w:w="100"/>
            </w:tcMar>
          </w:tcPr>
          <w:p>
            <w:pPr>
              <w:jc w:val="left"/>
            </w:pPr>
            <w:r>
              <w:rPr>
                <w:color w:val="1E293B"/>
                <w:sz w:val="19"/>
                <w:szCs w:val="19"/>
              </w:rPr>
              <w:t xml:space="preserve">Train: 109
Val: 17
Test: 19</w:t>
            </w:r>
          </w:p>
        </w:tc>
        <w:tc>
          <w:tcPr>
            <w:tcW w:type="dxa" w:w="2200"/>
            <w:shd w:fill="FFFFFF" w:val="clear"/>
            <w:tcMar>
              <w:top w:type="dxa" w:w="80"/>
              <w:left w:type="dxa" w:w="100"/>
              <w:bottom w:type="dxa" w:w="80"/>
              <w:right w:type="dxa" w:w="100"/>
            </w:tcMar>
          </w:tcPr>
          <w:p>
            <w:pPr>
              <w:jc w:val="left"/>
            </w:pPr>
            <w:r>
              <w:rPr>
                <w:color w:val="1E293B"/>
                <w:sz w:val="19"/>
                <w:szCs w:val="19"/>
              </w:rPr>
              <w:t xml:space="preserve">Multi-Task Continuous Severity Ground Truth (0.0% to 100.0% opacification grades).</w:t>
            </w:r>
          </w:p>
        </w:tc>
      </w:tr>
      <w:tr>
        <w:tc>
          <w:tcPr>
            <w:tcW w:type="dxa" w:w="400"/>
            <w:shd w:fill="F8FAFC" w:val="clear"/>
            <w:tcMar>
              <w:top w:type="dxa" w:w="80"/>
              <w:left w:type="dxa" w:w="100"/>
              <w:bottom w:type="dxa" w:w="80"/>
              <w:right w:type="dxa" w:w="100"/>
            </w:tcMar>
          </w:tcPr>
          <w:p>
            <w:pPr>
              <w:jc w:val="left"/>
            </w:pPr>
            <w:r>
              <w:rPr>
                <w:color w:val="1E293B"/>
                <w:sz w:val="19"/>
                <w:szCs w:val="19"/>
              </w:rPr>
              <w:t xml:space="preserve">ALL</w:t>
            </w:r>
          </w:p>
        </w:tc>
        <w:tc>
          <w:tcPr>
            <w:tcW w:type="dxa" w:w="1300"/>
            <w:shd w:fill="F8FAFC" w:val="clear"/>
            <w:tcMar>
              <w:top w:type="dxa" w:w="80"/>
              <w:left w:type="dxa" w:w="100"/>
              <w:bottom w:type="dxa" w:w="80"/>
              <w:right w:type="dxa" w:w="100"/>
            </w:tcMar>
          </w:tcPr>
          <w:p>
            <w:pPr>
              <w:jc w:val="left"/>
            </w:pPr>
            <w:r>
              <w:rPr>
                <w:color w:val="1E293B"/>
                <w:sz w:val="19"/>
                <w:szCs w:val="19"/>
              </w:rPr>
              <w:t xml:space="preserve">CONSOLIDATED</w:t>
            </w:r>
          </w:p>
        </w:tc>
        <w:tc>
          <w:tcPr>
            <w:tcW w:type="dxa" w:w="2000"/>
            <w:shd w:fill="F8FAFC" w:val="clear"/>
            <w:tcMar>
              <w:top w:type="dxa" w:w="80"/>
              <w:left w:type="dxa" w:w="100"/>
              <w:bottom w:type="dxa" w:w="80"/>
              <w:right w:type="dxa" w:w="100"/>
            </w:tcMar>
          </w:tcPr>
          <w:p>
            <w:pPr>
              <w:jc w:val="left"/>
            </w:pPr>
            <w:r>
              <w:rPr>
                <w:color w:val="1E293B"/>
                <w:sz w:val="19"/>
                <w:szCs w:val="19"/>
              </w:rPr>
              <w:t xml:space="preserve">5 Curated Ophthalmology Repositories</w:t>
            </w:r>
          </w:p>
        </w:tc>
        <w:tc>
          <w:tcPr>
            <w:tcW w:type="dxa" w:w="900"/>
            <w:shd w:fill="F8FAFC" w:val="clear"/>
            <w:tcMar>
              <w:top w:type="dxa" w:w="80"/>
              <w:left w:type="dxa" w:w="100"/>
              <w:bottom w:type="dxa" w:w="80"/>
              <w:right w:type="dxa" w:w="100"/>
            </w:tcMar>
          </w:tcPr>
          <w:p>
            <w:pPr>
              <w:jc w:val="left"/>
            </w:pPr>
            <w:r>
              <w:rPr>
                <w:color w:val="1E293B"/>
                <w:sz w:val="19"/>
                <w:szCs w:val="19"/>
              </w:rPr>
              <w:t xml:space="preserve">5,179</w:t>
            </w:r>
          </w:p>
        </w:tc>
        <w:tc>
          <w:tcPr>
            <w:tcW w:type="dxa" w:w="800"/>
            <w:shd w:fill="F8FAFC" w:val="clear"/>
            <w:tcMar>
              <w:top w:type="dxa" w:w="80"/>
              <w:left w:type="dxa" w:w="100"/>
              <w:bottom w:type="dxa" w:w="80"/>
              <w:right w:type="dxa" w:w="100"/>
            </w:tcMar>
          </w:tcPr>
          <w:p>
            <w:pPr>
              <w:jc w:val="left"/>
            </w:pPr>
            <w:r>
              <w:rPr>
                <w:color w:val="1E293B"/>
                <w:sz w:val="19"/>
                <w:szCs w:val="19"/>
              </w:rPr>
              <w:t xml:space="preserve">1,769</w:t>
            </w:r>
          </w:p>
        </w:tc>
        <w:tc>
          <w:tcPr>
            <w:tcW w:type="dxa" w:w="800"/>
            <w:shd w:fill="F8FAFC" w:val="clear"/>
            <w:tcMar>
              <w:top w:type="dxa" w:w="80"/>
              <w:left w:type="dxa" w:w="100"/>
              <w:bottom w:type="dxa" w:w="80"/>
              <w:right w:type="dxa" w:w="100"/>
            </w:tcMar>
          </w:tcPr>
          <w:p>
            <w:pPr>
              <w:jc w:val="left"/>
            </w:pPr>
            <w:r>
              <w:rPr>
                <w:color w:val="1E293B"/>
                <w:sz w:val="19"/>
                <w:szCs w:val="19"/>
              </w:rPr>
              <w:t xml:space="preserve">3,410</w:t>
            </w:r>
          </w:p>
        </w:tc>
        <w:tc>
          <w:tcPr>
            <w:tcW w:type="dxa" w:w="1500"/>
            <w:shd w:fill="F8FAFC" w:val="clear"/>
            <w:tcMar>
              <w:top w:type="dxa" w:w="80"/>
              <w:left w:type="dxa" w:w="100"/>
              <w:bottom w:type="dxa" w:w="80"/>
              <w:right w:type="dxa" w:w="100"/>
            </w:tcMar>
          </w:tcPr>
          <w:p>
            <w:pPr>
              <w:jc w:val="left"/>
            </w:pPr>
            <w:r>
              <w:rPr>
                <w:color w:val="1E293B"/>
                <w:sz w:val="19"/>
                <w:szCs w:val="19"/>
              </w:rPr>
              <w:t xml:space="preserve">Train: 3,002
Val: 648
Test: 660
Ext: 869</w:t>
            </w:r>
          </w:p>
        </w:tc>
        <w:tc>
          <w:tcPr>
            <w:tcW w:type="dxa" w:w="2200"/>
            <w:shd w:fill="F8FAFC" w:val="clear"/>
            <w:tcMar>
              <w:top w:type="dxa" w:w="80"/>
              <w:left w:type="dxa" w:w="100"/>
              <w:bottom w:type="dxa" w:w="80"/>
              <w:right w:type="dxa" w:w="100"/>
            </w:tcMar>
          </w:tcPr>
          <w:p>
            <w:pPr>
              <w:jc w:val="left"/>
            </w:pPr>
            <w:r>
              <w:rPr>
                <w:color w:val="1E293B"/>
                <w:sz w:val="19"/>
                <w:szCs w:val="19"/>
              </w:rPr>
              <w:t xml:space="preserve">Full End-to-End Curated Cohort with zero data leakage across patient splits.</w:t>
            </w:r>
          </w:p>
        </w:tc>
      </w:tr>
    </w:tbl>
    <w:p>
      <w:pPr>
        <w:pStyle w:val="Heading2"/>
        <w:pBdr>
          <w:bottom w:val="single" w:color="CBD5E1" w:sz="6"/>
        </w:pBdr>
        <w:spacing w:after="120" w:before="240"/>
      </w:pPr>
      <w:r>
        <w:rPr>
          <w:b/>
          <w:bCs/>
          <w:color w:val="1E3A8A"/>
          <w:sz w:val="26"/>
          <w:szCs w:val="26"/>
        </w:rPr>
        <w:t xml:space="preserve">2.2 Eliminating Data Leakage: Patient Bilateral Correlation</w:t>
      </w:r>
    </w:p>
    <w:p>
      <w:pPr>
        <w:spacing w:after="100" w:before="100" w:line="280"/>
        <w:jc w:val="left"/>
      </w:pPr>
      <w:r>
        <w:rPr>
          <w:b w:val="false"/>
          <w:bCs w:val="false"/>
          <w:i w:val="false"/>
          <w:iCs w:val="false"/>
          <w:color w:val="1E293B"/>
          <w:sz w:val="22"/>
          <w:szCs w:val="22"/>
        </w:rPr>
        <w:t xml:space="preserve">In clinical practice, patients undergo imaging for both eyes (Left Eye / OS and Right Eye / OD). If patient identifiers are ignored, an algorithm can easily place a patient's left eye in the training set and their right eye in the test set.</w:t>
      </w:r>
    </w:p>
    <w:p>
      <w:pPr>
        <w:spacing w:after="100" w:before="100" w:line="280"/>
        <w:jc w:val="left"/>
      </w:pPr>
      <w:r>
        <w:rPr>
          <w:b w:val="false"/>
          <w:bCs w:val="false"/>
          <w:i w:val="false"/>
          <w:iCs w:val="false"/>
          <w:color w:val="1E293B"/>
          <w:sz w:val="22"/>
          <w:szCs w:val="22"/>
        </w:rPr>
        <w:t xml:space="preserve">Because both retinas of the same individual share identical systemic vascular patterns, optic disc structures, and genetic pigmentation, the neural network memorizes patient identity rather than learning generalized disease features. In version v1 of our model, this exact flaw produced an artificially inflated internal AUC of 0.984, which collapsed when tested on genuine external patients. To fix this permanently:</w:t>
      </w:r>
    </w:p>
    <w:p>
      <w:pPr>
        <w:pStyle w:val="ListParagraph"/>
        <w:numPr>
          <w:ilvl w:val="0"/>
          <w:numId w:val="1"/>
        </w:numPr>
        <w:spacing w:after="60" w:before="60" w:line="260"/>
      </w:pPr>
      <w:r>
        <w:rPr>
          <w:b/>
          <w:bCs/>
          <w:color w:val="1E293B"/>
          <w:sz w:val="22"/>
          <w:szCs w:val="22"/>
        </w:rPr>
        <w:t xml:space="preserve">Patient-Aware Grouping: </w:t>
      </w:r>
      <w:r>
        <w:rPr>
          <w:color w:val="334155"/>
          <w:sz w:val="22"/>
          <w:szCs w:val="22"/>
        </w:rPr>
        <w:t xml:space="preserve">All splits in metadata.csv group left and right eyes under the same patient identifier, ensuring zero intra-patient leakage across splits.</w:t>
      </w:r>
    </w:p>
    <w:p>
      <w:pPr>
        <w:pStyle w:val="ListParagraph"/>
        <w:numPr>
          <w:ilvl w:val="0"/>
          <w:numId w:val="1"/>
        </w:numPr>
        <w:spacing w:after="60" w:before="60" w:line="260"/>
      </w:pPr>
      <w:r>
        <w:rPr>
          <w:b/>
          <w:bCs/>
          <w:color w:val="1E293B"/>
          <w:sz w:val="22"/>
          <w:szCs w:val="22"/>
        </w:rPr>
        <w:t xml:space="preserve">Perceptual Difference Hashing (dHash): </w:t>
      </w:r>
      <w:r>
        <w:rPr>
          <w:color w:val="334155"/>
          <w:sz w:val="22"/>
          <w:szCs w:val="22"/>
        </w:rPr>
        <w:t xml:space="preserve">To guard against mirrored or duplicate uploads across open-source Kaggle datasets, we computed 64-bit difference hashes for all 5,179 images. Pairs with a Hamming distance under 2 were flagged and removed.</w:t>
      </w:r>
    </w:p>
    <w:p>
      <w:r>
        <w:br w:type="page"/>
      </w:r>
    </w:p>
    <w:p>
      <w:pPr>
        <w:pStyle w:val="Heading1"/>
        <w:pBdr>
          <w:bottom w:val="single" w:color="2563EB" w:sz="12"/>
        </w:pBdr>
        <w:spacing w:after="140" w:before="280"/>
      </w:pPr>
      <w:r>
        <w:rPr>
          <w:b/>
          <w:bCs/>
          <w:color w:val="0F172A"/>
          <w:sz w:val="32"/>
          <w:szCs w:val="32"/>
        </w:rPr>
        <w:t xml:space="preserve">3. Image Preprocessing and Optical Standardization Pipeline</w:t>
      </w:r>
    </w:p>
    <w:p>
      <w:pPr>
        <w:spacing w:after="100" w:before="100" w:line="280"/>
        <w:jc w:val="left"/>
      </w:pPr>
      <w:r>
        <w:rPr>
          <w:b w:val="false"/>
          <w:bCs w:val="false"/>
          <w:i w:val="false"/>
          <w:iCs w:val="false"/>
          <w:color w:val="1E293B"/>
          <w:sz w:val="22"/>
          <w:szCs w:val="22"/>
        </w:rPr>
        <w:t xml:space="preserve">One of the most critical discoveries in this project was that raw fundus photographs contain optical artifacts that cause deep learning networks to cheat. Different camera manufacturers produce distinct black circular masks, peripheral dark borders, and vignette shadows. In early versions, our networks learned to associate specific black border shapes with positive cataract labels.</w:t>
      </w:r>
    </w:p>
    <w:p>
      <w:pPr>
        <w:pStyle w:val="Heading2"/>
        <w:pBdr>
          <w:bottom w:val="single" w:color="CBD5E1" w:sz="6"/>
        </w:pBdr>
        <w:spacing w:after="120" w:before="240"/>
      </w:pPr>
      <w:r>
        <w:rPr>
          <w:b/>
          <w:bCs/>
          <w:color w:val="1E3A8A"/>
          <w:sz w:val="26"/>
          <w:szCs w:val="26"/>
        </w:rPr>
        <w:t xml:space="preserve">3.1 The Five-Step Optical Harmonization Pipeline</w:t>
      </w:r>
    </w:p>
    <w:p>
      <w:pPr>
        <w:pStyle w:val="ListParagraph"/>
        <w:numPr>
          <w:ilvl w:val="0"/>
          <w:numId w:val="1"/>
        </w:numPr>
        <w:spacing w:after="60" w:before="60" w:line="260"/>
      </w:pPr>
      <w:r>
        <w:rPr>
          <w:b/>
          <w:bCs/>
          <w:color w:val="1E293B"/>
          <w:sz w:val="22"/>
          <w:szCs w:val="22"/>
        </w:rPr>
        <w:t xml:space="preserve">1. Circular Field-of-View (FOV) Extraction: </w:t>
      </w:r>
      <w:r>
        <w:rPr>
          <w:color w:val="334155"/>
          <w:sz w:val="22"/>
          <w:szCs w:val="22"/>
        </w:rPr>
        <w:t xml:space="preserve">We apply Otsu automated thresholding on the green color channel to isolate the circular retina from the surrounding black rectangular canvas, cropping tightly to the valid optical circle.</w:t>
      </w:r>
    </w:p>
    <w:p>
      <w:pPr>
        <w:pStyle w:val="ListParagraph"/>
        <w:numPr>
          <w:ilvl w:val="0"/>
          <w:numId w:val="1"/>
        </w:numPr>
        <w:spacing w:after="60" w:before="60" w:line="260"/>
      </w:pPr>
      <w:r>
        <w:rPr>
          <w:b/>
          <w:bCs/>
          <w:color w:val="1E293B"/>
          <w:sz w:val="22"/>
          <w:szCs w:val="22"/>
        </w:rPr>
        <w:t xml:space="preserve">2. Aspect-Ratio Preserved Resizing to 288 by 288: </w:t>
      </w:r>
      <w:r>
        <w:rPr>
          <w:color w:val="334155"/>
          <w:sz w:val="22"/>
          <w:szCs w:val="22"/>
        </w:rPr>
        <w:t xml:space="preserve">Rather than standard 224 by 224 resolution, we scale to 288 by 288. This provides 65 percent more pixel area, preserving fine retinal vessel bifurcations that become blurred when cataracts develop.</w:t>
      </w:r>
    </w:p>
    <w:p>
      <w:pPr>
        <w:pStyle w:val="ListParagraph"/>
        <w:numPr>
          <w:ilvl w:val="0"/>
          <w:numId w:val="1"/>
        </w:numPr>
        <w:spacing w:after="60" w:before="60" w:line="260"/>
      </w:pPr>
      <w:r>
        <w:rPr>
          <w:b/>
          <w:bCs/>
          <w:color w:val="1E293B"/>
          <w:sz w:val="22"/>
          <w:szCs w:val="22"/>
        </w:rPr>
        <w:t xml:space="preserve">3. Graham Local Contrast Illumination Normalization: </w:t>
      </w:r>
      <w:r>
        <w:rPr>
          <w:color w:val="334155"/>
          <w:sz w:val="22"/>
          <w:szCs w:val="22"/>
        </w:rPr>
        <w:t xml:space="preserve">Fundus cameras suffer from central flash glare and peripheral lighting falloff. We implement Ben Graham's method: I_normalized = 4 * I - 4 * GaussianBlur(I, sigma=30) + 128. This subtracts low-frequency illumination gradients, ensuring that images from dark and bright cameras share an identical contrast baseline.</w:t>
      </w:r>
    </w:p>
    <w:p>
      <w:pPr>
        <w:pStyle w:val="ListParagraph"/>
        <w:numPr>
          <w:ilvl w:val="0"/>
          <w:numId w:val="1"/>
        </w:numPr>
        <w:spacing w:after="60" w:before="60" w:line="260"/>
      </w:pPr>
      <w:r>
        <w:rPr>
          <w:b/>
          <w:bCs/>
          <w:color w:val="1E293B"/>
          <w:sz w:val="22"/>
          <w:szCs w:val="22"/>
        </w:rPr>
        <w:t xml:space="preserve">4. Green-Channel CLAHE: </w:t>
      </w:r>
      <w:r>
        <w:rPr>
          <w:color w:val="334155"/>
          <w:sz w:val="22"/>
          <w:szCs w:val="22"/>
        </w:rPr>
        <w:t xml:space="preserve">Retinal blood vessels exhibit maximum optical absorption in the green spectrum (540 to 570 nm). We apply Contrast Limited Adaptive Histogram Equalization with a clip limit of 2.0 and tile grid of 8 by 8 on the green channel to enhance subtle lens haze.</w:t>
      </w:r>
    </w:p>
    <w:p>
      <w:pPr>
        <w:pStyle w:val="ListParagraph"/>
        <w:numPr>
          <w:ilvl w:val="0"/>
          <w:numId w:val="1"/>
        </w:numPr>
        <w:spacing w:after="60" w:before="60" w:line="260"/>
      </w:pPr>
      <w:r>
        <w:rPr>
          <w:b/>
          <w:bCs/>
          <w:color w:val="1E293B"/>
          <w:sz w:val="22"/>
          <w:szCs w:val="22"/>
        </w:rPr>
        <w:t xml:space="preserve">5. Perimeter Smoothing and Normalization: </w:t>
      </w:r>
      <w:r>
        <w:rPr>
          <w:color w:val="334155"/>
          <w:sz w:val="22"/>
          <w:szCs w:val="22"/>
        </w:rPr>
        <w:t xml:space="preserve">A clean circular mask is reapplied to remove boundary edge artifacts, followed by standard ImageNet mean and variance normalization.</w:t>
      </w:r>
    </w:p>
    <w:p>
      <w:pPr>
        <w:spacing w:after="100" w:before="100" w:line="280"/>
        <w:jc w:val="left"/>
      </w:pPr>
      <w:r>
        <w:rPr>
          <w:b w:val="false"/>
          <w:bCs w:val="false"/>
          <w:i w:val="false"/>
          <w:iCs w:val="false"/>
          <w:color w:val="1E293B"/>
          <w:sz w:val="22"/>
          <w:szCs w:val="22"/>
        </w:rPr>
        <w:t xml:space="preserve"/>
      </w:r>
    </w:p>
    <w:p>
      <w:pPr>
        <w:spacing w:after="80" w:before="140"/>
        <w:jc w:val="center"/>
      </w:pPr>
      <w:r>
        <w:drawing>
          <wp:inline distT="0" distB="0" distL="0" distR="0">
            <wp:extent cx="5143500" cy="2571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71750"/>
                    </a:xfrm>
                    <a:prstGeom prst="rect">
                      <a:avLst/>
                    </a:prstGeom>
                  </pic:spPr>
                </pic:pic>
              </a:graphicData>
            </a:graphic>
          </wp:inline>
        </w:drawing>
      </w:r>
    </w:p>
    <w:p>
      <w:pPr>
        <w:spacing w:after="100" w:before="60"/>
        <w:jc w:val="center"/>
      </w:pPr>
      <w:r>
        <w:rPr>
          <w:b/>
          <w:bCs/>
          <w:color w:val="0F172A"/>
          <w:sz w:val="21"/>
          <w:szCs w:val="21"/>
        </w:rPr>
        <w:t xml:space="preserve">Figure 1: Step-by-Step Optical Normalization and Circular Field-of-View Masking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Panel 1 (Raw Input): </w:t>
            </w:r>
            <w:r>
              <w:rPr>
                <w:color w:val="334155"/>
                <w:sz w:val="20"/>
                <w:szCs w:val="20"/>
              </w:rPr>
              <w:t xml:space="preserve">Displays original fundus photograph with wide, uneven black borders and central lighting glare.</w:t>
            </w:r>
          </w:p>
          <w:p>
            <w:pPr>
              <w:pStyle w:val="ListParagraph"/>
              <w:numPr>
                <w:ilvl w:val="0"/>
                <w:numId w:val="1"/>
              </w:numPr>
              <w:spacing w:after="40" w:before="40" w:line="240"/>
            </w:pPr>
            <w:r>
              <w:rPr>
                <w:b/>
                <w:bCs/>
                <w:color w:val="0F172A"/>
                <w:sz w:val="20"/>
                <w:szCs w:val="20"/>
              </w:rPr>
              <w:t xml:space="preserve">Panel 2 (Circular FOV Mask): </w:t>
            </w:r>
            <w:r>
              <w:rPr>
                <w:color w:val="334155"/>
                <w:sz w:val="20"/>
                <w:szCs w:val="20"/>
              </w:rPr>
              <w:t xml:space="preserve">Binary mask generated via green-channel Otsu thresholding, cleanly isolating retinal tissue.</w:t>
            </w:r>
          </w:p>
          <w:p>
            <w:pPr>
              <w:pStyle w:val="ListParagraph"/>
              <w:numPr>
                <w:ilvl w:val="0"/>
                <w:numId w:val="1"/>
              </w:numPr>
              <w:spacing w:after="40" w:before="40" w:line="240"/>
            </w:pPr>
            <w:r>
              <w:rPr>
                <w:b/>
                <w:bCs/>
                <w:color w:val="0F172A"/>
                <w:sz w:val="20"/>
                <w:szCs w:val="20"/>
              </w:rPr>
              <w:t xml:space="preserve">Panel 3 (Graham Normalized): </w:t>
            </w:r>
            <w:r>
              <w:rPr>
                <w:color w:val="334155"/>
                <w:sz w:val="20"/>
                <w:szCs w:val="20"/>
              </w:rPr>
              <w:t xml:space="preserve">Scan after subtracting low-frequency illumination, producing a uniform lighting baseline.</w:t>
            </w:r>
          </w:p>
          <w:p>
            <w:pPr>
              <w:pStyle w:val="ListParagraph"/>
              <w:numPr>
                <w:ilvl w:val="0"/>
                <w:numId w:val="1"/>
              </w:numPr>
              <w:spacing w:after="40" w:before="40" w:line="240"/>
            </w:pPr>
            <w:r>
              <w:rPr>
                <w:b/>
                <w:bCs/>
                <w:color w:val="0F172A"/>
                <w:sz w:val="20"/>
                <w:szCs w:val="20"/>
              </w:rPr>
              <w:t xml:space="preserve">Panel 4 (Final CLAHE View): </w:t>
            </w:r>
            <w:r>
              <w:rPr>
                <w:color w:val="334155"/>
                <w:sz w:val="20"/>
                <w:szCs w:val="20"/>
              </w:rPr>
              <w:t xml:space="preserve">Enhanced contrast view at 288 by 288 resolution, where micro-vessels and cataract haze stand out clearly.</w:t>
            </w:r>
          </w:p>
          <w:p>
            <w:pPr>
              <w:spacing w:after="40" w:before="80" w:line="240"/>
            </w:pPr>
            <w:r>
              <w:rPr>
                <w:b/>
                <w:bCs/>
                <w:color w:val="B45309"/>
                <w:sz w:val="20"/>
                <w:szCs w:val="20"/>
              </w:rPr>
              <w:t xml:space="preserve">Key Takeaway for Defense / Viva: </w:t>
            </w:r>
            <w:r>
              <w:rPr>
                <w:i/>
                <w:iCs/>
                <w:color w:val="78350F"/>
                <w:sz w:val="20"/>
                <w:szCs w:val="20"/>
              </w:rPr>
              <w:t xml:space="preserve">Explain to your professor that this pipeline forces the deep neural network to focus exclusively on retinal pathology, making it mathematically impossible for the model to cheat using camera border shapes.</w:t>
            </w:r>
          </w:p>
        </w:tc>
      </w:tr>
    </w:tbl>
    <w:p>
      <w:r>
        <w:br w:type="page"/>
      </w:r>
    </w:p>
    <w:p>
      <w:pPr>
        <w:pStyle w:val="Heading1"/>
        <w:pBdr>
          <w:bottom w:val="single" w:color="2563EB" w:sz="12"/>
        </w:pBdr>
        <w:spacing w:after="140" w:before="280"/>
      </w:pPr>
      <w:r>
        <w:rPr>
          <w:b/>
          <w:bCs/>
          <w:color w:val="0F172A"/>
          <w:sz w:val="32"/>
          <w:szCs w:val="32"/>
        </w:rPr>
        <w:t xml:space="preserve">4. The Evolutionary Journey Across Versions v1 to v6</w:t>
      </w:r>
    </w:p>
    <w:p>
      <w:pPr>
        <w:spacing w:after="100" w:before="100" w:line="280"/>
        <w:jc w:val="left"/>
      </w:pPr>
      <w:r>
        <w:rPr>
          <w:b w:val="false"/>
          <w:bCs w:val="false"/>
          <w:i w:val="false"/>
          <w:iCs w:val="false"/>
          <w:color w:val="1E293B"/>
          <w:sz w:val="22"/>
          <w:szCs w:val="22"/>
        </w:rPr>
        <w:t xml:space="preserve">The core scientific strength of this project lies in its iterative, honest engineering process. Rather than claiming immediate success, we discovered, diagnosed, and resolved real-world clinical and algorithmic failures across six distinct development cycles.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000"/>
        <w:gridCol w:w="1200"/>
        <w:gridCol w:w="1200"/>
        <w:gridCol w:w="1100"/>
        <w:gridCol w:w="800"/>
        <w:gridCol w:w="2400"/>
      </w:tblGrid>
      <w:tr>
        <w:trPr>
          <w:tblHeader/>
        </w:trPr>
        <w:tc>
          <w:tcPr>
            <w:tcW w:type="dxa" w:w="1300"/>
            <w:shd w:fill="F1F5F9" w:val="clear"/>
            <w:tcMar>
              <w:top w:type="dxa" w:w="100"/>
              <w:left w:type="dxa" w:w="100"/>
              <w:bottom w:type="dxa" w:w="100"/>
              <w:right w:type="dxa" w:w="100"/>
            </w:tcMar>
          </w:tcPr>
          <w:p>
            <w:pPr>
              <w:jc w:val="left"/>
            </w:pPr>
            <w:r>
              <w:rPr>
                <w:b/>
                <w:bCs/>
                <w:color w:val="0F172A"/>
                <w:sz w:val="20"/>
                <w:szCs w:val="20"/>
              </w:rPr>
              <w:t xml:space="preserve">Version</w:t>
            </w:r>
          </w:p>
        </w:tc>
        <w:tc>
          <w:tcPr>
            <w:tcW w:type="dxa" w:w="900"/>
            <w:shd w:fill="F1F5F9" w:val="clear"/>
            <w:tcMar>
              <w:top w:type="dxa" w:w="100"/>
              <w:left w:type="dxa" w:w="100"/>
              <w:bottom w:type="dxa" w:w="100"/>
              <w:right w:type="dxa" w:w="100"/>
            </w:tcMar>
          </w:tcPr>
          <w:p>
            <w:pPr>
              <w:jc w:val="left"/>
            </w:pPr>
            <w:r>
              <w:rPr>
                <w:b/>
                <w:bCs/>
                <w:color w:val="0F172A"/>
                <w:sz w:val="20"/>
                <w:szCs w:val="20"/>
              </w:rPr>
              <w:t xml:space="preserve">Resolution</w:t>
            </w:r>
          </w:p>
        </w:tc>
        <w:tc>
          <w:tcPr>
            <w:tcW w:type="dxa" w:w="1000"/>
            <w:shd w:fill="F1F5F9" w:val="clear"/>
            <w:tcMar>
              <w:top w:type="dxa" w:w="100"/>
              <w:left w:type="dxa" w:w="100"/>
              <w:bottom w:type="dxa" w:w="100"/>
              <w:right w:type="dxa" w:w="100"/>
            </w:tcMar>
          </w:tcPr>
          <w:p>
            <w:pPr>
              <w:jc w:val="left"/>
            </w:pPr>
            <w:r>
              <w:rPr>
                <w:b/>
                <w:bCs/>
                <w:color w:val="0F172A"/>
                <w:sz w:val="20"/>
                <w:szCs w:val="20"/>
              </w:rPr>
              <w:t xml:space="preserve">Internal AUC</w:t>
            </w:r>
          </w:p>
        </w:tc>
        <w:tc>
          <w:tcPr>
            <w:tcW w:type="dxa" w:w="1200"/>
            <w:shd w:fill="F1F5F9" w:val="clear"/>
            <w:tcMar>
              <w:top w:type="dxa" w:w="100"/>
              <w:left w:type="dxa" w:w="100"/>
              <w:bottom w:type="dxa" w:w="100"/>
              <w:right w:type="dxa" w:w="100"/>
            </w:tcMar>
          </w:tcPr>
          <w:p>
            <w:pPr>
              <w:jc w:val="left"/>
            </w:pPr>
            <w:r>
              <w:rPr>
                <w:b/>
                <w:bCs/>
                <w:color w:val="0F172A"/>
                <w:sz w:val="20"/>
                <w:szCs w:val="20"/>
              </w:rPr>
              <w:t xml:space="preserve">Ext Zero-Shot</w:t>
            </w:r>
          </w:p>
        </w:tc>
        <w:tc>
          <w:tcPr>
            <w:tcW w:type="dxa" w:w="1200"/>
            <w:shd w:fill="F1F5F9" w:val="clear"/>
            <w:tcMar>
              <w:top w:type="dxa" w:w="100"/>
              <w:left w:type="dxa" w:w="100"/>
              <w:bottom w:type="dxa" w:w="100"/>
              <w:right w:type="dxa" w:w="100"/>
            </w:tcMar>
          </w:tcPr>
          <w:p>
            <w:pPr>
              <w:jc w:val="left"/>
            </w:pPr>
            <w:r>
              <w:rPr>
                <w:b/>
                <w:bCs/>
                <w:color w:val="0F172A"/>
                <w:sz w:val="20"/>
                <w:szCs w:val="20"/>
              </w:rPr>
              <w:t xml:space="preserve">Ext Adapted</w:t>
            </w:r>
          </w:p>
        </w:tc>
        <w:tc>
          <w:tcPr>
            <w:tcW w:type="dxa" w:w="1100"/>
            <w:shd w:fill="F1F5F9" w:val="clear"/>
            <w:tcMar>
              <w:top w:type="dxa" w:w="100"/>
              <w:left w:type="dxa" w:w="100"/>
              <w:bottom w:type="dxa" w:w="100"/>
              <w:right w:type="dxa" w:w="100"/>
            </w:tcMar>
          </w:tcPr>
          <w:p>
            <w:pPr>
              <w:jc w:val="left"/>
            </w:pPr>
            <w:r>
              <w:rPr>
                <w:b/>
                <w:bCs/>
                <w:color w:val="0F172A"/>
                <w:sz w:val="20"/>
                <w:szCs w:val="20"/>
              </w:rPr>
              <w:t xml:space="preserve">Sensitivity</w:t>
            </w:r>
          </w:p>
        </w:tc>
        <w:tc>
          <w:tcPr>
            <w:tcW w:type="dxa" w:w="800"/>
            <w:shd w:fill="F1F5F9" w:val="clear"/>
            <w:tcMar>
              <w:top w:type="dxa" w:w="100"/>
              <w:left w:type="dxa" w:w="100"/>
              <w:bottom w:type="dxa" w:w="100"/>
              <w:right w:type="dxa" w:w="100"/>
            </w:tcMar>
          </w:tcPr>
          <w:p>
            <w:pPr>
              <w:jc w:val="left"/>
            </w:pPr>
            <w:r>
              <w:rPr>
                <w:b/>
                <w:bCs/>
                <w:color w:val="0F172A"/>
                <w:sz w:val="20"/>
                <w:szCs w:val="20"/>
              </w:rPr>
              <w:t xml:space="preserve">ECE</w:t>
            </w:r>
          </w:p>
        </w:tc>
        <w:tc>
          <w:tcPr>
            <w:tcW w:type="dxa" w:w="2400"/>
            <w:shd w:fill="F1F5F9" w:val="clear"/>
            <w:tcMar>
              <w:top w:type="dxa" w:w="100"/>
              <w:left w:type="dxa" w:w="100"/>
              <w:bottom w:type="dxa" w:w="100"/>
              <w:right w:type="dxa" w:w="100"/>
            </w:tcMar>
          </w:tcPr>
          <w:p>
            <w:pPr>
              <w:jc w:val="left"/>
            </w:pPr>
            <w:r>
              <w:rPr>
                <w:b/>
                <w:bCs/>
                <w:color w:val="0F172A"/>
                <w:sz w:val="20"/>
                <w:szCs w:val="20"/>
              </w:rPr>
              <w:t xml:space="preserve">Core Flaw &amp; Solution</w:t>
            </w:r>
          </w:p>
        </w:tc>
      </w:tr>
      <w:tr>
        <w:tc>
          <w:tcPr>
            <w:tcW w:type="dxa" w:w="1300"/>
            <w:shd w:fill="FFFFFF" w:val="clear"/>
            <w:tcMar>
              <w:top w:type="dxa" w:w="80"/>
              <w:left w:type="dxa" w:w="100"/>
              <w:bottom w:type="dxa" w:w="80"/>
              <w:right w:type="dxa" w:w="100"/>
            </w:tcMar>
          </w:tcPr>
          <w:p>
            <w:pPr>
              <w:jc w:val="left"/>
            </w:pPr>
            <w:r>
              <w:rPr>
                <w:color w:val="1E293B"/>
                <w:sz w:val="19"/>
                <w:szCs w:val="19"/>
              </w:rPr>
              <w:t xml:space="preserve">v1 (Leaked)</w:t>
            </w:r>
          </w:p>
        </w:tc>
        <w:tc>
          <w:tcPr>
            <w:tcW w:type="dxa" w:w="900"/>
            <w:shd w:fill="FFFFFF" w:val="clear"/>
            <w:tcMar>
              <w:top w:type="dxa" w:w="80"/>
              <w:left w:type="dxa" w:w="100"/>
              <w:bottom w:type="dxa" w:w="80"/>
              <w:right w:type="dxa" w:w="100"/>
            </w:tcMar>
          </w:tcPr>
          <w:p>
            <w:pPr>
              <w:jc w:val="left"/>
            </w:pPr>
            <w:r>
              <w:rPr>
                <w:color w:val="1E293B"/>
                <w:sz w:val="19"/>
                <w:szCs w:val="19"/>
              </w:rPr>
              <w:t xml:space="preserve">224x224</w:t>
            </w:r>
          </w:p>
        </w:tc>
        <w:tc>
          <w:tcPr>
            <w:tcW w:type="dxa" w:w="1000"/>
            <w:shd w:fill="FFFFFF" w:val="clear"/>
            <w:tcMar>
              <w:top w:type="dxa" w:w="80"/>
              <w:left w:type="dxa" w:w="100"/>
              <w:bottom w:type="dxa" w:w="80"/>
              <w:right w:type="dxa" w:w="100"/>
            </w:tcMar>
          </w:tcPr>
          <w:p>
            <w:pPr>
              <w:jc w:val="left"/>
            </w:pPr>
            <w:r>
              <w:rPr>
                <w:color w:val="1E293B"/>
                <w:sz w:val="19"/>
                <w:szCs w:val="19"/>
              </w:rPr>
              <w:t xml:space="preserve">0.984</w:t>
            </w:r>
          </w:p>
        </w:tc>
        <w:tc>
          <w:tcPr>
            <w:tcW w:type="dxa" w:w="1200"/>
            <w:shd w:fill="FFFFFF" w:val="clear"/>
            <w:tcMar>
              <w:top w:type="dxa" w:w="80"/>
              <w:left w:type="dxa" w:w="100"/>
              <w:bottom w:type="dxa" w:w="80"/>
              <w:right w:type="dxa" w:w="100"/>
            </w:tcMar>
          </w:tcPr>
          <w:p>
            <w:pPr>
              <w:jc w:val="left"/>
            </w:pPr>
            <w:r>
              <w:rPr>
                <w:color w:val="1E293B"/>
                <w:sz w:val="19"/>
                <w:szCs w:val="19"/>
              </w:rPr>
              <w:t xml:space="preserve">0.712</w:t>
            </w:r>
          </w:p>
        </w:tc>
        <w:tc>
          <w:tcPr>
            <w:tcW w:type="dxa" w:w="1200"/>
            <w:shd w:fill="FFFFFF" w:val="clear"/>
            <w:tcMar>
              <w:top w:type="dxa" w:w="80"/>
              <w:left w:type="dxa" w:w="100"/>
              <w:bottom w:type="dxa" w:w="80"/>
              <w:right w:type="dxa" w:w="100"/>
            </w:tcMar>
          </w:tcPr>
          <w:p>
            <w:pPr>
              <w:jc w:val="left"/>
            </w:pPr>
            <w:r>
              <w:rPr>
                <w:color w:val="1E293B"/>
                <w:sz w:val="19"/>
                <w:szCs w:val="19"/>
              </w:rPr>
              <w:t xml:space="preserve">0.712</w:t>
            </w:r>
          </w:p>
        </w:tc>
        <w:tc>
          <w:tcPr>
            <w:tcW w:type="dxa" w:w="1100"/>
            <w:shd w:fill="FFFFFF" w:val="clear"/>
            <w:tcMar>
              <w:top w:type="dxa" w:w="80"/>
              <w:left w:type="dxa" w:w="100"/>
              <w:bottom w:type="dxa" w:w="80"/>
              <w:right w:type="dxa" w:w="100"/>
            </w:tcMar>
          </w:tcPr>
          <w:p>
            <w:pPr>
              <w:jc w:val="left"/>
            </w:pPr>
            <w:r>
              <w:rPr>
                <w:color w:val="1E293B"/>
                <w:sz w:val="19"/>
                <w:szCs w:val="19"/>
              </w:rPr>
              <w:t xml:space="preserve">35.4%</w:t>
            </w:r>
          </w:p>
        </w:tc>
        <w:tc>
          <w:tcPr>
            <w:tcW w:type="dxa" w:w="800"/>
            <w:shd w:fill="FFFFFF" w:val="clear"/>
            <w:tcMar>
              <w:top w:type="dxa" w:w="80"/>
              <w:left w:type="dxa" w:w="100"/>
              <w:bottom w:type="dxa" w:w="80"/>
              <w:right w:type="dxa" w:w="100"/>
            </w:tcMar>
          </w:tcPr>
          <w:p>
            <w:pPr>
              <w:jc w:val="left"/>
            </w:pPr>
            <w:r>
              <w:rPr>
                <w:color w:val="1E293B"/>
                <w:sz w:val="19"/>
                <w:szCs w:val="19"/>
              </w:rPr>
              <w:t xml:space="preserve">0.045</w:t>
            </w:r>
          </w:p>
        </w:tc>
        <w:tc>
          <w:tcPr>
            <w:tcW w:type="dxa" w:w="2400"/>
            <w:shd w:fill="FFFFFF" w:val="clear"/>
            <w:tcMar>
              <w:top w:type="dxa" w:w="80"/>
              <w:left w:type="dxa" w:w="100"/>
              <w:bottom w:type="dxa" w:w="80"/>
              <w:right w:type="dxa" w:w="100"/>
            </w:tcMar>
          </w:tcPr>
          <w:p>
            <w:pPr>
              <w:jc w:val="left"/>
            </w:pPr>
            <w:r>
              <w:rPr>
                <w:color w:val="1E293B"/>
                <w:sz w:val="19"/>
                <w:szCs w:val="19"/>
              </w:rPr>
              <w:t xml:space="preserve">Bilateral Leak: Left/right eyes split across train/test. Memorized identity.</w:t>
            </w:r>
          </w:p>
        </w:tc>
      </w:tr>
      <w:tr>
        <w:tc>
          <w:tcPr>
            <w:tcW w:type="dxa" w:w="1300"/>
            <w:shd w:fill="F8FAFC" w:val="clear"/>
            <w:tcMar>
              <w:top w:type="dxa" w:w="80"/>
              <w:left w:type="dxa" w:w="100"/>
              <w:bottom w:type="dxa" w:w="80"/>
              <w:right w:type="dxa" w:w="100"/>
            </w:tcMar>
          </w:tcPr>
          <w:p>
            <w:pPr>
              <w:jc w:val="left"/>
            </w:pPr>
            <w:r>
              <w:rPr>
                <w:color w:val="1E293B"/>
                <w:sz w:val="19"/>
                <w:szCs w:val="19"/>
              </w:rPr>
              <w:t xml:space="preserve">v2 (Deduplicated)</w:t>
            </w:r>
          </w:p>
        </w:tc>
        <w:tc>
          <w:tcPr>
            <w:tcW w:type="dxa" w:w="900"/>
            <w:shd w:fill="F8FAFC" w:val="clear"/>
            <w:tcMar>
              <w:top w:type="dxa" w:w="80"/>
              <w:left w:type="dxa" w:w="100"/>
              <w:bottom w:type="dxa" w:w="80"/>
              <w:right w:type="dxa" w:w="100"/>
            </w:tcMar>
          </w:tcPr>
          <w:p>
            <w:pPr>
              <w:jc w:val="left"/>
            </w:pPr>
            <w:r>
              <w:rPr>
                <w:color w:val="1E293B"/>
                <w:sz w:val="19"/>
                <w:szCs w:val="19"/>
              </w:rPr>
              <w:t xml:space="preserve">224x224</w:t>
            </w:r>
          </w:p>
        </w:tc>
        <w:tc>
          <w:tcPr>
            <w:tcW w:type="dxa" w:w="1000"/>
            <w:shd w:fill="F8FAFC" w:val="clear"/>
            <w:tcMar>
              <w:top w:type="dxa" w:w="80"/>
              <w:left w:type="dxa" w:w="100"/>
              <w:bottom w:type="dxa" w:w="80"/>
              <w:right w:type="dxa" w:w="100"/>
            </w:tcMar>
          </w:tcPr>
          <w:p>
            <w:pPr>
              <w:jc w:val="left"/>
            </w:pPr>
            <w:r>
              <w:rPr>
                <w:color w:val="1E293B"/>
                <w:sz w:val="19"/>
                <w:szCs w:val="19"/>
              </w:rPr>
              <w:t xml:space="preserve">0.977</w:t>
            </w:r>
          </w:p>
        </w:tc>
        <w:tc>
          <w:tcPr>
            <w:tcW w:type="dxa" w:w="1200"/>
            <w:shd w:fill="F8FAFC" w:val="clear"/>
            <w:tcMar>
              <w:top w:type="dxa" w:w="80"/>
              <w:left w:type="dxa" w:w="100"/>
              <w:bottom w:type="dxa" w:w="80"/>
              <w:right w:type="dxa" w:w="100"/>
            </w:tcMar>
          </w:tcPr>
          <w:p>
            <w:pPr>
              <w:jc w:val="left"/>
            </w:pPr>
            <w:r>
              <w:rPr>
                <w:color w:val="1E293B"/>
                <w:sz w:val="19"/>
                <w:szCs w:val="19"/>
              </w:rPr>
              <w:t xml:space="preserve">0.732</w:t>
            </w:r>
          </w:p>
        </w:tc>
        <w:tc>
          <w:tcPr>
            <w:tcW w:type="dxa" w:w="1200"/>
            <w:shd w:fill="F8FAFC" w:val="clear"/>
            <w:tcMar>
              <w:top w:type="dxa" w:w="80"/>
              <w:left w:type="dxa" w:w="100"/>
              <w:bottom w:type="dxa" w:w="80"/>
              <w:right w:type="dxa" w:w="100"/>
            </w:tcMar>
          </w:tcPr>
          <w:p>
            <w:pPr>
              <w:jc w:val="left"/>
            </w:pPr>
            <w:r>
              <w:rPr>
                <w:color w:val="1E293B"/>
                <w:sz w:val="19"/>
                <w:szCs w:val="19"/>
              </w:rPr>
              <w:t xml:space="preserve">0.771</w:t>
            </w:r>
          </w:p>
        </w:tc>
        <w:tc>
          <w:tcPr>
            <w:tcW w:type="dxa" w:w="1100"/>
            <w:shd w:fill="F8FAFC" w:val="clear"/>
            <w:tcMar>
              <w:top w:type="dxa" w:w="80"/>
              <w:left w:type="dxa" w:w="100"/>
              <w:bottom w:type="dxa" w:w="80"/>
              <w:right w:type="dxa" w:w="100"/>
            </w:tcMar>
          </w:tcPr>
          <w:p>
            <w:pPr>
              <w:jc w:val="left"/>
            </w:pPr>
            <w:r>
              <w:rPr>
                <w:color w:val="1E293B"/>
                <w:sz w:val="19"/>
                <w:szCs w:val="19"/>
              </w:rPr>
              <w:t xml:space="preserve">38.2%</w:t>
            </w:r>
          </w:p>
        </w:tc>
        <w:tc>
          <w:tcPr>
            <w:tcW w:type="dxa" w:w="800"/>
            <w:shd w:fill="F8FAFC" w:val="clear"/>
            <w:tcMar>
              <w:top w:type="dxa" w:w="80"/>
              <w:left w:type="dxa" w:w="100"/>
              <w:bottom w:type="dxa" w:w="80"/>
              <w:right w:type="dxa" w:w="100"/>
            </w:tcMar>
          </w:tcPr>
          <w:p>
            <w:pPr>
              <w:jc w:val="left"/>
            </w:pPr>
            <w:r>
              <w:rPr>
                <w:color w:val="1E293B"/>
                <w:sz w:val="19"/>
                <w:szCs w:val="19"/>
              </w:rPr>
              <w:t xml:space="preserve">0.060</w:t>
            </w:r>
          </w:p>
        </w:tc>
        <w:tc>
          <w:tcPr>
            <w:tcW w:type="dxa" w:w="2400"/>
            <w:shd w:fill="F8FAFC" w:val="clear"/>
            <w:tcMar>
              <w:top w:type="dxa" w:w="80"/>
              <w:left w:type="dxa" w:w="100"/>
              <w:bottom w:type="dxa" w:w="80"/>
              <w:right w:type="dxa" w:w="100"/>
            </w:tcMar>
          </w:tcPr>
          <w:p>
            <w:pPr>
              <w:jc w:val="left"/>
            </w:pPr>
            <w:r>
              <w:rPr>
                <w:color w:val="1E293B"/>
                <w:sz w:val="19"/>
                <w:szCs w:val="19"/>
              </w:rPr>
              <w:t xml:space="preserve">Border Shortcut: Fixed leak, but Grad-CAM audit revealed model read black camera corners.</w:t>
            </w:r>
          </w:p>
        </w:tc>
      </w:tr>
      <w:tr>
        <w:tc>
          <w:tcPr>
            <w:tcW w:type="dxa" w:w="1300"/>
            <w:shd w:fill="FFFFFF" w:val="clear"/>
            <w:tcMar>
              <w:top w:type="dxa" w:w="80"/>
              <w:left w:type="dxa" w:w="100"/>
              <w:bottom w:type="dxa" w:w="80"/>
              <w:right w:type="dxa" w:w="100"/>
            </w:tcMar>
          </w:tcPr>
          <w:p>
            <w:pPr>
              <w:jc w:val="left"/>
            </w:pPr>
            <w:r>
              <w:rPr>
                <w:color w:val="1E293B"/>
                <w:sz w:val="19"/>
                <w:szCs w:val="19"/>
              </w:rPr>
              <w:t xml:space="preserve">v3 (Circular FOV)</w:t>
            </w:r>
          </w:p>
        </w:tc>
        <w:tc>
          <w:tcPr>
            <w:tcW w:type="dxa" w:w="900"/>
            <w:shd w:fill="FFFFFF" w:val="clear"/>
            <w:tcMar>
              <w:top w:type="dxa" w:w="80"/>
              <w:left w:type="dxa" w:w="100"/>
              <w:bottom w:type="dxa" w:w="80"/>
              <w:right w:type="dxa" w:w="100"/>
            </w:tcMar>
          </w:tcPr>
          <w:p>
            <w:pPr>
              <w:jc w:val="left"/>
            </w:pPr>
            <w:r>
              <w:rPr>
                <w:color w:val="1E293B"/>
                <w:sz w:val="19"/>
                <w:szCs w:val="19"/>
              </w:rPr>
              <w:t xml:space="preserve">224x224</w:t>
            </w:r>
          </w:p>
        </w:tc>
        <w:tc>
          <w:tcPr>
            <w:tcW w:type="dxa" w:w="1000"/>
            <w:shd w:fill="FFFFFF" w:val="clear"/>
            <w:tcMar>
              <w:top w:type="dxa" w:w="80"/>
              <w:left w:type="dxa" w:w="100"/>
              <w:bottom w:type="dxa" w:w="80"/>
              <w:right w:type="dxa" w:w="100"/>
            </w:tcMar>
          </w:tcPr>
          <w:p>
            <w:pPr>
              <w:jc w:val="left"/>
            </w:pPr>
            <w:r>
              <w:rPr>
                <w:color w:val="1E293B"/>
                <w:sz w:val="19"/>
                <w:szCs w:val="19"/>
              </w:rPr>
              <w:t xml:space="preserve">0.933</w:t>
            </w:r>
          </w:p>
        </w:tc>
        <w:tc>
          <w:tcPr>
            <w:tcW w:type="dxa" w:w="1200"/>
            <w:shd w:fill="FFFFFF" w:val="clear"/>
            <w:tcMar>
              <w:top w:type="dxa" w:w="80"/>
              <w:left w:type="dxa" w:w="100"/>
              <w:bottom w:type="dxa" w:w="80"/>
              <w:right w:type="dxa" w:w="100"/>
            </w:tcMar>
          </w:tcPr>
          <w:p>
            <w:pPr>
              <w:jc w:val="left"/>
            </w:pPr>
            <w:r>
              <w:rPr>
                <w:color w:val="1E293B"/>
                <w:sz w:val="19"/>
                <w:szCs w:val="19"/>
              </w:rPr>
              <w:t xml:space="preserve">0.753</w:t>
            </w:r>
          </w:p>
        </w:tc>
        <w:tc>
          <w:tcPr>
            <w:tcW w:type="dxa" w:w="1200"/>
            <w:shd w:fill="FFFFFF" w:val="clear"/>
            <w:tcMar>
              <w:top w:type="dxa" w:w="80"/>
              <w:left w:type="dxa" w:w="100"/>
              <w:bottom w:type="dxa" w:w="80"/>
              <w:right w:type="dxa" w:w="100"/>
            </w:tcMar>
          </w:tcPr>
          <w:p>
            <w:pPr>
              <w:jc w:val="left"/>
            </w:pPr>
            <w:r>
              <w:rPr>
                <w:color w:val="1E293B"/>
                <w:sz w:val="19"/>
                <w:szCs w:val="19"/>
              </w:rPr>
              <w:t xml:space="preserve">0.781</w:t>
            </w:r>
          </w:p>
        </w:tc>
        <w:tc>
          <w:tcPr>
            <w:tcW w:type="dxa" w:w="1100"/>
            <w:shd w:fill="FFFFFF" w:val="clear"/>
            <w:tcMar>
              <w:top w:type="dxa" w:w="80"/>
              <w:left w:type="dxa" w:w="100"/>
              <w:bottom w:type="dxa" w:w="80"/>
              <w:right w:type="dxa" w:w="100"/>
            </w:tcMar>
          </w:tcPr>
          <w:p>
            <w:pPr>
              <w:jc w:val="left"/>
            </w:pPr>
            <w:r>
              <w:rPr>
                <w:color w:val="1E293B"/>
                <w:sz w:val="19"/>
                <w:szCs w:val="19"/>
              </w:rPr>
              <w:t xml:space="preserve">40.5%</w:t>
            </w:r>
          </w:p>
        </w:tc>
        <w:tc>
          <w:tcPr>
            <w:tcW w:type="dxa" w:w="800"/>
            <w:shd w:fill="FFFFFF" w:val="clear"/>
            <w:tcMar>
              <w:top w:type="dxa" w:w="80"/>
              <w:left w:type="dxa" w:w="100"/>
              <w:bottom w:type="dxa" w:w="80"/>
              <w:right w:type="dxa" w:w="100"/>
            </w:tcMar>
          </w:tcPr>
          <w:p>
            <w:pPr>
              <w:jc w:val="left"/>
            </w:pPr>
            <w:r>
              <w:rPr>
                <w:color w:val="1E293B"/>
                <w:sz w:val="19"/>
                <w:szCs w:val="19"/>
              </w:rPr>
              <w:t xml:space="preserve">0.124</w:t>
            </w:r>
          </w:p>
        </w:tc>
        <w:tc>
          <w:tcPr>
            <w:tcW w:type="dxa" w:w="2400"/>
            <w:shd w:fill="FFFFFF" w:val="clear"/>
            <w:tcMar>
              <w:top w:type="dxa" w:w="80"/>
              <w:left w:type="dxa" w:w="100"/>
              <w:bottom w:type="dxa" w:w="80"/>
              <w:right w:type="dxa" w:w="100"/>
            </w:tcMar>
          </w:tcPr>
          <w:p>
            <w:pPr>
              <w:jc w:val="left"/>
            </w:pPr>
            <w:r>
              <w:rPr>
                <w:color w:val="1E293B"/>
                <w:sz w:val="19"/>
                <w:szCs w:val="19"/>
              </w:rPr>
              <w:t xml:space="preserve">Honest Baseline: Masked borders with circular FOV; metrics dropped to honest levels.</w:t>
            </w:r>
          </w:p>
        </w:tc>
      </w:tr>
      <w:tr>
        <w:tc>
          <w:tcPr>
            <w:tcW w:type="dxa" w:w="1300"/>
            <w:shd w:fill="F8FAFC" w:val="clear"/>
            <w:tcMar>
              <w:top w:type="dxa" w:w="80"/>
              <w:left w:type="dxa" w:w="100"/>
              <w:bottom w:type="dxa" w:w="80"/>
              <w:right w:type="dxa" w:w="100"/>
            </w:tcMar>
          </w:tcPr>
          <w:p>
            <w:pPr>
              <w:jc w:val="left"/>
            </w:pPr>
            <w:r>
              <w:rPr>
                <w:color w:val="1E293B"/>
                <w:sz w:val="19"/>
                <w:szCs w:val="19"/>
              </w:rPr>
              <w:t xml:space="preserve">v4 (Diagnosed Bias)</w:t>
            </w:r>
          </w:p>
        </w:tc>
        <w:tc>
          <w:tcPr>
            <w:tcW w:type="dxa" w:w="900"/>
            <w:shd w:fill="F8FAFC" w:val="clear"/>
            <w:tcMar>
              <w:top w:type="dxa" w:w="80"/>
              <w:left w:type="dxa" w:w="100"/>
              <w:bottom w:type="dxa" w:w="80"/>
              <w:right w:type="dxa" w:w="100"/>
            </w:tcMar>
          </w:tcPr>
          <w:p>
            <w:pPr>
              <w:jc w:val="left"/>
            </w:pPr>
            <w:r>
              <w:rPr>
                <w:color w:val="1E293B"/>
                <w:sz w:val="19"/>
                <w:szCs w:val="19"/>
              </w:rPr>
              <w:t xml:space="preserve">224x224</w:t>
            </w:r>
          </w:p>
        </w:tc>
        <w:tc>
          <w:tcPr>
            <w:tcW w:type="dxa" w:w="1000"/>
            <w:shd w:fill="F8FAFC" w:val="clear"/>
            <w:tcMar>
              <w:top w:type="dxa" w:w="80"/>
              <w:left w:type="dxa" w:w="100"/>
              <w:bottom w:type="dxa" w:w="80"/>
              <w:right w:type="dxa" w:w="100"/>
            </w:tcMar>
          </w:tcPr>
          <w:p>
            <w:pPr>
              <w:jc w:val="left"/>
            </w:pPr>
            <w:r>
              <w:rPr>
                <w:color w:val="1E293B"/>
                <w:sz w:val="19"/>
                <w:szCs w:val="19"/>
              </w:rPr>
              <w:t xml:space="preserve">0.936</w:t>
            </w:r>
          </w:p>
        </w:tc>
        <w:tc>
          <w:tcPr>
            <w:tcW w:type="dxa" w:w="1200"/>
            <w:shd w:fill="F8FAFC" w:val="clear"/>
            <w:tcMar>
              <w:top w:type="dxa" w:w="80"/>
              <w:left w:type="dxa" w:w="100"/>
              <w:bottom w:type="dxa" w:w="80"/>
              <w:right w:type="dxa" w:w="100"/>
            </w:tcMar>
          </w:tcPr>
          <w:p>
            <w:pPr>
              <w:jc w:val="left"/>
            </w:pPr>
            <w:r>
              <w:rPr>
                <w:color w:val="1E293B"/>
                <w:sz w:val="19"/>
                <w:szCs w:val="19"/>
              </w:rPr>
              <w:t xml:space="preserve">0.752</w:t>
            </w:r>
          </w:p>
        </w:tc>
        <w:tc>
          <w:tcPr>
            <w:tcW w:type="dxa" w:w="1200"/>
            <w:shd w:fill="F8FAFC" w:val="clear"/>
            <w:tcMar>
              <w:top w:type="dxa" w:w="80"/>
              <w:left w:type="dxa" w:w="100"/>
              <w:bottom w:type="dxa" w:w="80"/>
              <w:right w:type="dxa" w:w="100"/>
            </w:tcMar>
          </w:tcPr>
          <w:p>
            <w:pPr>
              <w:jc w:val="left"/>
            </w:pPr>
            <w:r>
              <w:rPr>
                <w:color w:val="1E293B"/>
                <w:sz w:val="19"/>
                <w:szCs w:val="19"/>
              </w:rPr>
              <w:t xml:space="preserve">0.782</w:t>
            </w:r>
          </w:p>
        </w:tc>
        <w:tc>
          <w:tcPr>
            <w:tcW w:type="dxa" w:w="1100"/>
            <w:shd w:fill="F8FAFC" w:val="clear"/>
            <w:tcMar>
              <w:top w:type="dxa" w:w="80"/>
              <w:left w:type="dxa" w:w="100"/>
              <w:bottom w:type="dxa" w:w="80"/>
              <w:right w:type="dxa" w:w="100"/>
            </w:tcMar>
          </w:tcPr>
          <w:p>
            <w:pPr>
              <w:jc w:val="left"/>
            </w:pPr>
            <w:r>
              <w:rPr>
                <w:color w:val="1E293B"/>
                <w:sz w:val="19"/>
                <w:szCs w:val="19"/>
              </w:rPr>
              <w:t xml:space="preserve">41.8%</w:t>
            </w:r>
          </w:p>
        </w:tc>
        <w:tc>
          <w:tcPr>
            <w:tcW w:type="dxa" w:w="800"/>
            <w:shd w:fill="F8FAFC" w:val="clear"/>
            <w:tcMar>
              <w:top w:type="dxa" w:w="80"/>
              <w:left w:type="dxa" w:w="100"/>
              <w:bottom w:type="dxa" w:w="80"/>
              <w:right w:type="dxa" w:w="100"/>
            </w:tcMar>
          </w:tcPr>
          <w:p>
            <w:pPr>
              <w:jc w:val="left"/>
            </w:pPr>
            <w:r>
              <w:rPr>
                <w:color w:val="1E293B"/>
                <w:sz w:val="19"/>
                <w:szCs w:val="19"/>
              </w:rPr>
              <w:t xml:space="preserve">0.061</w:t>
            </w:r>
          </w:p>
        </w:tc>
        <w:tc>
          <w:tcPr>
            <w:tcW w:type="dxa" w:w="2400"/>
            <w:shd w:fill="F8FAFC" w:val="clear"/>
            <w:tcMar>
              <w:top w:type="dxa" w:w="80"/>
              <w:left w:type="dxa" w:w="100"/>
              <w:bottom w:type="dxa" w:w="80"/>
              <w:right w:type="dxa" w:w="100"/>
            </w:tcMar>
          </w:tcPr>
          <w:p>
            <w:pPr>
              <w:jc w:val="left"/>
            </w:pPr>
            <w:r>
              <w:rPr>
                <w:color w:val="1E293B"/>
                <w:sz w:val="19"/>
                <w:szCs w:val="19"/>
              </w:rPr>
              <w:t xml:space="preserve">Source Imbalance: Discovered EyeDiseases provided 61% of all cataracts, causing color bias.</w:t>
            </w:r>
          </w:p>
        </w:tc>
      </w:tr>
      <w:tr>
        <w:tc>
          <w:tcPr>
            <w:tcW w:type="dxa" w:w="1300"/>
            <w:shd w:fill="FFFFFF" w:val="clear"/>
            <w:tcMar>
              <w:top w:type="dxa" w:w="80"/>
              <w:left w:type="dxa" w:w="100"/>
              <w:bottom w:type="dxa" w:w="80"/>
              <w:right w:type="dxa" w:w="100"/>
            </w:tcMar>
          </w:tcPr>
          <w:p>
            <w:pPr>
              <w:jc w:val="left"/>
            </w:pPr>
            <w:r>
              <w:rPr>
                <w:color w:val="1E293B"/>
                <w:sz w:val="19"/>
                <w:szCs w:val="19"/>
              </w:rPr>
              <w:t xml:space="preserve">v5 (Prior Shift)</w:t>
            </w:r>
          </w:p>
        </w:tc>
        <w:tc>
          <w:tcPr>
            <w:tcW w:type="dxa" w:w="900"/>
            <w:shd w:fill="FFFFFF" w:val="clear"/>
            <w:tcMar>
              <w:top w:type="dxa" w:w="80"/>
              <w:left w:type="dxa" w:w="100"/>
              <w:bottom w:type="dxa" w:w="80"/>
              <w:right w:type="dxa" w:w="100"/>
            </w:tcMar>
          </w:tcPr>
          <w:p>
            <w:pPr>
              <w:jc w:val="left"/>
            </w:pPr>
            <w:r>
              <w:rPr>
                <w:color w:val="1E293B"/>
                <w:sz w:val="19"/>
                <w:szCs w:val="19"/>
              </w:rPr>
              <w:t xml:space="preserve">224x224</w:t>
            </w:r>
          </w:p>
        </w:tc>
        <w:tc>
          <w:tcPr>
            <w:tcW w:type="dxa" w:w="1000"/>
            <w:shd w:fill="FFFFFF" w:val="clear"/>
            <w:tcMar>
              <w:top w:type="dxa" w:w="80"/>
              <w:left w:type="dxa" w:w="100"/>
              <w:bottom w:type="dxa" w:w="80"/>
              <w:right w:type="dxa" w:w="100"/>
            </w:tcMar>
          </w:tcPr>
          <w:p>
            <w:pPr>
              <w:jc w:val="left"/>
            </w:pPr>
            <w:r>
              <w:rPr>
                <w:color w:val="1E293B"/>
                <w:sz w:val="19"/>
                <w:szCs w:val="19"/>
              </w:rPr>
              <w:t xml:space="preserve">0.924</w:t>
            </w:r>
          </w:p>
        </w:tc>
        <w:tc>
          <w:tcPr>
            <w:tcW w:type="dxa" w:w="1200"/>
            <w:shd w:fill="FFFFFF" w:val="clear"/>
            <w:tcMar>
              <w:top w:type="dxa" w:w="80"/>
              <w:left w:type="dxa" w:w="100"/>
              <w:bottom w:type="dxa" w:w="80"/>
              <w:right w:type="dxa" w:w="100"/>
            </w:tcMar>
          </w:tcPr>
          <w:p>
            <w:pPr>
              <w:jc w:val="left"/>
            </w:pPr>
            <w:r>
              <w:rPr>
                <w:color w:val="1E293B"/>
                <w:sz w:val="19"/>
                <w:szCs w:val="19"/>
              </w:rPr>
              <w:t xml:space="preserve">0.754</w:t>
            </w:r>
          </w:p>
        </w:tc>
        <w:tc>
          <w:tcPr>
            <w:tcW w:type="dxa" w:w="1200"/>
            <w:shd w:fill="FFFFFF" w:val="clear"/>
            <w:tcMar>
              <w:top w:type="dxa" w:w="80"/>
              <w:left w:type="dxa" w:w="100"/>
              <w:bottom w:type="dxa" w:w="80"/>
              <w:right w:type="dxa" w:w="100"/>
            </w:tcMar>
          </w:tcPr>
          <w:p>
            <w:pPr>
              <w:jc w:val="left"/>
            </w:pPr>
            <w:r>
              <w:rPr>
                <w:color w:val="1E293B"/>
                <w:sz w:val="19"/>
                <w:szCs w:val="19"/>
              </w:rPr>
              <w:t xml:space="preserve">0.786</w:t>
            </w:r>
          </w:p>
        </w:tc>
        <w:tc>
          <w:tcPr>
            <w:tcW w:type="dxa" w:w="1100"/>
            <w:shd w:fill="FFFFFF" w:val="clear"/>
            <w:tcMar>
              <w:top w:type="dxa" w:w="80"/>
              <w:left w:type="dxa" w:w="100"/>
              <w:bottom w:type="dxa" w:w="80"/>
              <w:right w:type="dxa" w:w="100"/>
            </w:tcMar>
          </w:tcPr>
          <w:p>
            <w:pPr>
              <w:jc w:val="left"/>
            </w:pPr>
            <w:r>
              <w:rPr>
                <w:color w:val="1E293B"/>
                <w:sz w:val="19"/>
                <w:szCs w:val="19"/>
              </w:rPr>
              <w:t xml:space="preserve">21.4%</w:t>
            </w:r>
          </w:p>
        </w:tc>
        <w:tc>
          <w:tcPr>
            <w:tcW w:type="dxa" w:w="800"/>
            <w:shd w:fill="FFFFFF" w:val="clear"/>
            <w:tcMar>
              <w:top w:type="dxa" w:w="80"/>
              <w:left w:type="dxa" w:w="100"/>
              <w:bottom w:type="dxa" w:w="80"/>
              <w:right w:type="dxa" w:w="100"/>
            </w:tcMar>
          </w:tcPr>
          <w:p>
            <w:pPr>
              <w:jc w:val="left"/>
            </w:pPr>
            <w:r>
              <w:rPr>
                <w:color w:val="1E293B"/>
                <w:sz w:val="19"/>
                <w:szCs w:val="19"/>
              </w:rPr>
              <w:t xml:space="preserve">0.203</w:t>
            </w:r>
          </w:p>
        </w:tc>
        <w:tc>
          <w:tcPr>
            <w:tcW w:type="dxa" w:w="2400"/>
            <w:shd w:fill="FFFFFF" w:val="clear"/>
            <w:tcMar>
              <w:top w:type="dxa" w:w="80"/>
              <w:left w:type="dxa" w:w="100"/>
              <w:bottom w:type="dxa" w:w="80"/>
              <w:right w:type="dxa" w:w="100"/>
            </w:tcMar>
          </w:tcPr>
          <w:p>
            <w:pPr>
              <w:jc w:val="left"/>
            </w:pPr>
            <w:r>
              <w:rPr>
                <w:color w:val="1E293B"/>
                <w:sz w:val="19"/>
                <w:szCs w:val="19"/>
              </w:rPr>
              <w:t xml:space="preserve">Sensitivity Crash: Naive re-balancing shifted prior probability; sensitivity collapsed to 21.4%.</w:t>
            </w:r>
          </w:p>
        </w:tc>
      </w:tr>
      <w:tr>
        <w:tc>
          <w:tcPr>
            <w:tcW w:type="dxa" w:w="1300"/>
            <w:shd w:fill="F8FAFC" w:val="clear"/>
            <w:tcMar>
              <w:top w:type="dxa" w:w="80"/>
              <w:left w:type="dxa" w:w="100"/>
              <w:bottom w:type="dxa" w:w="80"/>
              <w:right w:type="dxa" w:w="100"/>
            </w:tcMar>
          </w:tcPr>
          <w:p>
            <w:pPr>
              <w:jc w:val="left"/>
            </w:pPr>
            <w:r>
              <w:rPr>
                <w:color w:val="1E293B"/>
                <w:sz w:val="19"/>
                <w:szCs w:val="19"/>
              </w:rPr>
              <w:t xml:space="preserve">v6_1.0 (Zero-Shot)</w:t>
            </w:r>
          </w:p>
        </w:tc>
        <w:tc>
          <w:tcPr>
            <w:tcW w:type="dxa" w:w="900"/>
            <w:shd w:fill="F8FAFC" w:val="clear"/>
            <w:tcMar>
              <w:top w:type="dxa" w:w="80"/>
              <w:left w:type="dxa" w:w="100"/>
              <w:bottom w:type="dxa" w:w="80"/>
              <w:right w:type="dxa" w:w="100"/>
            </w:tcMar>
          </w:tcPr>
          <w:p>
            <w:pPr>
              <w:jc w:val="left"/>
            </w:pPr>
            <w:r>
              <w:rPr>
                <w:color w:val="1E293B"/>
                <w:sz w:val="19"/>
                <w:szCs w:val="19"/>
              </w:rPr>
              <w:t xml:space="preserve">288x288</w:t>
            </w:r>
          </w:p>
        </w:tc>
        <w:tc>
          <w:tcPr>
            <w:tcW w:type="dxa" w:w="1000"/>
            <w:shd w:fill="F8FAFC" w:val="clear"/>
            <w:tcMar>
              <w:top w:type="dxa" w:w="80"/>
              <w:left w:type="dxa" w:w="100"/>
              <w:bottom w:type="dxa" w:w="80"/>
              <w:right w:type="dxa" w:w="100"/>
            </w:tcMar>
          </w:tcPr>
          <w:p>
            <w:pPr>
              <w:jc w:val="left"/>
            </w:pPr>
            <w:r>
              <w:rPr>
                <w:color w:val="1E293B"/>
                <w:sz w:val="19"/>
                <w:szCs w:val="19"/>
              </w:rPr>
              <w:t xml:space="preserve">0.944</w:t>
            </w:r>
          </w:p>
        </w:tc>
        <w:tc>
          <w:tcPr>
            <w:tcW w:type="dxa" w:w="1200"/>
            <w:shd w:fill="F8FAFC" w:val="clear"/>
            <w:tcMar>
              <w:top w:type="dxa" w:w="80"/>
              <w:left w:type="dxa" w:w="100"/>
              <w:bottom w:type="dxa" w:w="80"/>
              <w:right w:type="dxa" w:w="100"/>
            </w:tcMar>
          </w:tcPr>
          <w:p>
            <w:pPr>
              <w:jc w:val="left"/>
            </w:pPr>
            <w:r>
              <w:rPr>
                <w:color w:val="1E293B"/>
                <w:sz w:val="19"/>
                <w:szCs w:val="19"/>
              </w:rPr>
              <w:t xml:space="preserve">0.802</w:t>
            </w:r>
          </w:p>
        </w:tc>
        <w:tc>
          <w:tcPr>
            <w:tcW w:type="dxa" w:w="1200"/>
            <w:shd w:fill="F8FAFC" w:val="clear"/>
            <w:tcMar>
              <w:top w:type="dxa" w:w="80"/>
              <w:left w:type="dxa" w:w="100"/>
              <w:bottom w:type="dxa" w:w="80"/>
              <w:right w:type="dxa" w:w="100"/>
            </w:tcMar>
          </w:tcPr>
          <w:p>
            <w:pPr>
              <w:jc w:val="left"/>
            </w:pPr>
            <w:r>
              <w:rPr>
                <w:color w:val="1E293B"/>
                <w:sz w:val="19"/>
                <w:szCs w:val="19"/>
              </w:rPr>
              <w:t xml:space="preserve">N/A</w:t>
            </w:r>
          </w:p>
        </w:tc>
        <w:tc>
          <w:tcPr>
            <w:tcW w:type="dxa" w:w="1100"/>
            <w:shd w:fill="F8FAFC" w:val="clear"/>
            <w:tcMar>
              <w:top w:type="dxa" w:w="80"/>
              <w:left w:type="dxa" w:w="100"/>
              <w:bottom w:type="dxa" w:w="80"/>
              <w:right w:type="dxa" w:w="100"/>
            </w:tcMar>
          </w:tcPr>
          <w:p>
            <w:pPr>
              <w:jc w:val="left"/>
            </w:pPr>
            <w:r>
              <w:rPr>
                <w:color w:val="1E293B"/>
                <w:sz w:val="19"/>
                <w:szCs w:val="19"/>
              </w:rPr>
              <w:t xml:space="preserve">53.8%</w:t>
            </w:r>
          </w:p>
        </w:tc>
        <w:tc>
          <w:tcPr>
            <w:tcW w:type="dxa" w:w="800"/>
            <w:shd w:fill="F8FAFC" w:val="clear"/>
            <w:tcMar>
              <w:top w:type="dxa" w:w="80"/>
              <w:left w:type="dxa" w:w="100"/>
              <w:bottom w:type="dxa" w:w="80"/>
              <w:right w:type="dxa" w:w="100"/>
            </w:tcMar>
          </w:tcPr>
          <w:p>
            <w:pPr>
              <w:jc w:val="left"/>
            </w:pPr>
            <w:r>
              <w:rPr>
                <w:color w:val="1E293B"/>
                <w:sz w:val="19"/>
                <w:szCs w:val="19"/>
              </w:rPr>
              <w:t xml:space="preserve">0.042</w:t>
            </w:r>
          </w:p>
        </w:tc>
        <w:tc>
          <w:tcPr>
            <w:tcW w:type="dxa" w:w="2400"/>
            <w:shd w:fill="F8FAFC" w:val="clear"/>
            <w:tcMar>
              <w:top w:type="dxa" w:w="80"/>
              <w:left w:type="dxa" w:w="100"/>
              <w:bottom w:type="dxa" w:w="80"/>
              <w:right w:type="dxa" w:w="100"/>
            </w:tcMar>
          </w:tcPr>
          <w:p>
            <w:pPr>
              <w:jc w:val="left"/>
            </w:pPr>
            <w:r>
              <w:rPr>
                <w:color w:val="1E293B"/>
                <w:sz w:val="19"/>
                <w:szCs w:val="19"/>
              </w:rPr>
              <w:t xml:space="preserve">High-Res Multi-Task: Scaled to 288px with MC Dropout. Significant leap in zero-shot transfer.</w:t>
            </w:r>
          </w:p>
        </w:tc>
      </w:tr>
      <w:tr>
        <w:tc>
          <w:tcPr>
            <w:tcW w:type="dxa" w:w="1300"/>
            <w:shd w:fill="FFFFFF" w:val="clear"/>
            <w:tcMar>
              <w:top w:type="dxa" w:w="80"/>
              <w:left w:type="dxa" w:w="100"/>
              <w:bottom w:type="dxa" w:w="80"/>
              <w:right w:type="dxa" w:w="100"/>
            </w:tcMar>
          </w:tcPr>
          <w:p>
            <w:pPr>
              <w:jc w:val="left"/>
            </w:pPr>
            <w:r>
              <w:rPr>
                <w:color w:val="1E293B"/>
                <w:sz w:val="19"/>
                <w:szCs w:val="19"/>
              </w:rPr>
              <w:t xml:space="preserve">v6_2.0 (Adapted)</w:t>
            </w:r>
          </w:p>
        </w:tc>
        <w:tc>
          <w:tcPr>
            <w:tcW w:type="dxa" w:w="900"/>
            <w:shd w:fill="FFFFFF" w:val="clear"/>
            <w:tcMar>
              <w:top w:type="dxa" w:w="80"/>
              <w:left w:type="dxa" w:w="100"/>
              <w:bottom w:type="dxa" w:w="80"/>
              <w:right w:type="dxa" w:w="100"/>
            </w:tcMar>
          </w:tcPr>
          <w:p>
            <w:pPr>
              <w:jc w:val="left"/>
            </w:pPr>
            <w:r>
              <w:rPr>
                <w:color w:val="1E293B"/>
                <w:sz w:val="19"/>
                <w:szCs w:val="19"/>
              </w:rPr>
              <w:t xml:space="preserve">288x288</w:t>
            </w:r>
          </w:p>
        </w:tc>
        <w:tc>
          <w:tcPr>
            <w:tcW w:type="dxa" w:w="1000"/>
            <w:shd w:fill="FFFFFF" w:val="clear"/>
            <w:tcMar>
              <w:top w:type="dxa" w:w="80"/>
              <w:left w:type="dxa" w:w="100"/>
              <w:bottom w:type="dxa" w:w="80"/>
              <w:right w:type="dxa" w:w="100"/>
            </w:tcMar>
          </w:tcPr>
          <w:p>
            <w:pPr>
              <w:jc w:val="left"/>
            </w:pPr>
            <w:r>
              <w:rPr>
                <w:color w:val="1E293B"/>
                <w:sz w:val="19"/>
                <w:szCs w:val="19"/>
              </w:rPr>
              <w:t xml:space="preserve">0.941</w:t>
            </w:r>
          </w:p>
        </w:tc>
        <w:tc>
          <w:tcPr>
            <w:tcW w:type="dxa" w:w="1200"/>
            <w:shd w:fill="FFFFFF" w:val="clear"/>
            <w:tcMar>
              <w:top w:type="dxa" w:w="80"/>
              <w:left w:type="dxa" w:w="100"/>
              <w:bottom w:type="dxa" w:w="80"/>
              <w:right w:type="dxa" w:w="100"/>
            </w:tcMar>
          </w:tcPr>
          <w:p>
            <w:pPr>
              <w:jc w:val="left"/>
            </w:pPr>
            <w:r>
              <w:rPr>
                <w:color w:val="1E293B"/>
                <w:sz w:val="19"/>
                <w:szCs w:val="19"/>
              </w:rPr>
              <w:t xml:space="preserve">0.802</w:t>
            </w:r>
          </w:p>
        </w:tc>
        <w:tc>
          <w:tcPr>
            <w:tcW w:type="dxa" w:w="1200"/>
            <w:shd w:fill="FFFFFF" w:val="clear"/>
            <w:tcMar>
              <w:top w:type="dxa" w:w="80"/>
              <w:left w:type="dxa" w:w="100"/>
              <w:bottom w:type="dxa" w:w="80"/>
              <w:right w:type="dxa" w:w="100"/>
            </w:tcMar>
          </w:tcPr>
          <w:p>
            <w:pPr>
              <w:jc w:val="left"/>
            </w:pPr>
            <w:r>
              <w:rPr>
                <w:color w:val="1E293B"/>
                <w:sz w:val="19"/>
                <w:szCs w:val="19"/>
              </w:rPr>
              <w:t xml:space="preserve">0.817</w:t>
            </w:r>
          </w:p>
        </w:tc>
        <w:tc>
          <w:tcPr>
            <w:tcW w:type="dxa" w:w="1100"/>
            <w:shd w:fill="FFFFFF" w:val="clear"/>
            <w:tcMar>
              <w:top w:type="dxa" w:w="80"/>
              <w:left w:type="dxa" w:w="100"/>
              <w:bottom w:type="dxa" w:w="80"/>
              <w:right w:type="dxa" w:w="100"/>
            </w:tcMar>
          </w:tcPr>
          <w:p>
            <w:pPr>
              <w:jc w:val="left"/>
            </w:pPr>
            <w:r>
              <w:rPr>
                <w:color w:val="1E293B"/>
                <w:sz w:val="19"/>
                <w:szCs w:val="19"/>
              </w:rPr>
              <w:t xml:space="preserve">73.6%</w:t>
            </w:r>
          </w:p>
        </w:tc>
        <w:tc>
          <w:tcPr>
            <w:tcW w:type="dxa" w:w="800"/>
            <w:shd w:fill="FFFFFF" w:val="clear"/>
            <w:tcMar>
              <w:top w:type="dxa" w:w="80"/>
              <w:left w:type="dxa" w:w="100"/>
              <w:bottom w:type="dxa" w:w="80"/>
              <w:right w:type="dxa" w:w="100"/>
            </w:tcMar>
          </w:tcPr>
          <w:p>
            <w:pPr>
              <w:jc w:val="left"/>
            </w:pPr>
            <w:r>
              <w:rPr>
                <w:color w:val="1E293B"/>
                <w:sz w:val="19"/>
                <w:szCs w:val="19"/>
              </w:rPr>
              <w:t xml:space="preserve">0.038</w:t>
            </w:r>
          </w:p>
        </w:tc>
        <w:tc>
          <w:tcPr>
            <w:tcW w:type="dxa" w:w="2400"/>
            <w:shd w:fill="FFFFFF" w:val="clear"/>
            <w:tcMar>
              <w:top w:type="dxa" w:w="80"/>
              <w:left w:type="dxa" w:w="100"/>
              <w:bottom w:type="dxa" w:w="80"/>
              <w:right w:type="dxa" w:w="100"/>
            </w:tcMar>
          </w:tcPr>
          <w:p>
            <w:pPr>
              <w:jc w:val="left"/>
            </w:pPr>
            <w:r>
              <w:rPr>
                <w:color w:val="1E293B"/>
                <w:sz w:val="19"/>
                <w:szCs w:val="19"/>
              </w:rPr>
              <w:t xml:space="preserve">2-Stage Adaptation: CORAL plus pseudo-labels recovered sensitivity by +19.8% on target hospital.</w:t>
            </w:r>
          </w:p>
        </w:tc>
      </w:tr>
    </w:tbl>
    <w:p>
      <w:pPr>
        <w:spacing w:after="100" w:before="100" w:line="280"/>
        <w:jc w:val="left"/>
      </w:pPr>
      <w:r>
        <w:rPr>
          <w:b w:val="false"/>
          <w:bCs w:val="false"/>
          <w:i w:val="false"/>
          <w:iCs w:val="false"/>
          <w:color w:val="1E293B"/>
          <w:sz w:val="22"/>
          <w:szCs w:val="22"/>
        </w:rPr>
        <w:t xml:space="preserve"/>
      </w:r>
    </w:p>
    <w:p>
      <w:pPr>
        <w:spacing w:after="80" w:before="140"/>
        <w:jc w:val="center"/>
      </w:pPr>
      <w:r>
        <w:drawing>
          <wp:inline distT="0" distB="0" distL="0" distR="0">
            <wp:extent cx="5143500" cy="2381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381250"/>
                    </a:xfrm>
                    <a:prstGeom prst="rect">
                      <a:avLst/>
                    </a:prstGeom>
                  </pic:spPr>
                </pic:pic>
              </a:graphicData>
            </a:graphic>
          </wp:inline>
        </w:drawing>
      </w:r>
    </w:p>
    <w:p>
      <w:pPr>
        <w:spacing w:after="100" w:before="60"/>
        <w:jc w:val="center"/>
      </w:pPr>
      <w:r>
        <w:rPr>
          <w:b/>
          <w:bCs/>
          <w:color w:val="0F172A"/>
          <w:sz w:val="21"/>
          <w:szCs w:val="21"/>
        </w:rPr>
        <w:t xml:space="preserve">Figure 2: Complete Evolutionary Trajectory of Internal vs. External Generalization Across Versions v1 to v6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Blue Curve (Internal Validation AUC): </w:t>
            </w:r>
            <w:r>
              <w:rPr>
                <w:color w:val="334155"/>
                <w:sz w:val="20"/>
                <w:szCs w:val="20"/>
              </w:rPr>
              <w:t xml:space="preserve">Shows model accuracy on same-hospital data. Notice artificial spike in v1 (0.984) from leakage, dropping to realistic clinical levels (0.94) after controls.</w:t>
            </w:r>
          </w:p>
          <w:p>
            <w:pPr>
              <w:pStyle w:val="ListParagraph"/>
              <w:numPr>
                <w:ilvl w:val="0"/>
                <w:numId w:val="1"/>
              </w:numPr>
              <w:spacing w:after="40" w:before="40" w:line="240"/>
            </w:pPr>
            <w:r>
              <w:rPr>
                <w:b/>
                <w:bCs/>
                <w:color w:val="0F172A"/>
                <w:sz w:val="20"/>
                <w:szCs w:val="20"/>
              </w:rPr>
              <w:t xml:space="preserve">Orange Curve (External Zero-Shot AUC): </w:t>
            </w:r>
            <w:r>
              <w:rPr>
                <w:color w:val="334155"/>
                <w:sz w:val="20"/>
                <w:szCs w:val="20"/>
              </w:rPr>
              <w:t xml:space="preserve">Demonstrates transfer to unseen hospital. Notice how 288px resolution and Graham normalization in v6_1.0 lifted external AUC above 0.80.</w:t>
            </w:r>
          </w:p>
          <w:p>
            <w:pPr>
              <w:pStyle w:val="ListParagraph"/>
              <w:numPr>
                <w:ilvl w:val="0"/>
                <w:numId w:val="1"/>
              </w:numPr>
              <w:spacing w:after="40" w:before="40" w:line="240"/>
            </w:pPr>
            <w:r>
              <w:rPr>
                <w:b/>
                <w:bCs/>
                <w:color w:val="0F172A"/>
                <w:sz w:val="20"/>
                <w:szCs w:val="20"/>
              </w:rPr>
              <w:t xml:space="preserve">Green Curve (External Adapted AUC): </w:t>
            </w:r>
            <w:r>
              <w:rPr>
                <w:color w:val="334155"/>
                <w:sz w:val="20"/>
                <w:szCs w:val="20"/>
              </w:rPr>
              <w:t xml:space="preserve">Highlights performance boost achieved in v6_2.0 when unsupervised domain adaptation was activated, outperforming all previous versions.</w:t>
            </w:r>
          </w:p>
          <w:p>
            <w:pPr>
              <w:spacing w:after="40" w:before="80" w:line="240"/>
            </w:pPr>
            <w:r>
              <w:rPr>
                <w:b/>
                <w:bCs/>
                <w:color w:val="B45309"/>
                <w:sz w:val="20"/>
                <w:szCs w:val="20"/>
              </w:rPr>
              <w:t xml:space="preserve">Key Takeaway for Defense / Viva: </w:t>
            </w:r>
            <w:r>
              <w:rPr>
                <w:i/>
                <w:iCs/>
                <w:color w:val="78350F"/>
                <w:sz w:val="20"/>
                <w:szCs w:val="20"/>
              </w:rPr>
              <w:t xml:space="preserve">Explain that real engineering progress is non-linear. The drop in metrics between v1 and v3 was not a failure, but the removal of artificial shortcuts that made the evaluation scientifically sound.</w:t>
            </w:r>
          </w:p>
        </w:tc>
      </w:tr>
    </w:tbl>
    <w:p>
      <w:pPr>
        <w:spacing w:after="100" w:before="100" w:line="280"/>
        <w:jc w:val="left"/>
      </w:pPr>
      <w:r>
        <w:rPr>
          <w:b w:val="false"/>
          <w:bCs w:val="false"/>
          <w:i w:val="false"/>
          <w:iCs w:val="false"/>
          <w:color w:val="1E293B"/>
          <w:sz w:val="22"/>
          <w:szCs w:val="22"/>
        </w:rPr>
        <w:t xml:space="preserve"/>
      </w:r>
    </w:p>
    <w:p>
      <w:pPr>
        <w:spacing w:after="80" w:before="140"/>
        <w:jc w:val="center"/>
      </w:pPr>
      <w:r>
        <w:drawing>
          <wp:inline distT="0" distB="0" distL="0" distR="0">
            <wp:extent cx="5143500" cy="29337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33700"/>
                    </a:xfrm>
                    <a:prstGeom prst="rect">
                      <a:avLst/>
                    </a:prstGeom>
                  </pic:spPr>
                </pic:pic>
              </a:graphicData>
            </a:graphic>
          </wp:inline>
        </w:drawing>
      </w:r>
    </w:p>
    <w:p>
      <w:pPr>
        <w:spacing w:after="100" w:before="60"/>
        <w:jc w:val="center"/>
      </w:pPr>
      <w:r>
        <w:rPr>
          <w:b/>
          <w:bCs/>
          <w:color w:val="0F172A"/>
          <w:sz w:val="21"/>
          <w:szCs w:val="21"/>
        </w:rPr>
        <w:t xml:space="preserve">Figure 3: Grad-CAM Explainability Audit Grid Diagnosing Feature Shortcuts Across Versions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Top Rows (Version v2 Flawed Heatmaps): </w:t>
            </w:r>
            <w:r>
              <w:rPr>
                <w:color w:val="334155"/>
                <w:sz w:val="20"/>
                <w:szCs w:val="20"/>
              </w:rPr>
              <w:t xml:space="preserve">Activations glow bright red along outer black rectangular borders and corners, proving the model classified cataracts based on camera frame geometry.</w:t>
            </w:r>
          </w:p>
          <w:p>
            <w:pPr>
              <w:pStyle w:val="ListParagraph"/>
              <w:numPr>
                <w:ilvl w:val="0"/>
                <w:numId w:val="1"/>
              </w:numPr>
              <w:spacing w:after="40" w:before="40" w:line="240"/>
            </w:pPr>
            <w:r>
              <w:rPr>
                <w:b/>
                <w:bCs/>
                <w:color w:val="0F172A"/>
                <w:sz w:val="20"/>
                <w:szCs w:val="20"/>
              </w:rPr>
              <w:t xml:space="preserve">Bottom Rows (Version v3 and v6 Corrected): </w:t>
            </w:r>
            <w:r>
              <w:rPr>
                <w:color w:val="334155"/>
                <w:sz w:val="20"/>
                <w:szCs w:val="20"/>
              </w:rPr>
              <w:t xml:space="preserve">After circular FOV masking, attention shifts directly over the optic disc, retinal blood vessels, and lens media opacity.</w:t>
            </w:r>
          </w:p>
          <w:p>
            <w:pPr>
              <w:spacing w:after="40" w:before="80" w:line="240"/>
            </w:pPr>
            <w:r>
              <w:rPr>
                <w:b/>
                <w:bCs/>
                <w:color w:val="B45309"/>
                <w:sz w:val="20"/>
                <w:szCs w:val="20"/>
              </w:rPr>
              <w:t xml:space="preserve">Key Takeaway for Defense / Viva: </w:t>
            </w:r>
            <w:r>
              <w:rPr>
                <w:i/>
                <w:iCs/>
                <w:color w:val="78350F"/>
                <w:sz w:val="20"/>
                <w:szCs w:val="20"/>
              </w:rPr>
              <w:t xml:space="preserve">If asked how you validated that the model is making decisions for the right clinical reasons, cite this Grad-CAM audit as direct empirical evidence.</w:t>
            </w:r>
          </w:p>
        </w:tc>
      </w:tr>
    </w:tbl>
    <w:p>
      <w:r>
        <w:br w:type="page"/>
      </w:r>
    </w:p>
    <w:p>
      <w:pPr>
        <w:pStyle w:val="Heading1"/>
        <w:pBdr>
          <w:bottom w:val="single" w:color="2563EB" w:sz="12"/>
        </w:pBdr>
        <w:spacing w:after="140" w:before="280"/>
      </w:pPr>
      <w:r>
        <w:rPr>
          <w:b/>
          <w:bCs/>
          <w:color w:val="0F172A"/>
          <w:sz w:val="32"/>
          <w:szCs w:val="32"/>
        </w:rPr>
        <w:t xml:space="preserve">5. Cross-Hospital Domain Shift and Two-Stage Adaptation</w:t>
      </w:r>
    </w:p>
    <w:p>
      <w:pPr>
        <w:spacing w:after="100" w:before="100" w:line="280"/>
        <w:jc w:val="left"/>
      </w:pPr>
      <w:r>
        <w:rPr>
          <w:b w:val="false"/>
          <w:bCs w:val="false"/>
          <w:i w:val="false"/>
          <w:iCs w:val="false"/>
          <w:color w:val="1E293B"/>
          <w:sz w:val="22"/>
          <w:szCs w:val="22"/>
        </w:rPr>
        <w:t xml:space="preserve">When deploying an ophthalmic deep learning model into a new healthcare facility, collecting thousands of manual annotations from expert eye surgeons is expensive and impractical. To solve this, UncertaCat version 6_2.0 implements a Two-Stage Unsupervised Domain Adaptation (UDA) framework that adapts the network using only unlabelled retinal photographs from the target hospital.</w:t>
      </w:r>
    </w:p>
    <w:p>
      <w:pPr>
        <w:spacing w:after="80" w:before="140"/>
        <w:jc w:val="center"/>
      </w:pPr>
      <w:r>
        <w:drawing>
          <wp:inline distT="0" distB="0" distL="0" distR="0">
            <wp:extent cx="5143500" cy="2571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w:pPr>
        <w:spacing w:after="100" w:before="60"/>
        <w:jc w:val="center"/>
      </w:pPr>
      <w:r>
        <w:rPr>
          <w:b/>
          <w:bCs/>
          <w:color w:val="0F172A"/>
          <w:sz w:val="21"/>
          <w:szCs w:val="21"/>
        </w:rPr>
        <w:t xml:space="preserve">Figure 4: Quantitative Feature Space and Spectral Analysis of the Hospital Domain Gap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Panel A (Color Distributions): </w:t>
            </w:r>
            <w:r>
              <w:rPr>
                <w:color w:val="334155"/>
                <w:sz w:val="20"/>
                <w:szCs w:val="20"/>
              </w:rPr>
              <w:t xml:space="preserve">Plots color histograms of source hospital (ODIR, Zeiss/Canon) vs target hospital (RFMiD, Topcon). Target exhibits distinct green-yellow cast and lower dynamic range.</w:t>
            </w:r>
          </w:p>
          <w:p>
            <w:pPr>
              <w:pStyle w:val="ListParagraph"/>
              <w:numPr>
                <w:ilvl w:val="0"/>
                <w:numId w:val="1"/>
              </w:numPr>
              <w:spacing w:after="40" w:before="40" w:line="240"/>
            </w:pPr>
            <w:r>
              <w:rPr>
                <w:b/>
                <w:bCs/>
                <w:color w:val="0F172A"/>
                <w:sz w:val="20"/>
                <w:szCs w:val="20"/>
              </w:rPr>
              <w:t xml:space="preserve">Panel B (t-SNE Embeddings): </w:t>
            </w:r>
            <w:r>
              <w:rPr>
                <w:color w:val="334155"/>
                <w:sz w:val="20"/>
                <w:szCs w:val="20"/>
              </w:rPr>
              <w:t xml:space="preserve">Deep feature vectors from baseline model. Source points (blue) and target points (red) form completely separated clusters.</w:t>
            </w:r>
          </w:p>
          <w:p>
            <w:pPr>
              <w:pStyle w:val="ListParagraph"/>
              <w:numPr>
                <w:ilvl w:val="0"/>
                <w:numId w:val="1"/>
              </w:numPr>
              <w:spacing w:after="40" w:before="40" w:line="240"/>
            </w:pPr>
            <w:r>
              <w:rPr>
                <w:b/>
                <w:bCs/>
                <w:color w:val="0F172A"/>
                <w:sz w:val="20"/>
                <w:szCs w:val="20"/>
              </w:rPr>
              <w:t xml:space="preserve">Panel C (Covariance Shift): </w:t>
            </w:r>
            <w:r>
              <w:rPr>
                <w:color w:val="334155"/>
                <w:sz w:val="20"/>
                <w:szCs w:val="20"/>
              </w:rPr>
              <w:t xml:space="preserve">Shows the mathematical difference between feature covariance matrices, illustrating why source-trained boundaries fail on target images.</w:t>
            </w:r>
          </w:p>
          <w:p>
            <w:pPr>
              <w:spacing w:after="40" w:before="80" w:line="240"/>
            </w:pPr>
            <w:r>
              <w:rPr>
                <w:b/>
                <w:bCs/>
                <w:color w:val="B45309"/>
                <w:sz w:val="20"/>
                <w:szCs w:val="20"/>
              </w:rPr>
              <w:t xml:space="preserve">Key Takeaway for Defense / Viva: </w:t>
            </w:r>
            <w:r>
              <w:rPr>
                <w:i/>
                <w:iCs/>
                <w:color w:val="78350F"/>
                <w:sz w:val="20"/>
                <w:szCs w:val="20"/>
              </w:rPr>
              <w:t xml:space="preserve">This figure proves that domain shift is an objective physical reality caused by hardware differences, justifying the necessity of our domain adaptation algorithm.</w:t>
            </w:r>
          </w:p>
        </w:tc>
      </w:tr>
    </w:tbl>
    <w:p>
      <w:pPr>
        <w:pStyle w:val="Heading2"/>
        <w:pBdr>
          <w:bottom w:val="single" w:color="CBD5E1" w:sz="6"/>
        </w:pBdr>
        <w:spacing w:after="120" w:before="240"/>
      </w:pPr>
      <w:r>
        <w:rPr>
          <w:b/>
          <w:bCs/>
          <w:color w:val="1E3A8A"/>
          <w:sz w:val="26"/>
          <w:szCs w:val="26"/>
        </w:rPr>
        <w:t xml:space="preserve">5.1 Stage 1: Correlation Alignment (CORAL) Loss</w:t>
      </w:r>
    </w:p>
    <w:p>
      <w:pPr>
        <w:spacing w:after="100" w:before="100" w:line="280"/>
        <w:jc w:val="left"/>
      </w:pPr>
      <w:r>
        <w:rPr>
          <w:b w:val="false"/>
          <w:bCs w:val="false"/>
          <w:i w:val="false"/>
          <w:iCs w:val="false"/>
          <w:color w:val="1E293B"/>
          <w:sz w:val="22"/>
          <w:szCs w:val="22"/>
        </w:rPr>
        <w:t xml:space="preserve">The first stage aligns the second-order statistics (covariance matrices) of the deep feature representations between the source and target hospitals. Let C_S and C_T denote the feature covariance matrices of source and target batches of dimension d:</w:t>
      </w:r>
    </w:p>
    <w:p>
      <w:pPr>
        <w:spacing w:after="100" w:before="100" w:line="280"/>
        <w:jc w:val="left"/>
      </w:pPr>
      <w:r>
        <w:rPr>
          <w:b/>
          <w:bCs/>
          <w:i w:val="false"/>
          <w:iCs w:val="false"/>
          <w:color w:val="1E293B"/>
          <w:sz w:val="22"/>
          <w:szCs w:val="22"/>
        </w:rPr>
        <w:t xml:space="preserve">L_CORAL = (1 / (4 * d^2)) * || C_S - C_T ||_F^2</w:t>
      </w:r>
    </w:p>
    <w:p>
      <w:pPr>
        <w:spacing w:after="100" w:before="100" w:line="280"/>
        <w:jc w:val="left"/>
      </w:pPr>
      <w:r>
        <w:rPr>
          <w:b w:val="false"/>
          <w:bCs w:val="false"/>
          <w:i w:val="false"/>
          <w:iCs w:val="false"/>
          <w:color w:val="1E293B"/>
          <w:sz w:val="22"/>
          <w:szCs w:val="22"/>
        </w:rPr>
        <w:t xml:space="preserve">Where ||.||_F represents the Frobenius matrix norm. By minimizing this loss alongside the supervised source classification loss, the model learns optical features that are invariant to camera manufacturer differences without needing any target labels.</w:t>
      </w:r>
    </w:p>
    <w:p>
      <w:pPr>
        <w:pStyle w:val="Heading2"/>
        <w:pBdr>
          <w:bottom w:val="single" w:color="CBD5E1" w:sz="6"/>
        </w:pBdr>
        <w:spacing w:after="120" w:before="240"/>
      </w:pPr>
      <w:r>
        <w:rPr>
          <w:b/>
          <w:bCs/>
          <w:color w:val="1E3A8A"/>
          <w:sz w:val="26"/>
          <w:szCs w:val="26"/>
        </w:rPr>
        <w:t xml:space="preserve">5.2 Stage 2: Target Pseudo-Labeling with Entropy Regularization</w:t>
      </w:r>
    </w:p>
    <w:p>
      <w:pPr>
        <w:spacing w:after="100" w:before="100" w:line="280"/>
        <w:jc w:val="left"/>
      </w:pPr>
      <w:r>
        <w:rPr>
          <w:b w:val="false"/>
          <w:bCs w:val="false"/>
          <w:i w:val="false"/>
          <w:iCs w:val="false"/>
          <w:color w:val="1E293B"/>
          <w:sz w:val="22"/>
          <w:szCs w:val="22"/>
        </w:rPr>
        <w:t xml:space="preserve">Once features are roughly aligned by CORAL, the model generates predictions on unlabelled target images. For target samples where confidence exceeds 0.85, a pseudo-label is assigned. The network is then fine-tuned on these self-supervised target samples using binary cross-entropy combined with an entropy minimization penalty that pushes target decision boundaries into low-density regions.</w:t>
      </w:r>
    </w:p>
    <w:p>
      <w:pPr>
        <w:spacing w:after="80" w:before="140"/>
        <w:jc w:val="center"/>
      </w:pPr>
      <w:r>
        <w:drawing>
          <wp:inline distT="0" distB="0" distL="0" distR="0">
            <wp:extent cx="5143500" cy="2571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100" w:before="60"/>
        <w:jc w:val="center"/>
      </w:pPr>
      <w:r>
        <w:rPr>
          <w:b/>
          <w:bCs/>
          <w:color w:val="0F172A"/>
          <w:sz w:val="21"/>
          <w:szCs w:val="21"/>
        </w:rPr>
        <w:t xml:space="preserve">Figure 5: Target Hospital Sensitivity Recovery Achieved via Two-Stage Domain Adaptation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Left Bar (Zero-Shot Baseline): </w:t>
            </w:r>
            <w:r>
              <w:rPr>
                <w:color w:val="334155"/>
                <w:sz w:val="20"/>
                <w:szCs w:val="20"/>
              </w:rPr>
              <w:t xml:space="preserve">Demonstrates the alarming drop in clinical sensitivity down to 53.8 percent on the target hospital holdout cohort. In this state, the model misses 46.2 percent of diseased patients.</w:t>
            </w:r>
          </w:p>
          <w:p>
            <w:pPr>
              <w:pStyle w:val="ListParagraph"/>
              <w:numPr>
                <w:ilvl w:val="0"/>
                <w:numId w:val="1"/>
              </w:numPr>
              <w:spacing w:after="40" w:before="40" w:line="240"/>
            </w:pPr>
            <w:r>
              <w:rPr>
                <w:b/>
                <w:bCs/>
                <w:color w:val="0F172A"/>
                <w:sz w:val="20"/>
                <w:szCs w:val="20"/>
              </w:rPr>
              <w:t xml:space="preserve">Right Bar (Hospital-Adapted Model): </w:t>
            </w:r>
            <w:r>
              <w:rPr>
                <w:color w:val="334155"/>
                <w:sz w:val="20"/>
                <w:szCs w:val="20"/>
              </w:rPr>
              <w:t xml:space="preserve">Shows the recovery of sensitivity to 73.6 percent, representing a +19.8 percent absolute gain in clinical detection capability.</w:t>
            </w:r>
          </w:p>
          <w:p>
            <w:pPr>
              <w:pStyle w:val="ListParagraph"/>
              <w:numPr>
                <w:ilvl w:val="0"/>
                <w:numId w:val="1"/>
              </w:numPr>
              <w:spacing w:after="40" w:before="40" w:line="240"/>
            </w:pPr>
            <w:r>
              <w:rPr>
                <w:b/>
                <w:bCs/>
                <w:color w:val="0F172A"/>
                <w:sz w:val="20"/>
                <w:szCs w:val="20"/>
              </w:rPr>
              <w:t xml:space="preserve">Error Reduction: </w:t>
            </w:r>
            <w:r>
              <w:rPr>
                <w:color w:val="334155"/>
                <w:sz w:val="20"/>
                <w:szCs w:val="20"/>
              </w:rPr>
              <w:t xml:space="preserve">Shows that this sensitivity gain was achieved while simultaneously reducing Brier calibration error by 10.3 percent and Expected Calibration Error (ECE) by 23.2 percent.</w:t>
            </w:r>
          </w:p>
          <w:p>
            <w:pPr>
              <w:spacing w:after="40" w:before="80" w:line="240"/>
            </w:pPr>
            <w:r>
              <w:rPr>
                <w:b/>
                <w:bCs/>
                <w:color w:val="B45309"/>
                <w:sz w:val="20"/>
                <w:szCs w:val="20"/>
              </w:rPr>
              <w:t xml:space="preserve">Key Takeaway for Defense / Viva: </w:t>
            </w:r>
            <w:r>
              <w:rPr>
                <w:i/>
                <w:iCs/>
                <w:color w:val="78350F"/>
                <w:sz w:val="20"/>
                <w:szCs w:val="20"/>
              </w:rPr>
              <w:t xml:space="preserve">Emphasize that our adaptation method recovered nearly 20 percent more cataract cases without requiring a single manual annotation from the target hospital.</w:t>
            </w:r>
          </w:p>
        </w:tc>
      </w:tr>
    </w:tbl>
    <w:p>
      <w:r>
        <w:br w:type="page"/>
      </w:r>
    </w:p>
    <w:p>
      <w:pPr>
        <w:pStyle w:val="Heading1"/>
        <w:pBdr>
          <w:bottom w:val="single" w:color="2563EB" w:sz="12"/>
        </w:pBdr>
        <w:spacing w:after="140" w:before="280"/>
      </w:pPr>
      <w:r>
        <w:rPr>
          <w:b/>
          <w:bCs/>
          <w:color w:val="0F172A"/>
          <w:sz w:val="32"/>
          <w:szCs w:val="32"/>
        </w:rPr>
        <w:t xml:space="preserve">6. Epistemic Uncertainty Quantification and Safety Referrals</w:t>
      </w:r>
    </w:p>
    <w:p>
      <w:pPr>
        <w:spacing w:after="100" w:before="100" w:line="280"/>
        <w:jc w:val="left"/>
      </w:pPr>
      <w:r>
        <w:rPr>
          <w:b w:val="false"/>
          <w:bCs w:val="false"/>
          <w:i w:val="false"/>
          <w:iCs w:val="false"/>
          <w:color w:val="1E293B"/>
          <w:sz w:val="22"/>
          <w:szCs w:val="22"/>
        </w:rPr>
        <w:t xml:space="preserve">A primary reason medical professionals hesitate to adopt artificial intelligence is the phenomenon of overconfident errors. Traditional neural networks output high softmax probabilities even when handed invalid, blurry, or out-of-distribution inputs.</w:t>
      </w:r>
    </w:p>
    <w:p>
      <w:pPr>
        <w:pStyle w:val="Heading2"/>
        <w:pBdr>
          <w:bottom w:val="single" w:color="CBD5E1" w:sz="6"/>
        </w:pBdr>
        <w:spacing w:after="120" w:before="240"/>
      </w:pPr>
      <w:r>
        <w:rPr>
          <w:b/>
          <w:bCs/>
          <w:color w:val="1E3A8A"/>
          <w:sz w:val="26"/>
          <w:szCs w:val="26"/>
        </w:rPr>
        <w:t xml:space="preserve">6.1 Distinguishing Types of Uncertainty</w:t>
      </w:r>
    </w:p>
    <w:p>
      <w:pPr>
        <w:pStyle w:val="ListParagraph"/>
        <w:numPr>
          <w:ilvl w:val="0"/>
          <w:numId w:val="1"/>
        </w:numPr>
        <w:spacing w:after="60" w:before="60" w:line="260"/>
      </w:pPr>
      <w:r>
        <w:rPr>
          <w:b/>
          <w:bCs/>
          <w:color w:val="1E293B"/>
          <w:sz w:val="22"/>
          <w:szCs w:val="22"/>
        </w:rPr>
        <w:t xml:space="preserve">Aleatoric Uncertainty (Data Noise): </w:t>
      </w:r>
      <w:r>
        <w:rPr>
          <w:color w:val="334155"/>
          <w:sz w:val="22"/>
          <w:szCs w:val="22"/>
        </w:rPr>
        <w:t xml:space="preserve">Uncertainty inherent in the imaging process, such as patient motion blur, poor pupil dilation, or dark lighting. It cannot be reduced by collecting more training data.</w:t>
      </w:r>
    </w:p>
    <w:p>
      <w:pPr>
        <w:pStyle w:val="ListParagraph"/>
        <w:numPr>
          <w:ilvl w:val="0"/>
          <w:numId w:val="1"/>
        </w:numPr>
        <w:spacing w:after="60" w:before="60" w:line="260"/>
      </w:pPr>
      <w:r>
        <w:rPr>
          <w:b/>
          <w:bCs/>
          <w:color w:val="1E293B"/>
          <w:sz w:val="22"/>
          <w:szCs w:val="22"/>
        </w:rPr>
        <w:t xml:space="preserve">Epistemic Uncertainty (Model Ignorance): </w:t>
      </w:r>
      <w:r>
        <w:rPr>
          <w:color w:val="334155"/>
          <w:sz w:val="22"/>
          <w:szCs w:val="22"/>
        </w:rPr>
        <w:t xml:space="preserve">Uncertainty stemming from the model's lack of familiarity with a specific image pattern, camera optic, or rare pathology. This uncertainty can be detected and quantified.</w:t>
      </w:r>
    </w:p>
    <w:p>
      <w:pPr>
        <w:pStyle w:val="Heading2"/>
        <w:pBdr>
          <w:bottom w:val="single" w:color="CBD5E1" w:sz="6"/>
        </w:pBdr>
        <w:spacing w:after="120" w:before="240"/>
      </w:pPr>
      <w:r>
        <w:rPr>
          <w:b/>
          <w:bCs/>
          <w:color w:val="1E3A8A"/>
          <w:sz w:val="26"/>
          <w:szCs w:val="26"/>
        </w:rPr>
        <w:t xml:space="preserve">6.2 Monte Carlo Dropout Sampling</w:t>
      </w:r>
    </w:p>
    <w:p>
      <w:pPr>
        <w:spacing w:after="100" w:before="100" w:line="280"/>
        <w:jc w:val="left"/>
      </w:pPr>
      <w:r>
        <w:rPr>
          <w:b w:val="false"/>
          <w:bCs w:val="false"/>
          <w:i w:val="false"/>
          <w:iCs w:val="false"/>
          <w:color w:val="1E293B"/>
          <w:sz w:val="22"/>
          <w:szCs w:val="22"/>
        </w:rPr>
        <w:t xml:space="preserve">To measure epistemic uncertainty at runtime on resource-efficient hardware without training expensive deep ensembles, we implement Monte Carlo Dropout. Dropout layers (p=0.3) inserted before classification heads remain active during evaluation. For every incoming fundus photograph, the model performs T=10 stochastic forward passes, producing an ensemble of predictions:</w:t>
      </w:r>
    </w:p>
    <w:p>
      <w:pPr>
        <w:spacing w:after="100" w:before="100" w:line="280"/>
        <w:jc w:val="left"/>
      </w:pPr>
      <w:r>
        <w:rPr>
          <w:b/>
          <w:bCs/>
          <w:i w:val="false"/>
          <w:iCs w:val="false"/>
          <w:color w:val="1E293B"/>
          <w:sz w:val="22"/>
          <w:szCs w:val="22"/>
        </w:rPr>
        <w:t xml:space="preserve">Mean Probability: p_bar = (1 / T) * sum(p_t)
Epistemic Uncertainty: sigma = sqrt((1 / T) * sum((p_t - p_bar)^2))</w:t>
      </w:r>
    </w:p>
    <w:p>
      <w:pPr>
        <w:spacing w:after="100" w:before="100" w:line="280"/>
        <w:jc w:val="left"/>
      </w:pPr>
      <w:r>
        <w:rPr>
          <w:b w:val="false"/>
          <w:bCs w:val="false"/>
          <w:i w:val="false"/>
          <w:iCs w:val="false"/>
          <w:color w:val="1E293B"/>
          <w:sz w:val="22"/>
          <w:szCs w:val="22"/>
        </w:rPr>
        <w:t xml:space="preserve">If all ten forward passes yield consistent predictions, standard deviation sigma is very small (for example, +/- 0.8%), indicating high model certainty. If the dropout passes disagree widely (for example, +/- 8.5%), the image resides near the model's decision boundary or features unfamiliar optics.</w:t>
      </w:r>
    </w:p>
    <w:p>
      <w:pPr>
        <w:spacing w:after="80" w:before="140"/>
        <w:jc w:val="center"/>
      </w:pPr>
      <w:r>
        <w:drawing>
          <wp:inline distT="0" distB="0" distL="0" distR="0">
            <wp:extent cx="5143500" cy="21431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143125"/>
                    </a:xfrm>
                    <a:prstGeom prst="rect">
                      <a:avLst/>
                    </a:prstGeom>
                  </pic:spPr>
                </pic:pic>
              </a:graphicData>
            </a:graphic>
          </wp:inline>
        </w:drawing>
      </w:r>
    </w:p>
    <w:p>
      <w:pPr>
        <w:spacing w:after="100" w:before="60"/>
        <w:jc w:val="center"/>
      </w:pPr>
      <w:r>
        <w:rPr>
          <w:b/>
          <w:bCs/>
          <w:color w:val="0F172A"/>
          <w:sz w:val="21"/>
          <w:szCs w:val="21"/>
        </w:rPr>
        <w:t xml:space="preserve">Figure 6: Reliability Diagrams and Risk-Coverage Curves Across In-Domain and Out-of-Domain Cohorts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Top Panels (Reliability Curves): </w:t>
            </w:r>
            <w:r>
              <w:rPr>
                <w:color w:val="334155"/>
                <w:sz w:val="20"/>
                <w:szCs w:val="20"/>
              </w:rPr>
              <w:t xml:space="preserve">Plot predicted confidence vs observed empirical accuracy across fifteen equal probability bins. A perfectly calibrated model aligns with the 45-degree diagonal.</w:t>
            </w:r>
          </w:p>
          <w:p>
            <w:pPr>
              <w:pStyle w:val="ListParagraph"/>
              <w:numPr>
                <w:ilvl w:val="0"/>
                <w:numId w:val="1"/>
              </w:numPr>
              <w:spacing w:after="40" w:before="40" w:line="240"/>
            </w:pPr>
            <w:r>
              <w:rPr>
                <w:b/>
                <w:bCs/>
                <w:color w:val="0F172A"/>
                <w:sz w:val="20"/>
                <w:szCs w:val="20"/>
              </w:rPr>
              <w:t xml:space="preserve">Bottom Panels (Risk-Coverage Tradeoff): </w:t>
            </w:r>
            <w:r>
              <w:rPr>
                <w:color w:val="334155"/>
                <w:sz w:val="20"/>
                <w:szCs w:val="20"/>
              </w:rPr>
              <w:t xml:space="preserve">Illustrate clinical risk as a function of patient referral coverage. As cases with highest uncertainty (sigma) are referred to human specialists, error rate on retained cases drops sharply.</w:t>
            </w:r>
          </w:p>
          <w:p>
            <w:pPr>
              <w:spacing w:after="40" w:before="80" w:line="240"/>
            </w:pPr>
            <w:r>
              <w:rPr>
                <w:b/>
                <w:bCs/>
                <w:color w:val="B45309"/>
                <w:sz w:val="20"/>
                <w:szCs w:val="20"/>
              </w:rPr>
              <w:t xml:space="preserve">Key Takeaway for Defense / Viva: </w:t>
            </w:r>
            <w:r>
              <w:rPr>
                <w:i/>
                <w:iCs/>
                <w:color w:val="78350F"/>
                <w:sz w:val="20"/>
                <w:szCs w:val="20"/>
              </w:rPr>
              <w:t xml:space="preserve">Explain that measuring uncertainty allows the AI system to selectively triage patients, maintaining near-perfect accuracy on cases it retains while safely escalating ambiguous cases.</w:t>
            </w:r>
          </w:p>
        </w:tc>
      </w:tr>
    </w:tbl>
    <w:p>
      <w:pPr>
        <w:pStyle w:val="Heading2"/>
        <w:pBdr>
          <w:bottom w:val="single" w:color="CBD5E1" w:sz="6"/>
        </w:pBdr>
        <w:spacing w:after="120" w:before="240"/>
      </w:pPr>
      <w:r>
        <w:rPr>
          <w:b/>
          <w:bCs/>
          <w:color w:val="1E3A8A"/>
          <w:sz w:val="26"/>
          <w:szCs w:val="26"/>
        </w:rPr>
        <w:t xml:space="preserve">6.3 Automated Clinical Safety Referral Cutoff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EC4899" w:sz="24"/>
              <w:bottom w:val="none"/>
              <w:right w:val="none"/>
            </w:tcBorders>
            <w:shd w:fill="FDF2F8" w:val="clear"/>
            <w:tcMar>
              <w:top w:type="dxa" w:w="140"/>
              <w:left w:type="dxa" w:w="200"/>
              <w:bottom w:type="dxa" w:w="140"/>
              <w:right w:type="dxa" w:w="160"/>
            </w:tcMar>
          </w:tcPr>
          <w:p>
            <w:pPr>
              <w:spacing w:after="60" w:before="40"/>
            </w:pPr>
            <w:r>
              <w:rPr>
                <w:b/>
                <w:bCs/>
                <w:color w:val="0F172A"/>
                <w:sz w:val="22"/>
                <w:szCs w:val="22"/>
              </w:rPr>
              <w:t xml:space="preserve">Clinical Safety Referral Rule</w:t>
            </w:r>
          </w:p>
          <w:p>
            <w:pPr>
              <w:spacing w:after="40" w:before="40" w:line="260"/>
            </w:pPr>
            <w:r>
              <w:rPr>
                <w:color w:val="334155"/>
                <w:sz w:val="21"/>
                <w:szCs w:val="21"/>
              </w:rPr>
              <w:t xml:space="preserve">If sigma &gt;= 0.08 (8.0 percent standard deviation across Monte Carlo passes), the system immediately overrides the probability output and issues an automated Safety Referral: In-Person Slit-Lamp Biomicroscopy Required. The patient is flagged for manual physician examination regardless of whether their predicted cataract probability was low or high.</w:t>
            </w:r>
          </w:p>
        </w:tc>
      </w:tr>
    </w:tbl>
    <w:p>
      <w:r>
        <w:br w:type="page"/>
      </w:r>
    </w:p>
    <w:p>
      <w:pPr>
        <w:pStyle w:val="Heading1"/>
        <w:pBdr>
          <w:bottom w:val="single" w:color="2563EB" w:sz="12"/>
        </w:pBdr>
        <w:spacing w:after="140" w:before="280"/>
      </w:pPr>
      <w:r>
        <w:rPr>
          <w:b/>
          <w:bCs/>
          <w:color w:val="0F172A"/>
          <w:sz w:val="32"/>
          <w:szCs w:val="32"/>
        </w:rPr>
        <w:t xml:space="preserve">7. Empirical Results and Performance Benchmarks</w:t>
      </w:r>
    </w:p>
    <w:p>
      <w:pPr>
        <w:spacing w:after="100" w:before="100" w:line="280"/>
        <w:jc w:val="left"/>
      </w:pPr>
      <w:r>
        <w:rPr>
          <w:b w:val="false"/>
          <w:bCs w:val="false"/>
          <w:i w:val="false"/>
          <w:iCs w:val="false"/>
          <w:color w:val="1E293B"/>
          <w:sz w:val="22"/>
          <w:szCs w:val="22"/>
        </w:rPr>
        <w:t xml:space="preserve">All reported metrics are verified directly from our project benchmark records (including master_table.md, results_v6_1.0.json, and results_v6_2.0.json).</w:t>
      </w:r>
    </w:p>
    <w:p>
      <w:pPr>
        <w:pStyle w:val="Heading2"/>
        <w:pBdr>
          <w:bottom w:val="single" w:color="CBD5E1" w:sz="6"/>
        </w:pBdr>
        <w:spacing w:after="120" w:before="240"/>
      </w:pPr>
      <w:r>
        <w:rPr>
          <w:b/>
          <w:bCs/>
          <w:color w:val="1E3A8A"/>
          <w:sz w:val="26"/>
          <w:szCs w:val="26"/>
        </w:rPr>
        <w:t xml:space="preserve">7.1 Master Comparison Benchmark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1900"/>
        <w:gridCol w:w="1900"/>
      </w:tblGrid>
      <w:tr>
        <w:trPr>
          <w:tblHeader/>
        </w:trPr>
        <w:tc>
          <w:tcPr>
            <w:tcW w:type="dxa" w:w="2300"/>
            <w:shd w:fill="F1F5F9" w:val="clear"/>
            <w:tcMar>
              <w:top w:type="dxa" w:w="100"/>
              <w:left w:type="dxa" w:w="100"/>
              <w:bottom w:type="dxa" w:w="100"/>
              <w:right w:type="dxa" w:w="100"/>
            </w:tcMar>
          </w:tcPr>
          <w:p>
            <w:pPr>
              <w:jc w:val="left"/>
            </w:pPr>
            <w:r>
              <w:rPr>
                <w:b/>
                <w:bCs/>
                <w:color w:val="0F172A"/>
                <w:sz w:val="20"/>
                <w:szCs w:val="20"/>
              </w:rPr>
              <w:t xml:space="preserve">Evaluation Metric</w:t>
            </w:r>
          </w:p>
        </w:tc>
        <w:tc>
          <w:tcPr>
            <w:tcW w:type="dxa" w:w="1900"/>
            <w:shd w:fill="F1F5F9" w:val="clear"/>
            <w:tcMar>
              <w:top w:type="dxa" w:w="100"/>
              <w:left w:type="dxa" w:w="100"/>
              <w:bottom w:type="dxa" w:w="100"/>
              <w:right w:type="dxa" w:w="100"/>
            </w:tcMar>
          </w:tcPr>
          <w:p>
            <w:pPr>
              <w:jc w:val="left"/>
            </w:pPr>
            <w:r>
              <w:rPr>
                <w:b/>
                <w:bCs/>
                <w:color w:val="0F172A"/>
                <w:sz w:val="20"/>
                <w:szCs w:val="20"/>
              </w:rPr>
              <w:t xml:space="preserve">In-Domain Source Test</w:t>
            </w:r>
          </w:p>
        </w:tc>
        <w:tc>
          <w:tcPr>
            <w:tcW w:type="dxa" w:w="1900"/>
            <w:shd w:fill="F1F5F9" w:val="clear"/>
            <w:tcMar>
              <w:top w:type="dxa" w:w="100"/>
              <w:left w:type="dxa" w:w="100"/>
              <w:bottom w:type="dxa" w:w="100"/>
              <w:right w:type="dxa" w:w="100"/>
            </w:tcMar>
          </w:tcPr>
          <w:p>
            <w:pPr>
              <w:jc w:val="left"/>
            </w:pPr>
            <w:r>
              <w:rPr>
                <w:b/>
                <w:bCs/>
                <w:color w:val="0F172A"/>
                <w:sz w:val="20"/>
                <w:szCs w:val="20"/>
              </w:rPr>
              <w:t xml:space="preserve">Target Zero-Shot</w:t>
            </w:r>
          </w:p>
        </w:tc>
        <w:tc>
          <w:tcPr>
            <w:tcW w:type="dxa" w:w="1900"/>
            <w:shd w:fill="F1F5F9" w:val="clear"/>
            <w:tcMar>
              <w:top w:type="dxa" w:w="100"/>
              <w:left w:type="dxa" w:w="100"/>
              <w:bottom w:type="dxa" w:w="100"/>
              <w:right w:type="dxa" w:w="100"/>
            </w:tcMar>
          </w:tcPr>
          <w:p>
            <w:pPr>
              <w:jc w:val="left"/>
            </w:pPr>
            <w:r>
              <w:rPr>
                <w:b/>
                <w:bCs/>
                <w:color w:val="0F172A"/>
                <w:sz w:val="20"/>
                <w:szCs w:val="20"/>
              </w:rPr>
              <w:t xml:space="preserve">Target Adapted</w:t>
            </w:r>
          </w:p>
        </w:tc>
        <w:tc>
          <w:tcPr>
            <w:tcW w:type="dxa" w:w="1900"/>
            <w:shd w:fill="F1F5F9" w:val="clear"/>
            <w:tcMar>
              <w:top w:type="dxa" w:w="100"/>
              <w:left w:type="dxa" w:w="100"/>
              <w:bottom w:type="dxa" w:w="100"/>
              <w:right w:type="dxa" w:w="100"/>
            </w:tcMar>
          </w:tcPr>
          <w:p>
            <w:pPr>
              <w:jc w:val="left"/>
            </w:pPr>
            <w:r>
              <w:rPr>
                <w:b/>
                <w:bCs/>
                <w:color w:val="0F172A"/>
                <w:sz w:val="20"/>
                <w:szCs w:val="20"/>
              </w:rPr>
              <w:t xml:space="preserve">Adaptation Delta</w:t>
            </w:r>
          </w:p>
        </w:tc>
      </w:tr>
      <w:tr>
        <w:tc>
          <w:tcPr>
            <w:tcW w:type="dxa" w:w="2300"/>
            <w:shd w:fill="FFFFFF" w:val="clear"/>
            <w:tcMar>
              <w:top w:type="dxa" w:w="80"/>
              <w:left w:type="dxa" w:w="100"/>
              <w:bottom w:type="dxa" w:w="80"/>
              <w:right w:type="dxa" w:w="100"/>
            </w:tcMar>
          </w:tcPr>
          <w:p>
            <w:pPr>
              <w:jc w:val="left"/>
            </w:pPr>
            <w:r>
              <w:rPr>
                <w:color w:val="1E293B"/>
                <w:sz w:val="19"/>
                <w:szCs w:val="19"/>
              </w:rPr>
              <w:t xml:space="preserve">ROC-AUC</w:t>
            </w:r>
          </w:p>
        </w:tc>
        <w:tc>
          <w:tcPr>
            <w:tcW w:type="dxa" w:w="1900"/>
            <w:shd w:fill="FFFFFF" w:val="clear"/>
            <w:tcMar>
              <w:top w:type="dxa" w:w="80"/>
              <w:left w:type="dxa" w:w="100"/>
              <w:bottom w:type="dxa" w:w="80"/>
              <w:right w:type="dxa" w:w="100"/>
            </w:tcMar>
          </w:tcPr>
          <w:p>
            <w:pPr>
              <w:jc w:val="left"/>
            </w:pPr>
            <w:r>
              <w:rPr>
                <w:color w:val="1E293B"/>
                <w:sz w:val="19"/>
                <w:szCs w:val="19"/>
              </w:rPr>
              <w:t xml:space="preserve">0.9336</w:t>
            </w:r>
          </w:p>
        </w:tc>
        <w:tc>
          <w:tcPr>
            <w:tcW w:type="dxa" w:w="1900"/>
            <w:shd w:fill="FFFFFF" w:val="clear"/>
            <w:tcMar>
              <w:top w:type="dxa" w:w="80"/>
              <w:left w:type="dxa" w:w="100"/>
              <w:bottom w:type="dxa" w:w="80"/>
              <w:right w:type="dxa" w:w="100"/>
            </w:tcMar>
          </w:tcPr>
          <w:p>
            <w:pPr>
              <w:jc w:val="left"/>
            </w:pPr>
            <w:r>
              <w:rPr>
                <w:color w:val="1E293B"/>
                <w:sz w:val="19"/>
                <w:szCs w:val="19"/>
              </w:rPr>
              <w:t xml:space="preserve">0.8113 (Ens: 0.8021)</w:t>
            </w:r>
          </w:p>
        </w:tc>
        <w:tc>
          <w:tcPr>
            <w:tcW w:type="dxa" w:w="1900"/>
            <w:shd w:fill="FFFFFF" w:val="clear"/>
            <w:tcMar>
              <w:top w:type="dxa" w:w="80"/>
              <w:left w:type="dxa" w:w="100"/>
              <w:bottom w:type="dxa" w:w="80"/>
              <w:right w:type="dxa" w:w="100"/>
            </w:tcMar>
          </w:tcPr>
          <w:p>
            <w:pPr>
              <w:jc w:val="left"/>
            </w:pPr>
            <w:r>
              <w:rPr>
                <w:color w:val="1E293B"/>
                <w:sz w:val="19"/>
                <w:szCs w:val="19"/>
              </w:rPr>
              <w:t xml:space="preserve">0.8144 (Ens: 0.8172)</w:t>
            </w:r>
          </w:p>
        </w:tc>
        <w:tc>
          <w:tcPr>
            <w:tcW w:type="dxa" w:w="1900"/>
            <w:shd w:fill="FFFFFF" w:val="clear"/>
            <w:tcMar>
              <w:top w:type="dxa" w:w="80"/>
              <w:left w:type="dxa" w:w="100"/>
              <w:bottom w:type="dxa" w:w="80"/>
              <w:right w:type="dxa" w:w="100"/>
            </w:tcMar>
          </w:tcPr>
          <w:p>
            <w:pPr>
              <w:jc w:val="left"/>
            </w:pPr>
            <w:r>
              <w:rPr>
                <w:color w:val="1E293B"/>
                <w:sz w:val="19"/>
                <w:szCs w:val="19"/>
              </w:rPr>
              <w:t xml:space="preserve">+0.0154 (p = 0.0180)</w:t>
            </w:r>
          </w:p>
        </w:tc>
      </w:tr>
      <w:tr>
        <w:tc>
          <w:tcPr>
            <w:tcW w:type="dxa" w:w="2300"/>
            <w:shd w:fill="F8FAFC" w:val="clear"/>
            <w:tcMar>
              <w:top w:type="dxa" w:w="80"/>
              <w:left w:type="dxa" w:w="100"/>
              <w:bottom w:type="dxa" w:w="80"/>
              <w:right w:type="dxa" w:w="100"/>
            </w:tcMar>
          </w:tcPr>
          <w:p>
            <w:pPr>
              <w:jc w:val="left"/>
            </w:pPr>
            <w:r>
              <w:rPr>
                <w:color w:val="1E293B"/>
                <w:sz w:val="19"/>
                <w:szCs w:val="19"/>
              </w:rPr>
              <w:t xml:space="preserve">Sensitivity (Recall)</w:t>
            </w:r>
          </w:p>
        </w:tc>
        <w:tc>
          <w:tcPr>
            <w:tcW w:type="dxa" w:w="1900"/>
            <w:shd w:fill="F8FAFC" w:val="clear"/>
            <w:tcMar>
              <w:top w:type="dxa" w:w="80"/>
              <w:left w:type="dxa" w:w="100"/>
              <w:bottom w:type="dxa" w:w="80"/>
              <w:right w:type="dxa" w:w="100"/>
            </w:tcMar>
          </w:tcPr>
          <w:p>
            <w:pPr>
              <w:jc w:val="left"/>
            </w:pPr>
            <w:r>
              <w:rPr>
                <w:color w:val="1E293B"/>
                <w:sz w:val="19"/>
                <w:szCs w:val="19"/>
              </w:rPr>
              <w:t xml:space="preserve">85.2%</w:t>
            </w:r>
          </w:p>
        </w:tc>
        <w:tc>
          <w:tcPr>
            <w:tcW w:type="dxa" w:w="1900"/>
            <w:shd w:fill="F8FAFC" w:val="clear"/>
            <w:tcMar>
              <w:top w:type="dxa" w:w="80"/>
              <w:left w:type="dxa" w:w="100"/>
              <w:bottom w:type="dxa" w:w="80"/>
              <w:right w:type="dxa" w:w="100"/>
            </w:tcMar>
          </w:tcPr>
          <w:p>
            <w:pPr>
              <w:jc w:val="left"/>
            </w:pPr>
            <w:r>
              <w:rPr>
                <w:color w:val="1E293B"/>
                <w:sz w:val="19"/>
                <w:szCs w:val="19"/>
              </w:rPr>
              <w:t xml:space="preserve">53.8%</w:t>
            </w:r>
          </w:p>
        </w:tc>
        <w:tc>
          <w:tcPr>
            <w:tcW w:type="dxa" w:w="1900"/>
            <w:shd w:fill="F8FAFC" w:val="clear"/>
            <w:tcMar>
              <w:top w:type="dxa" w:w="80"/>
              <w:left w:type="dxa" w:w="100"/>
              <w:bottom w:type="dxa" w:w="80"/>
              <w:right w:type="dxa" w:w="100"/>
            </w:tcMar>
          </w:tcPr>
          <w:p>
            <w:pPr>
              <w:jc w:val="left"/>
            </w:pPr>
            <w:r>
              <w:rPr>
                <w:color w:val="1E293B"/>
                <w:sz w:val="19"/>
                <w:szCs w:val="19"/>
              </w:rPr>
              <w:t xml:space="preserve">73.6%</w:t>
            </w:r>
          </w:p>
        </w:tc>
        <w:tc>
          <w:tcPr>
            <w:tcW w:type="dxa" w:w="1900"/>
            <w:shd w:fill="F8FAFC" w:val="clear"/>
            <w:tcMar>
              <w:top w:type="dxa" w:w="80"/>
              <w:left w:type="dxa" w:w="100"/>
              <w:bottom w:type="dxa" w:w="80"/>
              <w:right w:type="dxa" w:w="100"/>
            </w:tcMar>
          </w:tcPr>
          <w:p>
            <w:pPr>
              <w:jc w:val="left"/>
            </w:pPr>
            <w:r>
              <w:rPr>
                <w:color w:val="1E293B"/>
                <w:sz w:val="19"/>
                <w:szCs w:val="19"/>
              </w:rPr>
              <w:t xml:space="preserve">+19.8% Absolute Gain</w:t>
            </w:r>
          </w:p>
        </w:tc>
      </w:tr>
      <w:tr>
        <w:tc>
          <w:tcPr>
            <w:tcW w:type="dxa" w:w="2300"/>
            <w:shd w:fill="FFFFFF" w:val="clear"/>
            <w:tcMar>
              <w:top w:type="dxa" w:w="80"/>
              <w:left w:type="dxa" w:w="100"/>
              <w:bottom w:type="dxa" w:w="80"/>
              <w:right w:type="dxa" w:w="100"/>
            </w:tcMar>
          </w:tcPr>
          <w:p>
            <w:pPr>
              <w:jc w:val="left"/>
            </w:pPr>
            <w:r>
              <w:rPr>
                <w:color w:val="1E293B"/>
                <w:sz w:val="19"/>
                <w:szCs w:val="19"/>
              </w:rPr>
              <w:t xml:space="preserve">Specificity</w:t>
            </w:r>
          </w:p>
        </w:tc>
        <w:tc>
          <w:tcPr>
            <w:tcW w:type="dxa" w:w="1900"/>
            <w:shd w:fill="FFFFFF" w:val="clear"/>
            <w:tcMar>
              <w:top w:type="dxa" w:w="80"/>
              <w:left w:type="dxa" w:w="100"/>
              <w:bottom w:type="dxa" w:w="80"/>
              <w:right w:type="dxa" w:w="100"/>
            </w:tcMar>
          </w:tcPr>
          <w:p>
            <w:pPr>
              <w:jc w:val="left"/>
            </w:pPr>
            <w:r>
              <w:rPr>
                <w:color w:val="1E293B"/>
                <w:sz w:val="19"/>
                <w:szCs w:val="19"/>
              </w:rPr>
              <w:t xml:space="preserve">90.8%</w:t>
            </w:r>
          </w:p>
        </w:tc>
        <w:tc>
          <w:tcPr>
            <w:tcW w:type="dxa" w:w="1900"/>
            <w:shd w:fill="FFFFFF" w:val="clear"/>
            <w:tcMar>
              <w:top w:type="dxa" w:w="80"/>
              <w:left w:type="dxa" w:w="100"/>
              <w:bottom w:type="dxa" w:w="80"/>
              <w:right w:type="dxa" w:w="100"/>
            </w:tcMar>
          </w:tcPr>
          <w:p>
            <w:pPr>
              <w:jc w:val="left"/>
            </w:pPr>
            <w:r>
              <w:rPr>
                <w:color w:val="1E293B"/>
                <w:sz w:val="19"/>
                <w:szCs w:val="19"/>
              </w:rPr>
              <w:t xml:space="preserve">87.6%</w:t>
            </w:r>
          </w:p>
        </w:tc>
        <w:tc>
          <w:tcPr>
            <w:tcW w:type="dxa" w:w="1900"/>
            <w:shd w:fill="FFFFFF" w:val="clear"/>
            <w:tcMar>
              <w:top w:type="dxa" w:w="80"/>
              <w:left w:type="dxa" w:w="100"/>
              <w:bottom w:type="dxa" w:w="80"/>
              <w:right w:type="dxa" w:w="100"/>
            </w:tcMar>
          </w:tcPr>
          <w:p>
            <w:pPr>
              <w:jc w:val="left"/>
            </w:pPr>
            <w:r>
              <w:rPr>
                <w:color w:val="1E293B"/>
                <w:sz w:val="19"/>
                <w:szCs w:val="19"/>
              </w:rPr>
              <w:t xml:space="preserve">77.3%</w:t>
            </w:r>
          </w:p>
        </w:tc>
        <w:tc>
          <w:tcPr>
            <w:tcW w:type="dxa" w:w="1900"/>
            <w:shd w:fill="FFFFFF" w:val="clear"/>
            <w:tcMar>
              <w:top w:type="dxa" w:w="80"/>
              <w:left w:type="dxa" w:w="100"/>
              <w:bottom w:type="dxa" w:w="80"/>
              <w:right w:type="dxa" w:w="100"/>
            </w:tcMar>
          </w:tcPr>
          <w:p>
            <w:pPr>
              <w:jc w:val="left"/>
            </w:pPr>
            <w:r>
              <w:rPr>
                <w:color w:val="1E293B"/>
                <w:sz w:val="19"/>
                <w:szCs w:val="19"/>
              </w:rPr>
              <w:t xml:space="preserve">Balanced operating trade-off</w:t>
            </w:r>
          </w:p>
        </w:tc>
      </w:tr>
      <w:tr>
        <w:tc>
          <w:tcPr>
            <w:tcW w:type="dxa" w:w="2300"/>
            <w:shd w:fill="F8FAFC" w:val="clear"/>
            <w:tcMar>
              <w:top w:type="dxa" w:w="80"/>
              <w:left w:type="dxa" w:w="100"/>
              <w:bottom w:type="dxa" w:w="80"/>
              <w:right w:type="dxa" w:w="100"/>
            </w:tcMar>
          </w:tcPr>
          <w:p>
            <w:pPr>
              <w:jc w:val="left"/>
            </w:pPr>
            <w:r>
              <w:rPr>
                <w:color w:val="1E293B"/>
                <w:sz w:val="19"/>
                <w:szCs w:val="19"/>
              </w:rPr>
              <w:t xml:space="preserve">Brier Score (Error)</w:t>
            </w:r>
          </w:p>
        </w:tc>
        <w:tc>
          <w:tcPr>
            <w:tcW w:type="dxa" w:w="1900"/>
            <w:shd w:fill="F8FAFC" w:val="clear"/>
            <w:tcMar>
              <w:top w:type="dxa" w:w="80"/>
              <w:left w:type="dxa" w:w="100"/>
              <w:bottom w:type="dxa" w:w="80"/>
              <w:right w:type="dxa" w:w="100"/>
            </w:tcMar>
          </w:tcPr>
          <w:p>
            <w:pPr>
              <w:jc w:val="left"/>
            </w:pPr>
            <w:r>
              <w:rPr>
                <w:color w:val="1E293B"/>
                <w:sz w:val="19"/>
                <w:szCs w:val="19"/>
              </w:rPr>
              <w:t xml:space="preserve">0.0912</w:t>
            </w:r>
          </w:p>
        </w:tc>
        <w:tc>
          <w:tcPr>
            <w:tcW w:type="dxa" w:w="1900"/>
            <w:shd w:fill="F8FAFC" w:val="clear"/>
            <w:tcMar>
              <w:top w:type="dxa" w:w="80"/>
              <w:left w:type="dxa" w:w="100"/>
              <w:bottom w:type="dxa" w:w="80"/>
              <w:right w:type="dxa" w:w="100"/>
            </w:tcMar>
          </w:tcPr>
          <w:p>
            <w:pPr>
              <w:jc w:val="left"/>
            </w:pPr>
            <w:r>
              <w:rPr>
                <w:color w:val="1E293B"/>
                <w:sz w:val="19"/>
                <w:szCs w:val="19"/>
              </w:rPr>
              <w:t xml:space="preserve">0.1764</w:t>
            </w:r>
          </w:p>
        </w:tc>
        <w:tc>
          <w:tcPr>
            <w:tcW w:type="dxa" w:w="1900"/>
            <w:shd w:fill="F8FAFC" w:val="clear"/>
            <w:tcMar>
              <w:top w:type="dxa" w:w="80"/>
              <w:left w:type="dxa" w:w="100"/>
              <w:bottom w:type="dxa" w:w="80"/>
              <w:right w:type="dxa" w:w="100"/>
            </w:tcMar>
          </w:tcPr>
          <w:p>
            <w:pPr>
              <w:jc w:val="left"/>
            </w:pPr>
            <w:r>
              <w:rPr>
                <w:color w:val="1E293B"/>
                <w:sz w:val="19"/>
                <w:szCs w:val="19"/>
              </w:rPr>
              <w:t xml:space="preserve">0.1583</w:t>
            </w:r>
          </w:p>
        </w:tc>
        <w:tc>
          <w:tcPr>
            <w:tcW w:type="dxa" w:w="1900"/>
            <w:shd w:fill="F8FAFC" w:val="clear"/>
            <w:tcMar>
              <w:top w:type="dxa" w:w="80"/>
              <w:left w:type="dxa" w:w="100"/>
              <w:bottom w:type="dxa" w:w="80"/>
              <w:right w:type="dxa" w:w="100"/>
            </w:tcMar>
          </w:tcPr>
          <w:p>
            <w:pPr>
              <w:jc w:val="left"/>
            </w:pPr>
            <w:r>
              <w:rPr>
                <w:color w:val="1E293B"/>
                <w:sz w:val="19"/>
                <w:szCs w:val="19"/>
              </w:rPr>
              <w:t xml:space="preserve">-10.3% Error Reduction</w:t>
            </w:r>
          </w:p>
        </w:tc>
      </w:tr>
      <w:tr>
        <w:tc>
          <w:tcPr>
            <w:tcW w:type="dxa" w:w="2300"/>
            <w:shd w:fill="FFFFFF" w:val="clear"/>
            <w:tcMar>
              <w:top w:type="dxa" w:w="80"/>
              <w:left w:type="dxa" w:w="100"/>
              <w:bottom w:type="dxa" w:w="80"/>
              <w:right w:type="dxa" w:w="100"/>
            </w:tcMar>
          </w:tcPr>
          <w:p>
            <w:pPr>
              <w:jc w:val="left"/>
            </w:pPr>
            <w:r>
              <w:rPr>
                <w:color w:val="1E293B"/>
                <w:sz w:val="19"/>
                <w:szCs w:val="19"/>
              </w:rPr>
              <w:t xml:space="preserve">Expected Calibration Error</w:t>
            </w:r>
          </w:p>
        </w:tc>
        <w:tc>
          <w:tcPr>
            <w:tcW w:type="dxa" w:w="1900"/>
            <w:shd w:fill="FFFFFF" w:val="clear"/>
            <w:tcMar>
              <w:top w:type="dxa" w:w="80"/>
              <w:left w:type="dxa" w:w="100"/>
              <w:bottom w:type="dxa" w:w="80"/>
              <w:right w:type="dxa" w:w="100"/>
            </w:tcMar>
          </w:tcPr>
          <w:p>
            <w:pPr>
              <w:jc w:val="left"/>
            </w:pPr>
            <w:r>
              <w:rPr>
                <w:color w:val="1E293B"/>
                <w:sz w:val="19"/>
                <w:szCs w:val="19"/>
              </w:rPr>
              <w:t xml:space="preserve">0.0782</w:t>
            </w:r>
          </w:p>
        </w:tc>
        <w:tc>
          <w:tcPr>
            <w:tcW w:type="dxa" w:w="1900"/>
            <w:shd w:fill="FFFFFF" w:val="clear"/>
            <w:tcMar>
              <w:top w:type="dxa" w:w="80"/>
              <w:left w:type="dxa" w:w="100"/>
              <w:bottom w:type="dxa" w:w="80"/>
              <w:right w:type="dxa" w:w="100"/>
            </w:tcMar>
          </w:tcPr>
          <w:p>
            <w:pPr>
              <w:jc w:val="left"/>
            </w:pPr>
            <w:r>
              <w:rPr>
                <w:color w:val="1E293B"/>
                <w:sz w:val="19"/>
                <w:szCs w:val="19"/>
              </w:rPr>
              <w:t xml:space="preserve">0.1412</w:t>
            </w:r>
          </w:p>
        </w:tc>
        <w:tc>
          <w:tcPr>
            <w:tcW w:type="dxa" w:w="1900"/>
            <w:shd w:fill="FFFFFF" w:val="clear"/>
            <w:tcMar>
              <w:top w:type="dxa" w:w="80"/>
              <w:left w:type="dxa" w:w="100"/>
              <w:bottom w:type="dxa" w:w="80"/>
              <w:right w:type="dxa" w:w="100"/>
            </w:tcMar>
          </w:tcPr>
          <w:p>
            <w:pPr>
              <w:jc w:val="left"/>
            </w:pPr>
            <w:r>
              <w:rPr>
                <w:color w:val="1E293B"/>
                <w:sz w:val="19"/>
                <w:szCs w:val="19"/>
              </w:rPr>
              <w:t xml:space="preserve">0.1085</w:t>
            </w:r>
          </w:p>
        </w:tc>
        <w:tc>
          <w:tcPr>
            <w:tcW w:type="dxa" w:w="1900"/>
            <w:shd w:fill="FFFFFF" w:val="clear"/>
            <w:tcMar>
              <w:top w:type="dxa" w:w="80"/>
              <w:left w:type="dxa" w:w="100"/>
              <w:bottom w:type="dxa" w:w="80"/>
              <w:right w:type="dxa" w:w="100"/>
            </w:tcMar>
          </w:tcPr>
          <w:p>
            <w:pPr>
              <w:jc w:val="left"/>
            </w:pPr>
            <w:r>
              <w:rPr>
                <w:color w:val="1E293B"/>
                <w:sz w:val="19"/>
                <w:szCs w:val="19"/>
              </w:rPr>
              <w:t xml:space="preserve">-23.2% Calibration Gain</w:t>
            </w:r>
          </w:p>
        </w:tc>
      </w:tr>
    </w:tbl>
    <w:p>
      <w:pPr>
        <w:spacing w:after="100" w:before="100" w:line="280"/>
        <w:jc w:val="left"/>
      </w:pPr>
      <w:r>
        <w:rPr>
          <w:b w:val="false"/>
          <w:bCs w:val="false"/>
          <w:i w:val="false"/>
          <w:iCs w:val="false"/>
          <w:color w:val="1E293B"/>
          <w:sz w:val="22"/>
          <w:szCs w:val="22"/>
        </w:rPr>
        <w:t xml:space="preserve"/>
      </w:r>
    </w:p>
    <w:p>
      <w:pPr>
        <w:spacing w:after="80" w:before="140"/>
        <w:jc w:val="center"/>
      </w:pPr>
      <w:r>
        <w:drawing>
          <wp:inline distT="0" distB="0" distL="0" distR="0">
            <wp:extent cx="5143500" cy="22002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00275"/>
                    </a:xfrm>
                    <a:prstGeom prst="rect">
                      <a:avLst/>
                    </a:prstGeom>
                  </pic:spPr>
                </pic:pic>
              </a:graphicData>
            </a:graphic>
          </wp:inline>
        </w:drawing>
      </w:r>
    </w:p>
    <w:p>
      <w:pPr>
        <w:spacing w:after="100" w:before="60"/>
        <w:jc w:val="center"/>
      </w:pPr>
      <w:r>
        <w:rPr>
          <w:b/>
          <w:bCs/>
          <w:color w:val="0F172A"/>
          <w:sz w:val="21"/>
          <w:szCs w:val="21"/>
        </w:rPr>
        <w:t xml:space="preserve">Figure 7: Receiver Operating Characteristic (ROC) Curve and Multi-Domain Confusion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Left Panel (ROC Curves): </w:t>
            </w:r>
            <w:r>
              <w:rPr>
                <w:color w:val="334155"/>
                <w:sz w:val="20"/>
                <w:szCs w:val="20"/>
              </w:rPr>
              <w:t xml:space="preserve">Shows True Positive Rate plotted against False Positive Rate. Blue curve (in-domain) achieves AUC of 0.944, while orange curve (external zero-shot) achieves 0.811.</w:t>
            </w:r>
          </w:p>
          <w:p>
            <w:pPr>
              <w:pStyle w:val="ListParagraph"/>
              <w:numPr>
                <w:ilvl w:val="0"/>
                <w:numId w:val="1"/>
              </w:numPr>
              <w:spacing w:after="40" w:before="40" w:line="240"/>
            </w:pPr>
            <w:r>
              <w:rPr>
                <w:b/>
                <w:bCs/>
                <w:color w:val="0F172A"/>
                <w:sz w:val="20"/>
                <w:szCs w:val="20"/>
              </w:rPr>
              <w:t xml:space="preserve">Right Panel (Confusion Matrix): </w:t>
            </w:r>
            <w:r>
              <w:rPr>
                <w:color w:val="334155"/>
                <w:sz w:val="20"/>
                <w:szCs w:val="20"/>
              </w:rPr>
              <w:t xml:space="preserve">Breaks down raw counts of True Positives, False Positives, True Negatives, and False Negatives at calibrated clinical operating threshold of 0.35.</w:t>
            </w:r>
          </w:p>
          <w:p>
            <w:pPr>
              <w:spacing w:after="40" w:before="80" w:line="240"/>
            </w:pPr>
            <w:r>
              <w:rPr>
                <w:b/>
                <w:bCs/>
                <w:color w:val="B45309"/>
                <w:sz w:val="20"/>
                <w:szCs w:val="20"/>
              </w:rPr>
              <w:t xml:space="preserve">Key Takeaway for Defense / Viva: </w:t>
            </w:r>
            <w:r>
              <w:rPr>
                <w:i/>
                <w:iCs/>
                <w:color w:val="78350F"/>
                <w:sz w:val="20"/>
                <w:szCs w:val="20"/>
              </w:rPr>
              <w:t xml:space="preserve">Explain why the operating threshold was calibrated at 0.35 rather than default 0.50: in disease screening, the clinical cost of missing a sick patient (False Negative) is vastly higher than reviewing a healthy patient (False Positive).</w:t>
            </w:r>
          </w:p>
        </w:tc>
      </w:tr>
    </w:tbl>
    <w:p>
      <w:pPr>
        <w:spacing w:after="100" w:before="100" w:line="280"/>
        <w:jc w:val="left"/>
      </w:pPr>
      <w:r>
        <w:rPr>
          <w:b w:val="false"/>
          <w:bCs w:val="false"/>
          <w:i w:val="false"/>
          <w:iCs w:val="false"/>
          <w:color w:val="1E293B"/>
          <w:sz w:val="22"/>
          <w:szCs w:val="22"/>
        </w:rPr>
        <w:t xml:space="preserve"/>
      </w:r>
    </w:p>
    <w:p>
      <w:pPr>
        <w:spacing w:after="80" w:before="140"/>
        <w:jc w:val="center"/>
      </w:pPr>
      <w:r>
        <w:drawing>
          <wp:inline distT="0" distB="0" distL="0" distR="0">
            <wp:extent cx="4762500" cy="38671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867150"/>
                    </a:xfrm>
                    <a:prstGeom prst="rect">
                      <a:avLst/>
                    </a:prstGeom>
                  </pic:spPr>
                </pic:pic>
              </a:graphicData>
            </a:graphic>
          </wp:inline>
        </w:drawing>
      </w:r>
    </w:p>
    <w:p>
      <w:pPr>
        <w:spacing w:after="100" w:before="60"/>
        <w:jc w:val="center"/>
      </w:pPr>
      <w:r>
        <w:rPr>
          <w:b/>
          <w:bCs/>
          <w:color w:val="0F172A"/>
          <w:sz w:val="21"/>
          <w:szCs w:val="21"/>
        </w:rPr>
        <w:t xml:space="preserve">Figure 8: Paired Differential Analysis Comparing Zero-Shot Baseline and Hospital-Adapted Distributions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BD5E1" w:sz="6"/>
              <w:left w:val="single" w:color="3B82F6" w:sz="18"/>
              <w:bottom w:val="single" w:color="CBD5E1" w:sz="6"/>
              <w:right w:val="single" w:color="CBD5E1" w:sz="6"/>
            </w:tcBorders>
            <w:shd w:fill="F8FAFC" w:val="clear"/>
            <w:tcMar>
              <w:top w:type="dxa" w:w="120"/>
              <w:left w:type="dxa" w:w="160"/>
              <w:bottom w:type="dxa" w:w="120"/>
              <w:right w:type="dxa" w:w="160"/>
            </w:tcMar>
          </w:tcPr>
          <w:p>
            <w:pPr>
              <w:spacing w:after="80" w:before="40"/>
            </w:pPr>
            <w:r>
              <w:rPr>
                <w:b/>
                <w:bCs/>
                <w:color w:val="1E3A8A"/>
                <w:sz w:val="21"/>
                <w:szCs w:val="21"/>
              </w:rPr>
              <w:t xml:space="preserve">Detailed Breakdown of This Figure:</w:t>
            </w:r>
          </w:p>
          <w:p>
            <w:pPr>
              <w:pStyle w:val="ListParagraph"/>
              <w:numPr>
                <w:ilvl w:val="0"/>
                <w:numId w:val="1"/>
              </w:numPr>
              <w:spacing w:after="40" w:before="40" w:line="240"/>
            </w:pPr>
            <w:r>
              <w:rPr>
                <w:b/>
                <w:bCs/>
                <w:color w:val="0F172A"/>
                <w:sz w:val="20"/>
                <w:szCs w:val="20"/>
              </w:rPr>
              <w:t xml:space="preserve">Top Histograms: </w:t>
            </w:r>
            <w:r>
              <w:rPr>
                <w:color w:val="334155"/>
                <w:sz w:val="20"/>
                <w:szCs w:val="20"/>
              </w:rPr>
              <w:t xml:space="preserve">Show distribution of predicted probabilities on target hospital data. Adapted model (purple) shows clear bimodal separation between healthy and cataractous eyes.</w:t>
            </w:r>
          </w:p>
          <w:p>
            <w:pPr>
              <w:pStyle w:val="ListParagraph"/>
              <w:numPr>
                <w:ilvl w:val="0"/>
                <w:numId w:val="1"/>
              </w:numPr>
              <w:spacing w:after="40" w:before="40" w:line="240"/>
            </w:pPr>
            <w:r>
              <w:rPr>
                <w:b/>
                <w:bCs/>
                <w:color w:val="0F172A"/>
                <w:sz w:val="20"/>
                <w:szCs w:val="20"/>
              </w:rPr>
              <w:t xml:space="preserve">Bottom Scatter Plots: </w:t>
            </w:r>
            <w:r>
              <w:rPr>
                <w:color w:val="334155"/>
                <w:sz w:val="20"/>
                <w:szCs w:val="20"/>
              </w:rPr>
              <w:t xml:space="preserve">Correlate lens opacity severity with binary cataract probability. Adapted model demonstrates strong monotonic alignment with clinical severity staging.</w:t>
            </w:r>
          </w:p>
          <w:p>
            <w:pPr>
              <w:spacing w:after="40" w:before="80" w:line="240"/>
            </w:pPr>
            <w:r>
              <w:rPr>
                <w:b/>
                <w:bCs/>
                <w:color w:val="B45309"/>
                <w:sz w:val="20"/>
                <w:szCs w:val="20"/>
              </w:rPr>
              <w:t xml:space="preserve">Key Takeaway for Defense / Viva: </w:t>
            </w:r>
            <w:r>
              <w:rPr>
                <w:i/>
                <w:iCs/>
                <w:color w:val="78350F"/>
                <w:sz w:val="20"/>
                <w:szCs w:val="20"/>
              </w:rPr>
              <w:t xml:space="preserve">Use this figure to show that domain adaptation does not merely shift numbers, but reorganizes the internal feature geometry to match clinical realities.</w:t>
            </w:r>
          </w:p>
        </w:tc>
      </w:tr>
    </w:tbl>
    <w:p>
      <w:r>
        <w:br w:type="page"/>
      </w:r>
    </w:p>
    <w:p>
      <w:pPr>
        <w:pStyle w:val="Heading1"/>
        <w:pBdr>
          <w:bottom w:val="single" w:color="2563EB" w:sz="12"/>
        </w:pBdr>
        <w:spacing w:after="140" w:before="280"/>
      </w:pPr>
      <w:r>
        <w:rPr>
          <w:b/>
          <w:bCs/>
          <w:color w:val="0F172A"/>
          <w:sz w:val="32"/>
          <w:szCs w:val="32"/>
        </w:rPr>
        <w:t xml:space="preserve">8. Interactive Web Application Architecture</w:t>
      </w:r>
    </w:p>
    <w:p>
      <w:pPr>
        <w:spacing w:after="100" w:before="100" w:line="280"/>
        <w:jc w:val="left"/>
      </w:pPr>
      <w:r>
        <w:rPr>
          <w:b w:val="false"/>
          <w:bCs w:val="false"/>
          <w:i w:val="false"/>
          <w:iCs w:val="false"/>
          <w:color w:val="1E293B"/>
          <w:sz w:val="22"/>
          <w:szCs w:val="22"/>
        </w:rPr>
        <w:t xml:space="preserve">To translate this research into a functional clinical tool, we built and deployed a paired-model web application hosted on Hugging Face Spaces: https://huggingface.co/spaces/UmarIqbal000/uncertacat-cataract-screening</w:t>
      </w:r>
    </w:p>
    <w:p>
      <w:pPr>
        <w:pStyle w:val="Heading2"/>
        <w:pBdr>
          <w:bottom w:val="single" w:color="CBD5E1" w:sz="6"/>
        </w:pBdr>
        <w:spacing w:after="120" w:before="240"/>
      </w:pPr>
      <w:r>
        <w:rPr>
          <w:b/>
          <w:bCs/>
          <w:color w:val="1E3A8A"/>
          <w:sz w:val="26"/>
          <w:szCs w:val="26"/>
        </w:rPr>
        <w:t xml:space="preserve">8.1 Paired Dual-Model Design Paradigm</w:t>
      </w:r>
    </w:p>
    <w:p>
      <w:pPr>
        <w:spacing w:after="100" w:before="100" w:line="280"/>
        <w:jc w:val="left"/>
      </w:pPr>
      <w:r>
        <w:rPr>
          <w:b w:val="false"/>
          <w:bCs w:val="false"/>
          <w:i w:val="false"/>
          <w:iCs w:val="false"/>
          <w:color w:val="1E293B"/>
          <w:sz w:val="22"/>
          <w:szCs w:val="22"/>
        </w:rPr>
        <w:t xml:space="preserve">Rather than presenting a single black-box prediction, the UncertaCat interface simultaneously executes both the Zero-Shot Baseline Model and the Hospital-Adaptive Model side by side on every uploaded scan. This gives clinicians immediate visibility into how optical adaptation alters the diagnostic evaluation:</w:t>
      </w:r>
    </w:p>
    <w:p>
      <w:pPr>
        <w:pStyle w:val="ListParagraph"/>
        <w:numPr>
          <w:ilvl w:val="0"/>
          <w:numId w:val="1"/>
        </w:numPr>
        <w:spacing w:after="60" w:before="60" w:line="260"/>
      </w:pPr>
      <w:r>
        <w:rPr>
          <w:b/>
          <w:bCs/>
          <w:color w:val="1E293B"/>
          <w:sz w:val="22"/>
          <w:szCs w:val="22"/>
        </w:rPr>
        <w:t xml:space="preserve">Retinal Fundus Image Scan: </w:t>
      </w:r>
      <w:r>
        <w:rPr>
          <w:color w:val="334155"/>
          <w:sz w:val="22"/>
          <w:szCs w:val="22"/>
        </w:rPr>
        <w:t xml:space="preserve">High-resolution viewport showing the original uploaded photograph next to the real-time 288 by 288 circular FOV and Graham-normalized view.</w:t>
      </w:r>
    </w:p>
    <w:p>
      <w:pPr>
        <w:pStyle w:val="ListParagraph"/>
        <w:numPr>
          <w:ilvl w:val="0"/>
          <w:numId w:val="1"/>
        </w:numPr>
        <w:spacing w:after="60" w:before="60" w:line="260"/>
      </w:pPr>
      <w:r>
        <w:rPr>
          <w:b/>
          <w:bCs/>
          <w:color w:val="1E293B"/>
          <w:sz w:val="22"/>
          <w:szCs w:val="22"/>
        </w:rPr>
        <w:t xml:space="preserve">Inference Controls &amp; Clinical Sliders: </w:t>
      </w:r>
      <w:r>
        <w:rPr>
          <w:color w:val="334155"/>
          <w:sz w:val="22"/>
          <w:szCs w:val="22"/>
        </w:rPr>
        <w:t xml:space="preserve">Clinicians can interactively adjust the number of Monte Carlo stochastic passes (T in [5, 30]), operating threshold (0.10 to 0.90), and safety referral uncertainty cutoff (sigma in [0.03, 0.15]).</w:t>
      </w:r>
    </w:p>
    <w:p>
      <w:pPr>
        <w:pStyle w:val="ListParagraph"/>
        <w:numPr>
          <w:ilvl w:val="0"/>
          <w:numId w:val="1"/>
        </w:numPr>
        <w:spacing w:after="60" w:before="60" w:line="260"/>
      </w:pPr>
      <w:r>
        <w:rPr>
          <w:b/>
          <w:bCs/>
          <w:color w:val="1E293B"/>
          <w:sz w:val="22"/>
          <w:szCs w:val="22"/>
        </w:rPr>
        <w:t xml:space="preserve">Paired Clinical Diagnostic Cards: </w:t>
      </w:r>
      <w:r>
        <w:rPr>
          <w:color w:val="334155"/>
          <w:sz w:val="22"/>
          <w:szCs w:val="22"/>
        </w:rPr>
        <w:t xml:space="preserve">Separate cards for both models displaying Cataract Probability, Epistemic Uncertainty (+/- sigma), Lens Opacity Severity grade, and an automated Clinical Triage Recommendation.</w:t>
      </w:r>
    </w:p>
    <w:p>
      <w:pPr>
        <w:pStyle w:val="ListParagraph"/>
        <w:numPr>
          <w:ilvl w:val="0"/>
          <w:numId w:val="1"/>
        </w:numPr>
        <w:spacing w:after="60" w:before="60" w:line="260"/>
      </w:pPr>
      <w:r>
        <w:rPr>
          <w:b/>
          <w:bCs/>
          <w:color w:val="1E293B"/>
          <w:sz w:val="22"/>
          <w:szCs w:val="22"/>
        </w:rPr>
        <w:t xml:space="preserve">Differential Analysis Table: </w:t>
      </w:r>
      <w:r>
        <w:rPr>
          <w:color w:val="334155"/>
          <w:sz w:val="22"/>
          <w:szCs w:val="22"/>
        </w:rPr>
        <w:t xml:space="preserve">A real-time comparative summary highlighting the Adaptation Delta between the two models and alerting clinicians if an optical discrepancy is detected.</w:t>
      </w:r>
    </w:p>
    <w:p>
      <w:pPr>
        <w:pStyle w:val="Heading2"/>
        <w:pBdr>
          <w:bottom w:val="single" w:color="CBD5E1" w:sz="6"/>
        </w:pBdr>
        <w:spacing w:after="120" w:before="240"/>
      </w:pPr>
      <w:r>
        <w:rPr>
          <w:b/>
          <w:bCs/>
          <w:color w:val="1E3A8A"/>
          <w:sz w:val="26"/>
          <w:szCs w:val="26"/>
        </w:rPr>
        <w:t xml:space="preserve">8.2 Multi-Tier Clinical Triage Decision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5000"/>
      </w:tblGrid>
      <w:tr>
        <w:trPr>
          <w:tblHeader/>
        </w:trPr>
        <w:tc>
          <w:tcPr>
            <w:tcW w:type="dxa" w:w="2400"/>
            <w:shd w:fill="F1F5F9" w:val="clear"/>
            <w:tcMar>
              <w:top w:type="dxa" w:w="100"/>
              <w:left w:type="dxa" w:w="100"/>
              <w:bottom w:type="dxa" w:w="100"/>
              <w:right w:type="dxa" w:w="100"/>
            </w:tcMar>
          </w:tcPr>
          <w:p>
            <w:pPr>
              <w:jc w:val="left"/>
            </w:pPr>
            <w:r>
              <w:rPr>
                <w:b/>
                <w:bCs/>
                <w:color w:val="0F172A"/>
                <w:sz w:val="20"/>
                <w:szCs w:val="20"/>
              </w:rPr>
              <w:t xml:space="preserve">Triage Recommendation</w:t>
            </w:r>
          </w:p>
        </w:tc>
        <w:tc>
          <w:tcPr>
            <w:tcW w:type="dxa" w:w="2500"/>
            <w:shd w:fill="F1F5F9" w:val="clear"/>
            <w:tcMar>
              <w:top w:type="dxa" w:w="100"/>
              <w:left w:type="dxa" w:w="100"/>
              <w:bottom w:type="dxa" w:w="100"/>
              <w:right w:type="dxa" w:w="100"/>
            </w:tcMar>
          </w:tcPr>
          <w:p>
            <w:pPr>
              <w:jc w:val="left"/>
            </w:pPr>
            <w:r>
              <w:rPr>
                <w:b/>
                <w:bCs/>
                <w:color w:val="0F172A"/>
                <w:sz w:val="20"/>
                <w:szCs w:val="20"/>
              </w:rPr>
              <w:t xml:space="preserve">Clinical Condition</w:t>
            </w:r>
          </w:p>
        </w:tc>
        <w:tc>
          <w:tcPr>
            <w:tcW w:type="dxa" w:w="5000"/>
            <w:shd w:fill="F1F5F9" w:val="clear"/>
            <w:tcMar>
              <w:top w:type="dxa" w:w="100"/>
              <w:left w:type="dxa" w:w="100"/>
              <w:bottom w:type="dxa" w:w="100"/>
              <w:right w:type="dxa" w:w="100"/>
            </w:tcMar>
          </w:tcPr>
          <w:p>
            <w:pPr>
              <w:jc w:val="left"/>
            </w:pPr>
            <w:r>
              <w:rPr>
                <w:b/>
                <w:bCs/>
                <w:color w:val="0F172A"/>
                <w:sz w:val="20"/>
                <w:szCs w:val="20"/>
              </w:rPr>
              <w:t xml:space="preserve">Recommended Medical Action</w:t>
            </w:r>
          </w:p>
        </w:tc>
      </w:tr>
      <w:tr>
        <w:tc>
          <w:tcPr>
            <w:tcW w:type="dxa" w:w="2400"/>
            <w:shd w:fill="FFFFFF" w:val="clear"/>
            <w:tcMar>
              <w:top w:type="dxa" w:w="80"/>
              <w:left w:type="dxa" w:w="100"/>
              <w:bottom w:type="dxa" w:w="80"/>
              <w:right w:type="dxa" w:w="100"/>
            </w:tcMar>
          </w:tcPr>
          <w:p>
            <w:pPr>
              <w:jc w:val="left"/>
            </w:pPr>
            <w:r>
              <w:rPr>
                <w:color w:val="1E293B"/>
                <w:sz w:val="19"/>
                <w:szCs w:val="19"/>
              </w:rPr>
              <w:t xml:space="preserve">ROUTINE CARE</w:t>
            </w:r>
          </w:p>
        </w:tc>
        <w:tc>
          <w:tcPr>
            <w:tcW w:type="dxa" w:w="2500"/>
            <w:shd w:fill="FFFFFF" w:val="clear"/>
            <w:tcMar>
              <w:top w:type="dxa" w:w="80"/>
              <w:left w:type="dxa" w:w="100"/>
              <w:bottom w:type="dxa" w:w="80"/>
              <w:right w:type="dxa" w:w="100"/>
            </w:tcMar>
          </w:tcPr>
          <w:p>
            <w:pPr>
              <w:jc w:val="left"/>
            </w:pPr>
            <w:r>
              <w:rPr>
                <w:color w:val="1E293B"/>
                <w:sz w:val="19"/>
                <w:szCs w:val="19"/>
              </w:rPr>
              <w:t xml:space="preserve">Probability &lt; 0.35 and Uncertainty &lt; 0.08</w:t>
            </w:r>
          </w:p>
        </w:tc>
        <w:tc>
          <w:tcPr>
            <w:tcW w:type="dxa" w:w="5000"/>
            <w:shd w:fill="FFFFFF" w:val="clear"/>
            <w:tcMar>
              <w:top w:type="dxa" w:w="80"/>
              <w:left w:type="dxa" w:w="100"/>
              <w:bottom w:type="dxa" w:w="80"/>
              <w:right w:type="dxa" w:w="100"/>
            </w:tcMar>
          </w:tcPr>
          <w:p>
            <w:pPr>
              <w:jc w:val="left"/>
            </w:pPr>
            <w:r>
              <w:rPr>
                <w:color w:val="1E293B"/>
                <w:sz w:val="19"/>
                <w:szCs w:val="19"/>
              </w:rPr>
              <w:t xml:space="preserve">No significant cataractous opacity detected. Schedule routine annual comprehensive eye check.</w:t>
            </w:r>
          </w:p>
        </w:tc>
      </w:tr>
      <w:tr>
        <w:tc>
          <w:tcPr>
            <w:tcW w:type="dxa" w:w="2400"/>
            <w:shd w:fill="F8FAFC" w:val="clear"/>
            <w:tcMar>
              <w:top w:type="dxa" w:w="80"/>
              <w:left w:type="dxa" w:w="100"/>
              <w:bottom w:type="dxa" w:w="80"/>
              <w:right w:type="dxa" w:w="100"/>
            </w:tcMar>
          </w:tcPr>
          <w:p>
            <w:pPr>
              <w:jc w:val="left"/>
            </w:pPr>
            <w:r>
              <w:rPr>
                <w:color w:val="1E293B"/>
                <w:sz w:val="19"/>
                <w:szCs w:val="19"/>
              </w:rPr>
              <w:t xml:space="preserve">PERIODIC MONITORING</w:t>
            </w:r>
          </w:p>
        </w:tc>
        <w:tc>
          <w:tcPr>
            <w:tcW w:type="dxa" w:w="2500"/>
            <w:shd w:fill="F8FAFC" w:val="clear"/>
            <w:tcMar>
              <w:top w:type="dxa" w:w="80"/>
              <w:left w:type="dxa" w:w="100"/>
              <w:bottom w:type="dxa" w:w="80"/>
              <w:right w:type="dxa" w:w="100"/>
            </w:tcMar>
          </w:tcPr>
          <w:p>
            <w:pPr>
              <w:jc w:val="left"/>
            </w:pPr>
            <w:r>
              <w:rPr>
                <w:color w:val="1E293B"/>
                <w:sz w:val="19"/>
                <w:szCs w:val="19"/>
              </w:rPr>
              <w:t xml:space="preserve">0.35 &lt;= Probability &lt; 0.65 and Uncertainty &lt; 0.08</w:t>
            </w:r>
          </w:p>
        </w:tc>
        <w:tc>
          <w:tcPr>
            <w:tcW w:type="dxa" w:w="5000"/>
            <w:shd w:fill="F8FAFC" w:val="clear"/>
            <w:tcMar>
              <w:top w:type="dxa" w:w="80"/>
              <w:left w:type="dxa" w:w="100"/>
              <w:bottom w:type="dxa" w:w="80"/>
              <w:right w:type="dxa" w:w="100"/>
            </w:tcMar>
          </w:tcPr>
          <w:p>
            <w:pPr>
              <w:jc w:val="left"/>
            </w:pPr>
            <w:r>
              <w:rPr>
                <w:color w:val="1E293B"/>
                <w:sz w:val="19"/>
                <w:szCs w:val="19"/>
              </w:rPr>
              <w:t xml:space="preserve">Early cataractous opacification detected. Schedule follow-up visual check within 6 to 12 months.</w:t>
            </w:r>
          </w:p>
        </w:tc>
      </w:tr>
      <w:tr>
        <w:tc>
          <w:tcPr>
            <w:tcW w:type="dxa" w:w="2400"/>
            <w:shd w:fill="FFFFFF" w:val="clear"/>
            <w:tcMar>
              <w:top w:type="dxa" w:w="80"/>
              <w:left w:type="dxa" w:w="100"/>
              <w:bottom w:type="dxa" w:w="80"/>
              <w:right w:type="dxa" w:w="100"/>
            </w:tcMar>
          </w:tcPr>
          <w:p>
            <w:pPr>
              <w:jc w:val="left"/>
            </w:pPr>
            <w:r>
              <w:rPr>
                <w:color w:val="1E293B"/>
                <w:sz w:val="19"/>
                <w:szCs w:val="19"/>
              </w:rPr>
              <w:t xml:space="preserve">URGENT SURGICAL REFERRAL</w:t>
            </w:r>
          </w:p>
        </w:tc>
        <w:tc>
          <w:tcPr>
            <w:tcW w:type="dxa" w:w="2500"/>
            <w:shd w:fill="FFFFFF" w:val="clear"/>
            <w:tcMar>
              <w:top w:type="dxa" w:w="80"/>
              <w:left w:type="dxa" w:w="100"/>
              <w:bottom w:type="dxa" w:w="80"/>
              <w:right w:type="dxa" w:w="100"/>
            </w:tcMar>
          </w:tcPr>
          <w:p>
            <w:pPr>
              <w:jc w:val="left"/>
            </w:pPr>
            <w:r>
              <w:rPr>
                <w:color w:val="1E293B"/>
                <w:sz w:val="19"/>
                <w:szCs w:val="19"/>
              </w:rPr>
              <w:t xml:space="preserve">Probability &gt;= 0.65 and Uncertainty &lt; 0.08</w:t>
            </w:r>
          </w:p>
        </w:tc>
        <w:tc>
          <w:tcPr>
            <w:tcW w:type="dxa" w:w="5000"/>
            <w:shd w:fill="FFFFFF" w:val="clear"/>
            <w:tcMar>
              <w:top w:type="dxa" w:w="80"/>
              <w:left w:type="dxa" w:w="100"/>
              <w:bottom w:type="dxa" w:w="80"/>
              <w:right w:type="dxa" w:w="100"/>
            </w:tcMar>
          </w:tcPr>
          <w:p>
            <w:pPr>
              <w:jc w:val="left"/>
            </w:pPr>
            <w:r>
              <w:rPr>
                <w:color w:val="1E293B"/>
                <w:sz w:val="19"/>
                <w:szCs w:val="19"/>
              </w:rPr>
              <w:t xml:space="preserve">Significant lens opacity impairing retinal visualization. Refer to ophthalmologist for surgical evaluation.</w:t>
            </w:r>
          </w:p>
        </w:tc>
      </w:tr>
      <w:tr>
        <w:tc>
          <w:tcPr>
            <w:tcW w:type="dxa" w:w="2400"/>
            <w:shd w:fill="F8FAFC" w:val="clear"/>
            <w:tcMar>
              <w:top w:type="dxa" w:w="80"/>
              <w:left w:type="dxa" w:w="100"/>
              <w:bottom w:type="dxa" w:w="80"/>
              <w:right w:type="dxa" w:w="100"/>
            </w:tcMar>
          </w:tcPr>
          <w:p>
            <w:pPr>
              <w:jc w:val="left"/>
            </w:pPr>
            <w:r>
              <w:rPr>
                <w:color w:val="1E293B"/>
                <w:sz w:val="19"/>
                <w:szCs w:val="19"/>
              </w:rPr>
              <w:t xml:space="preserve">SAFETY REFERRAL</w:t>
            </w:r>
          </w:p>
        </w:tc>
        <w:tc>
          <w:tcPr>
            <w:tcW w:type="dxa" w:w="2500"/>
            <w:shd w:fill="F8FAFC" w:val="clear"/>
            <w:tcMar>
              <w:top w:type="dxa" w:w="80"/>
              <w:left w:type="dxa" w:w="100"/>
              <w:bottom w:type="dxa" w:w="80"/>
              <w:right w:type="dxa" w:w="100"/>
            </w:tcMar>
          </w:tcPr>
          <w:p>
            <w:pPr>
              <w:jc w:val="left"/>
            </w:pPr>
            <w:r>
              <w:rPr>
                <w:color w:val="1E293B"/>
                <w:sz w:val="19"/>
                <w:szCs w:val="19"/>
              </w:rPr>
              <w:t xml:space="preserve">Uncertainty &gt;= 0.08 (Any Probability)</w:t>
            </w:r>
          </w:p>
        </w:tc>
        <w:tc>
          <w:tcPr>
            <w:tcW w:type="dxa" w:w="5000"/>
            <w:shd w:fill="F8FAFC" w:val="clear"/>
            <w:tcMar>
              <w:top w:type="dxa" w:w="80"/>
              <w:left w:type="dxa" w:w="100"/>
              <w:bottom w:type="dxa" w:w="80"/>
              <w:right w:type="dxa" w:w="100"/>
            </w:tcMar>
          </w:tcPr>
          <w:p>
            <w:pPr>
              <w:jc w:val="left"/>
            </w:pPr>
            <w:r>
              <w:rPr>
                <w:color w:val="1E293B"/>
                <w:sz w:val="19"/>
                <w:szCs w:val="19"/>
              </w:rPr>
              <w:t xml:space="preserve">High optical ambiguity or out-of-distribution optics. Immediate in-person slit-lamp exam required.</w:t>
            </w:r>
          </w:p>
        </w:tc>
      </w:tr>
    </w:tbl>
    <w:p>
      <w:pPr>
        <w:pStyle w:val="Heading2"/>
        <w:pBdr>
          <w:bottom w:val="single" w:color="CBD5E1" w:sz="6"/>
        </w:pBdr>
        <w:spacing w:after="120" w:before="240"/>
      </w:pPr>
      <w:r>
        <w:rPr>
          <w:b/>
          <w:bCs/>
          <w:color w:val="1E3A8A"/>
          <w:sz w:val="26"/>
          <w:szCs w:val="26"/>
        </w:rPr>
        <w:t xml:space="preserve">8.3 Cloud Deployment and Hardware Efficiency</w:t>
      </w:r>
    </w:p>
    <w:p>
      <w:pPr>
        <w:spacing w:after="100" w:before="100" w:line="280"/>
        <w:jc w:val="left"/>
      </w:pPr>
      <w:r>
        <w:rPr>
          <w:b w:val="false"/>
          <w:bCs w:val="false"/>
          <w:i w:val="false"/>
          <w:iCs w:val="false"/>
          <w:color w:val="1E293B"/>
          <w:sz w:val="22"/>
          <w:szCs w:val="22"/>
        </w:rPr>
        <w:t xml:space="preserve">The application runs entirely on free-tier Hugging Face Spaces hardware (2 vCPU, 16 GB RAM). By extracting slimmed inference checkpoints containing only model state weights, both 7-million parameter networks reside in memory together using only 280 MB of RAM, achieving an inference latency of under three seconds for a complete dual-model Monte Carlo pass (T=10).</w:t>
      </w:r>
    </w:p>
    <w:p>
      <w:r>
        <w:br w:type="page"/>
      </w:r>
    </w:p>
    <w:p>
      <w:pPr>
        <w:pStyle w:val="Heading1"/>
        <w:pBdr>
          <w:bottom w:val="single" w:color="2563EB" w:sz="12"/>
        </w:pBdr>
        <w:spacing w:after="140" w:before="280"/>
      </w:pPr>
      <w:r>
        <w:rPr>
          <w:b/>
          <w:bCs/>
          <w:color w:val="0F172A"/>
          <w:sz w:val="32"/>
          <w:szCs w:val="32"/>
        </w:rPr>
        <w:t xml:space="preserve">9. Oral Defense and Examination Cheat Sheet</w:t>
      </w:r>
    </w:p>
    <w:p>
      <w:pPr>
        <w:spacing w:after="100" w:before="100" w:line="280"/>
        <w:jc w:val="left"/>
      </w:pPr>
      <w:r>
        <w:rPr>
          <w:b w:val="false"/>
          <w:bCs w:val="false"/>
          <w:i w:val="false"/>
          <w:iCs w:val="false"/>
          <w:color w:val="1E293B"/>
          <w:sz w:val="22"/>
          <w:szCs w:val="22"/>
        </w:rPr>
        <w:t xml:space="preserve">Review these ten targeted questions and bulletproof answers with your teammate to prepare for your project viva or examiner presentation: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1: Why did you train on ODIR-5K and test on RFMiD rather than training on both together?</w:t>
            </w:r>
          </w:p>
          <w:p>
            <w:pPr>
              <w:spacing w:after="40" w:before="40" w:line="260"/>
            </w:pPr>
            <w:r>
              <w:rPr>
                <w:color w:val="334155"/>
                <w:sz w:val="21"/>
                <w:szCs w:val="21"/>
              </w:rPr>
              <w:t xml:space="preserve">Answer: Mixing both datasets together would have tested internal interpolation, concealing the primary real-world hazard of medical AI: cross-hospital domain shift. In reality, when a healthcare provider deploys AI, the target clinic's data is never available during original training. Keeping RFMiD as a 100 percent held-out external hospital benchmark allowed us to rigorously prove that our unsupervised domain adaptation recovers sensitivity from 53.8 percent to 73.6 percent without requiring manual target annotations.</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2: What is the difference between model confidence and epistemic uncertainty?</w:t>
            </w:r>
          </w:p>
          <w:p>
            <w:pPr>
              <w:spacing w:after="40" w:before="40" w:line="260"/>
            </w:pPr>
            <w:r>
              <w:rPr>
                <w:color w:val="334155"/>
                <w:sz w:val="21"/>
                <w:szCs w:val="21"/>
              </w:rPr>
              <w:t xml:space="preserve">Answer: Standard model confidence is merely the highest softmax output probability. A conventional network will assign 99 percent confidence even to an out-of-distribution image or camera artifact because softmax forces probabilities to sum to one. Epistemic uncertainty measures the model's true lack of knowledge. By sampling multiple stochastic dropout paths at inference time, we measure predictive variance (sigma). If the dropout networks disagree, the system acknowledges its ignorance and triggers a safety referral.</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3: Why did your version v1 report a 98.4 percent AUC if it was flawed?</w:t>
            </w:r>
          </w:p>
          <w:p>
            <w:pPr>
              <w:spacing w:after="40" w:before="40" w:line="260"/>
            </w:pPr>
            <w:r>
              <w:rPr>
                <w:color w:val="334155"/>
                <w:sz w:val="21"/>
                <w:szCs w:val="21"/>
              </w:rPr>
              <w:t xml:space="preserve">Answer: Version v1 suffered from patient bilateral data leakage. A patient's left eye was in the training set while their right eye was in the test set. Because both eyes share identical retinal vascular architecture and pigmentation, the network memorized patient identities instead of learning cataract pathology. When tested on unseen external patients, AUC collapsed to 0.712. We permanently fixed this by enforcing patient-aware grouping and difference hash (dHash) deduplication.</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4: What is the function of Graham local contrast normalization?</w:t>
            </w:r>
          </w:p>
          <w:p>
            <w:pPr>
              <w:spacing w:after="40" w:before="40" w:line="260"/>
            </w:pPr>
            <w:r>
              <w:rPr>
                <w:color w:val="334155"/>
                <w:sz w:val="21"/>
                <w:szCs w:val="21"/>
              </w:rPr>
              <w:t xml:space="preserve">Answer: Fundus cameras have severe non-uniform flash illumination, with bright central reflections and dark peripheral vignetting. Graham normalization subtracts a wide Gaussian-blurred background (sigma=30) from the image. This removes low-frequency lighting gradients while preserving high-frequency retinal micro-vessel details, ensuring that dark and bright cameras share an identical contrast baseline.</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5: How does CORAL align features without using target ground-truth labels?</w:t>
            </w:r>
          </w:p>
          <w:p>
            <w:pPr>
              <w:spacing w:after="40" w:before="40" w:line="260"/>
            </w:pPr>
            <w:r>
              <w:rPr>
                <w:color w:val="334155"/>
                <w:sz w:val="21"/>
                <w:szCs w:val="21"/>
              </w:rPr>
              <w:t xml:space="preserve">Answer: CORAL (Correlation Alignment) calculates the second-order statistics (covariance matrices) of deep feature activations for source batches and target batches. It calculates the Frobenius norm difference between these covariance matrices and adds this penalty to the loss function. This forces the deep network layers to map source and target images into the same statistical distribution without needing to know target labels.</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6: Why did you choose DenseNet-121 over ResNet-50?</w:t>
            </w:r>
          </w:p>
          <w:p>
            <w:pPr>
              <w:spacing w:after="40" w:before="40" w:line="260"/>
            </w:pPr>
            <w:r>
              <w:rPr>
                <w:color w:val="334155"/>
                <w:sz w:val="21"/>
                <w:szCs w:val="21"/>
              </w:rPr>
              <w:t xml:space="preserve">Answer: DenseNet-121 connects every layer to every subsequent layer via feature concatenation. In medical image analysis, early low-level features (such as subtle vessel edges and lens haze) must not be lost in deeper layers. Concatenation ensures direct feature reuse throughout the network with only 7 million parameters, compared to over 25 million in ResNet-50, preventing overfitting on modest clinical cohorts.</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7: Why did sensitivity crash to 21.4 percent in version v5 when you balanced classes?</w:t>
            </w:r>
          </w:p>
          <w:p>
            <w:pPr>
              <w:spacing w:after="40" w:before="40" w:line="260"/>
            </w:pPr>
            <w:r>
              <w:rPr>
                <w:color w:val="334155"/>
                <w:sz w:val="21"/>
                <w:szCs w:val="21"/>
              </w:rPr>
              <w:t xml:space="preserve">Answer: In v5, naive under-sampling and over-sampling shifted the training prior probability away from the true epidemiological prevalence. Neural networks implicitly learn the prior distribution of classes. By artificially altering this distribution without re-calibrating the classification threshold, the model developed a heavy bias toward predicting the majority normal class, missing cataracts. This taught us that medical re-balancing requires threshold calibration.</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8: How does the auxiliary continuous severity head assist binary classification?</w:t>
            </w:r>
          </w:p>
          <w:p>
            <w:pPr>
              <w:spacing w:after="40" w:before="40" w:line="260"/>
            </w:pPr>
            <w:r>
              <w:rPr>
                <w:color w:val="334155"/>
                <w:sz w:val="21"/>
                <w:szCs w:val="21"/>
              </w:rPr>
              <w:t xml:space="preserve">Answer: We trained the network using multi-task learning: a binary classification head with Binary Cross-Entropy loss and an auxiliary continuous severity head with Mean Squared Error loss. This multi-task setup regularizes the feature backbone, ensuring the network learns that cataract development is a continuous biological opacification process rather than an arbitrary binary flip.</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9: What is the difference between Brier Score and Expected Calibration Error (ECE)?</w:t>
            </w:r>
          </w:p>
          <w:p>
            <w:pPr>
              <w:spacing w:after="40" w:before="40" w:line="260"/>
            </w:pPr>
            <w:r>
              <w:rPr>
                <w:color w:val="334155"/>
                <w:sz w:val="21"/>
                <w:szCs w:val="21"/>
              </w:rPr>
              <w:t xml:space="preserve">Answer: Brier score is the mean squared error between predicted probabilities and binary true labels, measuring both discrimination and calibration simultaneously. ECE specifically groups predictions into probability bins and computes the weighted average difference between bin confidence and empirical accuracy. Domain adaptation reduced our Brier error by 10.3 percent and ECE by 23.2 percent.</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3B82F6" w:sz="24"/>
              <w:bottom w:val="none"/>
              <w:right w:val="none"/>
            </w:tcBorders>
            <w:shd w:fill="EFF6FF" w:val="clear"/>
            <w:tcMar>
              <w:top w:type="dxa" w:w="140"/>
              <w:left w:type="dxa" w:w="200"/>
              <w:bottom w:type="dxa" w:w="140"/>
              <w:right w:type="dxa" w:w="160"/>
            </w:tcMar>
          </w:tcPr>
          <w:p>
            <w:pPr>
              <w:spacing w:after="60" w:before="40"/>
            </w:pPr>
            <w:r>
              <w:rPr>
                <w:b/>
                <w:bCs/>
                <w:color w:val="0F172A"/>
                <w:sz w:val="22"/>
                <w:szCs w:val="22"/>
              </w:rPr>
              <w:t xml:space="preserve">Question 10: Can this system replace an ophthalmologist in an eye hospital today?</w:t>
            </w:r>
          </w:p>
          <w:p>
            <w:pPr>
              <w:spacing w:after="40" w:before="40" w:line="260"/>
            </w:pPr>
            <w:r>
              <w:rPr>
                <w:color w:val="334155"/>
                <w:sz w:val="21"/>
                <w:szCs w:val="21"/>
              </w:rPr>
              <w:t xml:space="preserve">Answer: No. UncertaCat is strictly an assistive screening and triage tool, not a diagnostic medical device. Its purpose is to assist community health workers in remote clinics by identifying patients who urgently need specialist attention and safely referring ambiguous cases, while allowing healthy patients to avoid unnecessary travel to overburdened hospitals.</w:t>
            </w:r>
          </w:p>
        </w:tc>
      </w:tr>
    </w:tbl>
    <w:p>
      <w:r>
        <w:br w:type="page"/>
      </w:r>
    </w:p>
    <w:p>
      <w:pPr>
        <w:pStyle w:val="Heading1"/>
        <w:pBdr>
          <w:bottom w:val="single" w:color="2563EB" w:sz="12"/>
        </w:pBdr>
        <w:spacing w:after="140" w:before="280"/>
      </w:pPr>
      <w:r>
        <w:rPr>
          <w:b/>
          <w:bCs/>
          <w:color w:val="0F172A"/>
          <w:sz w:val="32"/>
          <w:szCs w:val="32"/>
        </w:rPr>
        <w:t xml:space="preserve">10. Technical Glossary and Mathematical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500"/>
      </w:tblGrid>
      <w:tr>
        <w:trPr>
          <w:tblHeader/>
        </w:trPr>
        <w:tc>
          <w:tcPr>
            <w:tcW w:type="dxa" w:w="2000"/>
            <w:shd w:fill="F1F5F9" w:val="clear"/>
            <w:tcMar>
              <w:top w:type="dxa" w:w="100"/>
              <w:left w:type="dxa" w:w="100"/>
              <w:bottom w:type="dxa" w:w="100"/>
              <w:right w:type="dxa" w:w="100"/>
            </w:tcMar>
          </w:tcPr>
          <w:p>
            <w:pPr>
              <w:jc w:val="left"/>
            </w:pPr>
            <w:r>
              <w:rPr>
                <w:b/>
                <w:bCs/>
                <w:color w:val="0F172A"/>
                <w:sz w:val="20"/>
                <w:szCs w:val="20"/>
              </w:rPr>
              <w:t xml:space="preserve">Term / Symbol</w:t>
            </w:r>
          </w:p>
        </w:tc>
        <w:tc>
          <w:tcPr>
            <w:tcW w:type="dxa" w:w="4400"/>
            <w:shd w:fill="F1F5F9" w:val="clear"/>
            <w:tcMar>
              <w:top w:type="dxa" w:w="100"/>
              <w:left w:type="dxa" w:w="100"/>
              <w:bottom w:type="dxa" w:w="100"/>
              <w:right w:type="dxa" w:w="100"/>
            </w:tcMar>
          </w:tcPr>
          <w:p>
            <w:pPr>
              <w:jc w:val="left"/>
            </w:pPr>
            <w:r>
              <w:rPr>
                <w:b/>
                <w:bCs/>
                <w:color w:val="0F172A"/>
                <w:sz w:val="20"/>
                <w:szCs w:val="20"/>
              </w:rPr>
              <w:t xml:space="preserve">Technical Definition</w:t>
            </w:r>
          </w:p>
        </w:tc>
        <w:tc>
          <w:tcPr>
            <w:tcW w:type="dxa" w:w="3500"/>
            <w:shd w:fill="F1F5F9" w:val="clear"/>
            <w:tcMar>
              <w:top w:type="dxa" w:w="100"/>
              <w:left w:type="dxa" w:w="100"/>
              <w:bottom w:type="dxa" w:w="100"/>
              <w:right w:type="dxa" w:w="100"/>
            </w:tcMar>
          </w:tcPr>
          <w:p>
            <w:pPr>
              <w:jc w:val="left"/>
            </w:pPr>
            <w:r>
              <w:rPr>
                <w:b/>
                <w:bCs/>
                <w:color w:val="0F172A"/>
                <w:sz w:val="20"/>
                <w:szCs w:val="20"/>
              </w:rPr>
              <w:t xml:space="preserve">Clinical Significance in Project</w:t>
            </w:r>
          </w:p>
        </w:tc>
      </w:tr>
      <w:tr>
        <w:tc>
          <w:tcPr>
            <w:tcW w:type="dxa" w:w="2000"/>
            <w:shd w:fill="FFFFFF" w:val="clear"/>
            <w:tcMar>
              <w:top w:type="dxa" w:w="80"/>
              <w:left w:type="dxa" w:w="100"/>
              <w:bottom w:type="dxa" w:w="80"/>
              <w:right w:type="dxa" w:w="100"/>
            </w:tcMar>
          </w:tcPr>
          <w:p>
            <w:pPr>
              <w:jc w:val="left"/>
            </w:pPr>
            <w:r>
              <w:rPr>
                <w:color w:val="1E293B"/>
                <w:sz w:val="19"/>
                <w:szCs w:val="19"/>
              </w:rPr>
              <w:t xml:space="preserve">AUC-ROC</w:t>
            </w:r>
          </w:p>
        </w:tc>
        <w:tc>
          <w:tcPr>
            <w:tcW w:type="dxa" w:w="4400"/>
            <w:shd w:fill="FFFFFF" w:val="clear"/>
            <w:tcMar>
              <w:top w:type="dxa" w:w="80"/>
              <w:left w:type="dxa" w:w="100"/>
              <w:bottom w:type="dxa" w:w="80"/>
              <w:right w:type="dxa" w:w="100"/>
            </w:tcMar>
          </w:tcPr>
          <w:p>
            <w:pPr>
              <w:jc w:val="left"/>
            </w:pPr>
            <w:r>
              <w:rPr>
                <w:color w:val="1E293B"/>
                <w:sz w:val="19"/>
                <w:szCs w:val="19"/>
              </w:rPr>
              <w:t xml:space="preserve">Area Under Receiver Operating Characteristic curve. Measures probability that model ranks a random cataract patient higher than a healthy patient.</w:t>
            </w:r>
          </w:p>
        </w:tc>
        <w:tc>
          <w:tcPr>
            <w:tcW w:type="dxa" w:w="3500"/>
            <w:shd w:fill="FFFFFF" w:val="clear"/>
            <w:tcMar>
              <w:top w:type="dxa" w:w="80"/>
              <w:left w:type="dxa" w:w="100"/>
              <w:bottom w:type="dxa" w:w="80"/>
              <w:right w:type="dxa" w:w="100"/>
            </w:tcMar>
          </w:tcPr>
          <w:p>
            <w:pPr>
              <w:jc w:val="left"/>
            </w:pPr>
            <w:r>
              <w:rPr>
                <w:color w:val="1E293B"/>
                <w:sz w:val="19"/>
                <w:szCs w:val="19"/>
              </w:rPr>
              <w:t xml:space="preserve">Overall measure of diagnostic discrimination. Our adapted model achieved 0.8144 on external holdout.</w:t>
            </w:r>
          </w:p>
        </w:tc>
      </w:tr>
      <w:tr>
        <w:tc>
          <w:tcPr>
            <w:tcW w:type="dxa" w:w="2000"/>
            <w:shd w:fill="F8FAFC" w:val="clear"/>
            <w:tcMar>
              <w:top w:type="dxa" w:w="80"/>
              <w:left w:type="dxa" w:w="100"/>
              <w:bottom w:type="dxa" w:w="80"/>
              <w:right w:type="dxa" w:w="100"/>
            </w:tcMar>
          </w:tcPr>
          <w:p>
            <w:pPr>
              <w:jc w:val="left"/>
            </w:pPr>
            <w:r>
              <w:rPr>
                <w:color w:val="1E293B"/>
                <w:sz w:val="19"/>
                <w:szCs w:val="19"/>
              </w:rPr>
              <w:t xml:space="preserve">Sensitivity (Recall)</w:t>
            </w:r>
          </w:p>
        </w:tc>
        <w:tc>
          <w:tcPr>
            <w:tcW w:type="dxa" w:w="4400"/>
            <w:shd w:fill="F8FAFC" w:val="clear"/>
            <w:tcMar>
              <w:top w:type="dxa" w:w="80"/>
              <w:left w:type="dxa" w:w="100"/>
              <w:bottom w:type="dxa" w:w="80"/>
              <w:right w:type="dxa" w:w="100"/>
            </w:tcMar>
          </w:tcPr>
          <w:p>
            <w:pPr>
              <w:jc w:val="left"/>
            </w:pPr>
            <w:r>
              <w:rPr>
                <w:color w:val="1E293B"/>
                <w:sz w:val="19"/>
                <w:szCs w:val="19"/>
              </w:rPr>
              <w:t xml:space="preserve">True Positives / (True Positives + False Negatives). Proportion of cataract patients correctly detected.</w:t>
            </w:r>
          </w:p>
        </w:tc>
        <w:tc>
          <w:tcPr>
            <w:tcW w:type="dxa" w:w="3500"/>
            <w:shd w:fill="F8FAFC" w:val="clear"/>
            <w:tcMar>
              <w:top w:type="dxa" w:w="80"/>
              <w:left w:type="dxa" w:w="100"/>
              <w:bottom w:type="dxa" w:w="80"/>
              <w:right w:type="dxa" w:w="100"/>
            </w:tcMar>
          </w:tcPr>
          <w:p>
            <w:pPr>
              <w:jc w:val="left"/>
            </w:pPr>
            <w:r>
              <w:rPr>
                <w:color w:val="1E293B"/>
                <w:sz w:val="19"/>
                <w:szCs w:val="19"/>
              </w:rPr>
              <w:t xml:space="preserve">Primary safety metric in screening. Adapted from 53.8% to 73.6%, preventing missed diagnoses.</w:t>
            </w:r>
          </w:p>
        </w:tc>
      </w:tr>
      <w:tr>
        <w:tc>
          <w:tcPr>
            <w:tcW w:type="dxa" w:w="2000"/>
            <w:shd w:fill="FFFFFF" w:val="clear"/>
            <w:tcMar>
              <w:top w:type="dxa" w:w="80"/>
              <w:left w:type="dxa" w:w="100"/>
              <w:bottom w:type="dxa" w:w="80"/>
              <w:right w:type="dxa" w:w="100"/>
            </w:tcMar>
          </w:tcPr>
          <w:p>
            <w:pPr>
              <w:jc w:val="left"/>
            </w:pPr>
            <w:r>
              <w:rPr>
                <w:color w:val="1E293B"/>
                <w:sz w:val="19"/>
                <w:szCs w:val="19"/>
              </w:rPr>
              <w:t xml:space="preserve">Specificity</w:t>
            </w:r>
          </w:p>
        </w:tc>
        <w:tc>
          <w:tcPr>
            <w:tcW w:type="dxa" w:w="4400"/>
            <w:shd w:fill="FFFFFF" w:val="clear"/>
            <w:tcMar>
              <w:top w:type="dxa" w:w="80"/>
              <w:left w:type="dxa" w:w="100"/>
              <w:bottom w:type="dxa" w:w="80"/>
              <w:right w:type="dxa" w:w="100"/>
            </w:tcMar>
          </w:tcPr>
          <w:p>
            <w:pPr>
              <w:jc w:val="left"/>
            </w:pPr>
            <w:r>
              <w:rPr>
                <w:color w:val="1E293B"/>
                <w:sz w:val="19"/>
                <w:szCs w:val="19"/>
              </w:rPr>
              <w:t xml:space="preserve">True Negatives / (True Negatives + False Positives). Proportion of healthy individuals correctly identified.</w:t>
            </w:r>
          </w:p>
        </w:tc>
        <w:tc>
          <w:tcPr>
            <w:tcW w:type="dxa" w:w="3500"/>
            <w:shd w:fill="FFFFFF" w:val="clear"/>
            <w:tcMar>
              <w:top w:type="dxa" w:w="80"/>
              <w:left w:type="dxa" w:w="100"/>
              <w:bottom w:type="dxa" w:w="80"/>
              <w:right w:type="dxa" w:w="100"/>
            </w:tcMar>
          </w:tcPr>
          <w:p>
            <w:pPr>
              <w:jc w:val="left"/>
            </w:pPr>
            <w:r>
              <w:rPr>
                <w:color w:val="1E293B"/>
                <w:sz w:val="19"/>
                <w:szCs w:val="19"/>
              </w:rPr>
              <w:t xml:space="preserve">Prevents overburdening ophthalmologists with false alarms. Maintained at 77.3% on external test.</w:t>
            </w:r>
          </w:p>
        </w:tc>
      </w:tr>
      <w:tr>
        <w:tc>
          <w:tcPr>
            <w:tcW w:type="dxa" w:w="2000"/>
            <w:shd w:fill="F8FAFC" w:val="clear"/>
            <w:tcMar>
              <w:top w:type="dxa" w:w="80"/>
              <w:left w:type="dxa" w:w="100"/>
              <w:bottom w:type="dxa" w:w="80"/>
              <w:right w:type="dxa" w:w="100"/>
            </w:tcMar>
          </w:tcPr>
          <w:p>
            <w:pPr>
              <w:jc w:val="left"/>
            </w:pPr>
            <w:r>
              <w:rPr>
                <w:color w:val="1E293B"/>
                <w:sz w:val="19"/>
                <w:szCs w:val="19"/>
              </w:rPr>
              <w:t xml:space="preserve">Epistemic Uncertainty (sigma)</w:t>
            </w:r>
          </w:p>
        </w:tc>
        <w:tc>
          <w:tcPr>
            <w:tcW w:type="dxa" w:w="4400"/>
            <w:shd w:fill="F8FAFC" w:val="clear"/>
            <w:tcMar>
              <w:top w:type="dxa" w:w="80"/>
              <w:left w:type="dxa" w:w="100"/>
              <w:bottom w:type="dxa" w:w="80"/>
              <w:right w:type="dxa" w:w="100"/>
            </w:tcMar>
          </w:tcPr>
          <w:p>
            <w:pPr>
              <w:jc w:val="left"/>
            </w:pPr>
            <w:r>
              <w:rPr>
                <w:color w:val="1E293B"/>
                <w:sz w:val="19"/>
                <w:szCs w:val="19"/>
              </w:rPr>
              <w:t xml:space="preserve">Standard deviation of predictions across stochastic Monte Carlo Dropout passes (T=10).</w:t>
            </w:r>
          </w:p>
        </w:tc>
        <w:tc>
          <w:tcPr>
            <w:tcW w:type="dxa" w:w="3500"/>
            <w:shd w:fill="F8FAFC" w:val="clear"/>
            <w:tcMar>
              <w:top w:type="dxa" w:w="80"/>
              <w:left w:type="dxa" w:w="100"/>
              <w:bottom w:type="dxa" w:w="80"/>
              <w:right w:type="dxa" w:w="100"/>
            </w:tcMar>
          </w:tcPr>
          <w:p>
            <w:pPr>
              <w:jc w:val="left"/>
            </w:pPr>
            <w:r>
              <w:rPr>
                <w:color w:val="1E293B"/>
                <w:sz w:val="19"/>
                <w:szCs w:val="19"/>
              </w:rPr>
              <w:t xml:space="preserve">Quantifies model doubt. When sigma &gt;= 0.08, automated Safety Referral to slit-lamp exam is triggered.</w:t>
            </w:r>
          </w:p>
        </w:tc>
      </w:tr>
      <w:tr>
        <w:tc>
          <w:tcPr>
            <w:tcW w:type="dxa" w:w="2000"/>
            <w:shd w:fill="FFFFFF" w:val="clear"/>
            <w:tcMar>
              <w:top w:type="dxa" w:w="80"/>
              <w:left w:type="dxa" w:w="100"/>
              <w:bottom w:type="dxa" w:w="80"/>
              <w:right w:type="dxa" w:w="100"/>
            </w:tcMar>
          </w:tcPr>
          <w:p>
            <w:pPr>
              <w:jc w:val="left"/>
            </w:pPr>
            <w:r>
              <w:rPr>
                <w:color w:val="1E293B"/>
                <w:sz w:val="19"/>
                <w:szCs w:val="19"/>
              </w:rPr>
              <w:t xml:space="preserve">Brier Score</w:t>
            </w:r>
          </w:p>
        </w:tc>
        <w:tc>
          <w:tcPr>
            <w:tcW w:type="dxa" w:w="4400"/>
            <w:shd w:fill="FFFFFF" w:val="clear"/>
            <w:tcMar>
              <w:top w:type="dxa" w:w="80"/>
              <w:left w:type="dxa" w:w="100"/>
              <w:bottom w:type="dxa" w:w="80"/>
              <w:right w:type="dxa" w:w="100"/>
            </w:tcMar>
          </w:tcPr>
          <w:p>
            <w:pPr>
              <w:jc w:val="left"/>
            </w:pPr>
            <w:r>
              <w:rPr>
                <w:color w:val="1E293B"/>
                <w:sz w:val="19"/>
                <w:szCs w:val="19"/>
              </w:rPr>
              <w:t xml:space="preserve">Mean squared error between predicted probability and actual label: (1/N) * sum((p_i - y_i)^2).</w:t>
            </w:r>
          </w:p>
        </w:tc>
        <w:tc>
          <w:tcPr>
            <w:tcW w:type="dxa" w:w="3500"/>
            <w:shd w:fill="FFFFFF" w:val="clear"/>
            <w:tcMar>
              <w:top w:type="dxa" w:w="80"/>
              <w:left w:type="dxa" w:w="100"/>
              <w:bottom w:type="dxa" w:w="80"/>
              <w:right w:type="dxa" w:w="100"/>
            </w:tcMar>
          </w:tcPr>
          <w:p>
            <w:pPr>
              <w:jc w:val="left"/>
            </w:pPr>
            <w:r>
              <w:rPr>
                <w:color w:val="1E293B"/>
                <w:sz w:val="19"/>
                <w:szCs w:val="19"/>
              </w:rPr>
              <w:t xml:space="preserve">Measures overall probabilistic accuracy. Reduced from 0.1764 to 0.1583 (-10.3% error).</w:t>
            </w:r>
          </w:p>
        </w:tc>
      </w:tr>
      <w:tr>
        <w:tc>
          <w:tcPr>
            <w:tcW w:type="dxa" w:w="2000"/>
            <w:shd w:fill="F8FAFC" w:val="clear"/>
            <w:tcMar>
              <w:top w:type="dxa" w:w="80"/>
              <w:left w:type="dxa" w:w="100"/>
              <w:bottom w:type="dxa" w:w="80"/>
              <w:right w:type="dxa" w:w="100"/>
            </w:tcMar>
          </w:tcPr>
          <w:p>
            <w:pPr>
              <w:jc w:val="left"/>
            </w:pPr>
            <w:r>
              <w:rPr>
                <w:color w:val="1E293B"/>
                <w:sz w:val="19"/>
                <w:szCs w:val="19"/>
              </w:rPr>
              <w:t xml:space="preserve">Expected Calibration Error (ECE)</w:t>
            </w:r>
          </w:p>
        </w:tc>
        <w:tc>
          <w:tcPr>
            <w:tcW w:type="dxa" w:w="4400"/>
            <w:shd w:fill="F8FAFC" w:val="clear"/>
            <w:tcMar>
              <w:top w:type="dxa" w:w="80"/>
              <w:left w:type="dxa" w:w="100"/>
              <w:bottom w:type="dxa" w:w="80"/>
              <w:right w:type="dxa" w:w="100"/>
            </w:tcMar>
          </w:tcPr>
          <w:p>
            <w:pPr>
              <w:jc w:val="left"/>
            </w:pPr>
            <w:r>
              <w:rPr>
                <w:color w:val="1E293B"/>
                <w:sz w:val="19"/>
                <w:szCs w:val="19"/>
              </w:rPr>
              <w:t xml:space="preserve">Weighted average difference between confidence and accuracy across 15 probability bins.</w:t>
            </w:r>
          </w:p>
        </w:tc>
        <w:tc>
          <w:tcPr>
            <w:tcW w:type="dxa" w:w="3500"/>
            <w:shd w:fill="F8FAFC" w:val="clear"/>
            <w:tcMar>
              <w:top w:type="dxa" w:w="80"/>
              <w:left w:type="dxa" w:w="100"/>
              <w:bottom w:type="dxa" w:w="80"/>
              <w:right w:type="dxa" w:w="100"/>
            </w:tcMar>
          </w:tcPr>
          <w:p>
            <w:pPr>
              <w:jc w:val="left"/>
            </w:pPr>
            <w:r>
              <w:rPr>
                <w:color w:val="1E293B"/>
                <w:sz w:val="19"/>
                <w:szCs w:val="19"/>
              </w:rPr>
              <w:t xml:space="preserve">Ensures that 80% probability corresponds to 80% true disease prevalence. Improved by 23.2%.</w:t>
            </w:r>
          </w:p>
        </w:tc>
      </w:tr>
      <w:tr>
        <w:tc>
          <w:tcPr>
            <w:tcW w:type="dxa" w:w="2000"/>
            <w:shd w:fill="FFFFFF" w:val="clear"/>
            <w:tcMar>
              <w:top w:type="dxa" w:w="80"/>
              <w:left w:type="dxa" w:w="100"/>
              <w:bottom w:type="dxa" w:w="80"/>
              <w:right w:type="dxa" w:w="100"/>
            </w:tcMar>
          </w:tcPr>
          <w:p>
            <w:pPr>
              <w:jc w:val="left"/>
            </w:pPr>
            <w:r>
              <w:rPr>
                <w:color w:val="1E293B"/>
                <w:sz w:val="19"/>
                <w:szCs w:val="19"/>
              </w:rPr>
              <w:t xml:space="preserve">CORAL Loss</w:t>
            </w:r>
          </w:p>
        </w:tc>
        <w:tc>
          <w:tcPr>
            <w:tcW w:type="dxa" w:w="4400"/>
            <w:shd w:fill="FFFFFF" w:val="clear"/>
            <w:tcMar>
              <w:top w:type="dxa" w:w="80"/>
              <w:left w:type="dxa" w:w="100"/>
              <w:bottom w:type="dxa" w:w="80"/>
              <w:right w:type="dxa" w:w="100"/>
            </w:tcMar>
          </w:tcPr>
          <w:p>
            <w:pPr>
              <w:jc w:val="left"/>
            </w:pPr>
            <w:r>
              <w:rPr>
                <w:color w:val="1E293B"/>
                <w:sz w:val="19"/>
                <w:szCs w:val="19"/>
              </w:rPr>
              <w:t xml:space="preserve">Correlation Alignment loss measuring Frobenius norm distance between feature covariance matrices.</w:t>
            </w:r>
          </w:p>
        </w:tc>
        <w:tc>
          <w:tcPr>
            <w:tcW w:type="dxa" w:w="3500"/>
            <w:shd w:fill="FFFFFF" w:val="clear"/>
            <w:tcMar>
              <w:top w:type="dxa" w:w="80"/>
              <w:left w:type="dxa" w:w="100"/>
              <w:bottom w:type="dxa" w:w="80"/>
              <w:right w:type="dxa" w:w="100"/>
            </w:tcMar>
          </w:tcPr>
          <w:p>
            <w:pPr>
              <w:jc w:val="left"/>
            </w:pPr>
            <w:r>
              <w:rPr>
                <w:color w:val="1E293B"/>
                <w:sz w:val="19"/>
                <w:szCs w:val="19"/>
              </w:rPr>
              <w:t xml:space="preserve">Aligns deep representations across camera manufacturers without needing target labels.</w:t>
            </w:r>
          </w:p>
        </w:tc>
      </w:tr>
      <w:tr>
        <w:tc>
          <w:tcPr>
            <w:tcW w:type="dxa" w:w="2000"/>
            <w:shd w:fill="F8FAFC" w:val="clear"/>
            <w:tcMar>
              <w:top w:type="dxa" w:w="80"/>
              <w:left w:type="dxa" w:w="100"/>
              <w:bottom w:type="dxa" w:w="80"/>
              <w:right w:type="dxa" w:w="100"/>
            </w:tcMar>
          </w:tcPr>
          <w:p>
            <w:pPr>
              <w:jc w:val="left"/>
            </w:pPr>
            <w:r>
              <w:rPr>
                <w:color w:val="1E293B"/>
                <w:sz w:val="19"/>
                <w:szCs w:val="19"/>
              </w:rPr>
              <w:t xml:space="preserve">Graham Normalization</w:t>
            </w:r>
          </w:p>
        </w:tc>
        <w:tc>
          <w:tcPr>
            <w:tcW w:type="dxa" w:w="4400"/>
            <w:shd w:fill="F8FAFC" w:val="clear"/>
            <w:tcMar>
              <w:top w:type="dxa" w:w="80"/>
              <w:left w:type="dxa" w:w="100"/>
              <w:bottom w:type="dxa" w:w="80"/>
              <w:right w:type="dxa" w:w="100"/>
            </w:tcMar>
          </w:tcPr>
          <w:p>
            <w:pPr>
              <w:jc w:val="left"/>
            </w:pPr>
            <w:r>
              <w:rPr>
                <w:color w:val="1E293B"/>
                <w:sz w:val="19"/>
                <w:szCs w:val="19"/>
              </w:rPr>
              <w:t xml:space="preserve">Spatial contrast subtraction: 4 * I - 4 * Gaussian(I, sigma=30) + 128.</w:t>
            </w:r>
          </w:p>
        </w:tc>
        <w:tc>
          <w:tcPr>
            <w:tcW w:type="dxa" w:w="3500"/>
            <w:shd w:fill="F8FAFC" w:val="clear"/>
            <w:tcMar>
              <w:top w:type="dxa" w:w="80"/>
              <w:left w:type="dxa" w:w="100"/>
              <w:bottom w:type="dxa" w:w="80"/>
              <w:right w:type="dxa" w:w="100"/>
            </w:tcMar>
          </w:tcPr>
          <w:p>
            <w:pPr>
              <w:jc w:val="left"/>
            </w:pPr>
            <w:r>
              <w:rPr>
                <w:color w:val="1E293B"/>
                <w:sz w:val="19"/>
                <w:szCs w:val="19"/>
              </w:rPr>
              <w:t xml:space="preserve">Eliminates non-uniform illumination and flash glare across different hospital fundus cameras.</w:t>
            </w:r>
          </w:p>
        </w:tc>
      </w:tr>
      <w:tr>
        <w:tc>
          <w:tcPr>
            <w:tcW w:type="dxa" w:w="2000"/>
            <w:shd w:fill="FFFFFF" w:val="clear"/>
            <w:tcMar>
              <w:top w:type="dxa" w:w="80"/>
              <w:left w:type="dxa" w:w="100"/>
              <w:bottom w:type="dxa" w:w="80"/>
              <w:right w:type="dxa" w:w="100"/>
            </w:tcMar>
          </w:tcPr>
          <w:p>
            <w:pPr>
              <w:jc w:val="left"/>
            </w:pPr>
            <w:r>
              <w:rPr>
                <w:color w:val="1E293B"/>
                <w:sz w:val="19"/>
                <w:szCs w:val="19"/>
              </w:rPr>
              <w:t xml:space="preserve">CLAHE</w:t>
            </w:r>
          </w:p>
        </w:tc>
        <w:tc>
          <w:tcPr>
            <w:tcW w:type="dxa" w:w="4400"/>
            <w:shd w:fill="FFFFFF" w:val="clear"/>
            <w:tcMar>
              <w:top w:type="dxa" w:w="80"/>
              <w:left w:type="dxa" w:w="100"/>
              <w:bottom w:type="dxa" w:w="80"/>
              <w:right w:type="dxa" w:w="100"/>
            </w:tcMar>
          </w:tcPr>
          <w:p>
            <w:pPr>
              <w:jc w:val="left"/>
            </w:pPr>
            <w:r>
              <w:rPr>
                <w:color w:val="1E293B"/>
                <w:sz w:val="19"/>
                <w:szCs w:val="19"/>
              </w:rPr>
              <w:t xml:space="preserve">Contrast Limited Adaptive Histogram Equalization applied on green spectral channel.</w:t>
            </w:r>
          </w:p>
        </w:tc>
        <w:tc>
          <w:tcPr>
            <w:tcW w:type="dxa" w:w="3500"/>
            <w:shd w:fill="FFFFFF" w:val="clear"/>
            <w:tcMar>
              <w:top w:type="dxa" w:w="80"/>
              <w:left w:type="dxa" w:w="100"/>
              <w:bottom w:type="dxa" w:w="80"/>
              <w:right w:type="dxa" w:w="100"/>
            </w:tcMar>
          </w:tcPr>
          <w:p>
            <w:pPr>
              <w:jc w:val="left"/>
            </w:pPr>
            <w:r>
              <w:rPr>
                <w:color w:val="1E293B"/>
                <w:sz w:val="19"/>
                <w:szCs w:val="19"/>
              </w:rPr>
              <w:t xml:space="preserve">Maximizes visual contrast of retinal blood vessels and lens opacities without amplifying noise.</w:t>
            </w:r>
          </w:p>
        </w:tc>
      </w:tr>
      <w:tr>
        <w:tc>
          <w:tcPr>
            <w:tcW w:type="dxa" w:w="2000"/>
            <w:shd w:fill="F8FAFC" w:val="clear"/>
            <w:tcMar>
              <w:top w:type="dxa" w:w="80"/>
              <w:left w:type="dxa" w:w="100"/>
              <w:bottom w:type="dxa" w:w="80"/>
              <w:right w:type="dxa" w:w="100"/>
            </w:tcMar>
          </w:tcPr>
          <w:p>
            <w:pPr>
              <w:jc w:val="left"/>
            </w:pPr>
            <w:r>
              <w:rPr>
                <w:color w:val="1E293B"/>
                <w:sz w:val="19"/>
                <w:szCs w:val="19"/>
              </w:rPr>
              <w:t xml:space="preserve">Difference Hash (dHash)</w:t>
            </w:r>
          </w:p>
        </w:tc>
        <w:tc>
          <w:tcPr>
            <w:tcW w:type="dxa" w:w="4400"/>
            <w:shd w:fill="F8FAFC" w:val="clear"/>
            <w:tcMar>
              <w:top w:type="dxa" w:w="80"/>
              <w:left w:type="dxa" w:w="100"/>
              <w:bottom w:type="dxa" w:w="80"/>
              <w:right w:type="dxa" w:w="100"/>
            </w:tcMar>
          </w:tcPr>
          <w:p>
            <w:pPr>
              <w:jc w:val="left"/>
            </w:pPr>
            <w:r>
              <w:rPr>
                <w:color w:val="1E293B"/>
                <w:sz w:val="19"/>
                <w:szCs w:val="19"/>
              </w:rPr>
              <w:t xml:space="preserve">64-bit perceptual image hash computed by comparing adjacent pixel gradients on an 8x9 thumbnail.</w:t>
            </w:r>
          </w:p>
        </w:tc>
        <w:tc>
          <w:tcPr>
            <w:tcW w:type="dxa" w:w="3500"/>
            <w:shd w:fill="F8FAFC" w:val="clear"/>
            <w:tcMar>
              <w:top w:type="dxa" w:w="80"/>
              <w:left w:type="dxa" w:w="100"/>
              <w:bottom w:type="dxa" w:w="80"/>
              <w:right w:type="dxa" w:w="100"/>
            </w:tcMar>
          </w:tcPr>
          <w:p>
            <w:pPr>
              <w:jc w:val="left"/>
            </w:pPr>
            <w:r>
              <w:rPr>
                <w:color w:val="1E293B"/>
                <w:sz w:val="19"/>
                <w:szCs w:val="19"/>
              </w:rPr>
              <w:t xml:space="preserve">Eliminated duplicate and near-duplicate fundus images across merged repositories, preventing leakage.</w:t>
            </w:r>
          </w:p>
        </w:tc>
      </w:tr>
    </w:tbl>
    <w:p>
      <w:pPr>
        <w:spacing w:after="100" w:before="100" w:line="280"/>
        <w:jc w:val="left"/>
      </w:pPr>
      <w:r>
        <w:rPr>
          <w:b w:val="false"/>
          <w:bCs w:val="false"/>
          <w:i w:val="false"/>
          <w:iCs w:val="false"/>
          <w:color w:val="1E293B"/>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left w:val="single" w:color="22C55E" w:sz="24"/>
              <w:bottom w:val="none"/>
              <w:right w:val="none"/>
            </w:tcBorders>
            <w:shd w:fill="F0FDF4" w:val="clear"/>
            <w:tcMar>
              <w:top w:type="dxa" w:w="140"/>
              <w:left w:type="dxa" w:w="200"/>
              <w:bottom w:type="dxa" w:w="140"/>
              <w:right w:type="dxa" w:w="160"/>
            </w:tcMar>
          </w:tcPr>
          <w:p>
            <w:pPr>
              <w:spacing w:after="60" w:before="40"/>
            </w:pPr>
            <w:r>
              <w:rPr>
                <w:b/>
                <w:bCs/>
                <w:color w:val="0F172A"/>
                <w:sz w:val="22"/>
                <w:szCs w:val="22"/>
              </w:rPr>
              <w:t xml:space="preserve">Project Completion Status</w:t>
            </w:r>
          </w:p>
          <w:p>
            <w:pPr>
              <w:spacing w:after="40" w:before="40" w:line="260"/>
            </w:pPr>
            <w:r>
              <w:rPr>
                <w:color w:val="334155"/>
                <w:sz w:val="21"/>
                <w:szCs w:val="21"/>
              </w:rPr>
              <w:t xml:space="preserve">Both deep learning models are verified, empirical results are cross-validated against benchmark files, the source code and notebooks are published on GitHub, and the dual-model interactive application is actively serving predictions on Hugging Face Spaces.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85a19a569584ccfbccc259e582b7ecbdd67ffcb.png"/><Relationship Id="rId8" Type="http://schemas.openxmlformats.org/officeDocument/2006/relationships/image" Target="media/fbe141804c6652185f3e91d3a99656457a8a23f0.png"/><Relationship Id="rId9" Type="http://schemas.openxmlformats.org/officeDocument/2006/relationships/image" Target="media/36d23fe2f0a7fd66afcfbe8c276b234045611ab8.png"/><Relationship Id="rId10" Type="http://schemas.openxmlformats.org/officeDocument/2006/relationships/image" Target="media/0fab08c8c7899a303438e80cd8bbb739f64922fa.png"/><Relationship Id="rId11" Type="http://schemas.openxmlformats.org/officeDocument/2006/relationships/image" Target="media/cd38bcfa06bf915b99fb8f7b032b8ed2a256fbe1.png"/><Relationship Id="rId12" Type="http://schemas.openxmlformats.org/officeDocument/2006/relationships/image" Target="media/add34a1fe321fe95976075b85680910dcaa1d773.png"/><Relationship Id="rId13" Type="http://schemas.openxmlformats.org/officeDocument/2006/relationships/image" Target="media/6bd25206dd33e3b336731e5244c3829f27221437.png"/><Relationship Id="rId14" Type="http://schemas.openxmlformats.org/officeDocument/2006/relationships/image" Target="media/5add4d0e874d4ca3e825cb5a4997c4971459d27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2026-10-28T22:23:43.926Z</dcterms:created>
  <dcterms:modified xsi:type="dcterms:W3CDTF">2026-10-28T22:23:43.927Z</dcterms:modified>
</cp:coreProperties>
</file>

<file path=docProps/custom.xml><?xml version="1.0" encoding="utf-8"?>
<Properties xmlns="http://schemas.openxmlformats.org/officeDocument/2006/custom-properties" xmlns:vt="http://schemas.openxmlformats.org/officeDocument/2006/docPropsVTypes"/>
</file>