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192B7">
      <w:pPr>
        <w:rPr>
          <w:rFonts w:hint="default"/>
        </w:rPr>
      </w:pPr>
      <w:r>
        <w:rPr>
          <w:rFonts w:hint="default"/>
        </w:rPr>
        <w:t>[Ikkinchi Butrus] Masih bilan nafas oladi va Uning maqsadi amalga oshishini kutadi. E. G. Xomrigxauzen</w:t>
      </w:r>
    </w:p>
    <w:p w14:paraId="5B5B1AC1">
      <w:pPr>
        <w:rPr>
          <w:rFonts w:hint="default"/>
        </w:rPr>
      </w:pPr>
    </w:p>
    <w:p w14:paraId="5BFAFAC6">
      <w:pPr>
        <w:rPr>
          <w:rFonts w:hint="default"/>
          <w:b/>
          <w:bCs/>
        </w:rPr>
      </w:pPr>
      <w:r>
        <w:rPr>
          <w:rFonts w:hint="default"/>
          <w:b/>
          <w:bCs/>
        </w:rPr>
        <w:t>Kirish</w:t>
      </w:r>
    </w:p>
    <w:p w14:paraId="7D77835D">
      <w:pPr>
        <w:rPr>
          <w:rFonts w:hint="default"/>
          <w:b/>
          <w:bCs/>
        </w:rPr>
      </w:pPr>
    </w:p>
    <w:p w14:paraId="56E1B625">
      <w:pPr>
        <w:rPr>
          <w:rFonts w:hint="default"/>
        </w:rPr>
      </w:pPr>
      <w:r>
        <w:rPr>
          <w:rFonts w:hint="default"/>
          <w:b/>
          <w:bCs/>
        </w:rPr>
        <w:t>I. KANONDAGI ALOHIDA HOLAT</w:t>
      </w:r>
      <w:r>
        <w:rPr>
          <w:rFonts w:hint="default"/>
        </w:rPr>
        <w:t xml:space="preserve"> Yuqorida keltirilgan epigraf ayniqsa muhim, chunki muallif, bugungi kunda yashayotgan ko‘pchilik singari, bu maktubni Butrus yozganini inkor etadi. Biroq, u ushbu kitob "tabiati va ruhi jihatidan Butrusga tegishli" ekanligini tan oladi. (E.G. Homrighausen, "The Second Epistle of Peter," Exposition, IB, XII, 1957, 166-bet.) G‘alati bo‘lsa-da, bu ikki bayonot Butrusning ikkinchi maktubining o‘ziga xos hissasini qisqacha ifodalaydi.</w:t>
      </w:r>
    </w:p>
    <w:p w14:paraId="08A132BA">
      <w:pPr>
        <w:rPr>
          <w:rFonts w:hint="default"/>
        </w:rPr>
      </w:pPr>
    </w:p>
    <w:p w14:paraId="74DBE62B">
      <w:pPr>
        <w:rPr>
          <w:rFonts w:hint="default"/>
        </w:rPr>
      </w:pPr>
      <w:r>
        <w:rPr>
          <w:rFonts w:hint="default"/>
        </w:rPr>
        <w:t>Murtadlikning zulmat qorong‘uligida bu qisqa maktub Rabbimizning kelishini sabrsizlik bilan kutmoqda. Garchi maktubda Butrusning o‘ziga xos xususiyatlari va hayot haqidagi shaxsiy xotiralari aks etgan bo‘lsa-da, aslida bu kichik maktubni o‘zi uchun gapirtirib qo‘yganlar uchun, u Masih haqida guvohlik beradi.</w:t>
      </w:r>
    </w:p>
    <w:p w14:paraId="2657A58E">
      <w:pPr>
        <w:rPr>
          <w:rFonts w:hint="default"/>
        </w:rPr>
      </w:pPr>
    </w:p>
    <w:p w14:paraId="5C28B95B">
      <w:pPr>
        <w:rPr>
          <w:rFonts w:hint="default"/>
          <w:b/>
          <w:bCs/>
        </w:rPr>
      </w:pPr>
      <w:r>
        <w:rPr>
          <w:rFonts w:hint="default"/>
          <w:b/>
          <w:bCs/>
        </w:rPr>
        <w:t>II. MUALLIFLIK</w:t>
      </w:r>
    </w:p>
    <w:p w14:paraId="69E1ADEE">
      <w:pPr>
        <w:rPr>
          <w:rFonts w:hint="default"/>
          <w:b/>
          <w:bCs/>
        </w:rPr>
      </w:pPr>
    </w:p>
    <w:p w14:paraId="5ED3FA68">
      <w:pPr>
        <w:rPr>
          <w:rFonts w:hint="default"/>
        </w:rPr>
      </w:pPr>
      <w:r>
        <w:rPr>
          <w:rFonts w:hint="default"/>
        </w:rPr>
        <w:t>Yaqinda AQShning yetakchi konservativ Yangi Ahd tadqiqotchilaridan biri shunday dedi: "Butrusning ikkinchi maktubi haqida gap ketganda, Eski Ahddagi Doniyor va Ishayo kitoblari kabi, Muqaddas Yozuvlarni tushunish va tushuntirishning oddiy usullari yetarli emas va haqiqiy ilohiyotdan adashish juda oson." Ushbu maktubni o‘rganayotganda, zamonaviy sharhlovchilar ko‘pincha Butrusning muallifligini rad etishga ham urinmaydilar; ular Butrusning uni yozmaganligini isbotlangan deb hisoblashadi. Ikkinchi maktubdan farqli o‘laroq, Yangi Ahdning boshqa kitoblari uni asl nusxa sifatida tan olmaslik uchun bunday jiddiy sabablarga ega emas, ammo bu sabablar, shubhasiz, ular ta’kidlaganidek katta emas.</w:t>
      </w:r>
    </w:p>
    <w:p w14:paraId="40494B75">
      <w:pPr>
        <w:rPr>
          <w:rFonts w:hint="default"/>
        </w:rPr>
      </w:pPr>
    </w:p>
    <w:p w14:paraId="7F3E7860">
      <w:pPr>
        <w:rPr>
          <w:rFonts w:hint="default"/>
          <w:b/>
          <w:bCs/>
        </w:rPr>
      </w:pPr>
      <w:r>
        <w:rPr>
          <w:rFonts w:hint="default"/>
          <w:b/>
          <w:bCs/>
        </w:rPr>
        <w:t>Tashqi dalillar</w:t>
      </w:r>
    </w:p>
    <w:p w14:paraId="5F931637">
      <w:pPr>
        <w:rPr>
          <w:rFonts w:hint="default"/>
          <w:b/>
          <w:bCs/>
        </w:rPr>
      </w:pPr>
    </w:p>
    <w:p w14:paraId="4A5F1431">
      <w:pPr>
        <w:rPr>
          <w:rFonts w:hint="default"/>
        </w:rPr>
      </w:pPr>
      <w:r>
        <w:rPr>
          <w:rFonts w:hint="default"/>
        </w:rPr>
        <w:t>Biz Polikarp, Ignatiy va Irineyda 2-Butrusdan iqtiboslarni uchratmaymiz. Biroq, ilk cherkov o‘rgatganidek, agar Yahudo maktubi 2-Butrusdan keyin yozilgan bo‘lsa, biz birinchi asrga tegishli Yahudo maktubida 2-Butrusning tasdig‘ini topamiz (Yahudo maktubiga kirish qismiga qarang). Nemis olimi Zaanning fikricha, bizga boshqa isbotning keragi ham yo‘q. Yahudo bilan bir qatorda, Origen birinchi bo‘lib 2-Butrusga ishora qiladi, undan keyin Olimplik Mefodiy (imperator Diokletian davrida shahid qilingan) va Kesariyalik Fumilian keladi. Yevseviy, aksariyat masihiylar 2-Butrusni qabul qilganini tan olsa-da, o‘zi bunga shubha bildiradi.</w:t>
      </w:r>
    </w:p>
    <w:p w14:paraId="6C148CF7">
      <w:pPr>
        <w:rPr>
          <w:rFonts w:hint="default"/>
        </w:rPr>
      </w:pPr>
    </w:p>
    <w:p w14:paraId="0F239597">
      <w:pPr>
        <w:rPr>
          <w:rFonts w:hint="default"/>
        </w:rPr>
      </w:pPr>
      <w:r>
        <w:rPr>
          <w:rFonts w:hint="default"/>
        </w:rPr>
        <w:t>Muratoriy kanonida 2-Butrus yo‘q, lekin unda 1-Butrus ham yo‘q; bundan tashqari, bu to‘liq saqlanmagan hujjat. Garchi Iyeronim 2-Butrusning haqiqiyligi haqidagi shubhalar bilan tanish bo‘lsa-da, u cherkovning boshqa asosiy otalari - Afanasiy va Avgustin bilan birga uni haqiqiy deb hisoblagan. Reformatsiya davrigacha butun cherkov ularga ergashgan.</w:t>
      </w:r>
    </w:p>
    <w:p w14:paraId="0BEF3B38">
      <w:pPr>
        <w:rPr>
          <w:rFonts w:hint="default"/>
        </w:rPr>
      </w:pPr>
    </w:p>
    <w:p w14:paraId="1B67324D">
      <w:pPr>
        <w:rPr>
          <w:rFonts w:hint="default"/>
        </w:rPr>
      </w:pPr>
      <w:r>
        <w:rPr>
          <w:rFonts w:hint="default"/>
        </w:rPr>
        <w:t>Nega Butrusning ikkinchi maktubi boshqa kitoblarga qaraganda ancha zaifroq tashqi dalillarga ega? Avvalo shuning uchunki, u qisqaligi bilan ajralib turadi, demak, keng tarqalmagan. Unda o‘ziga xos, noyob materiallar ham juda kam. Bu so‘nggi fikr maktub foydasiga dalil: bid’at kitoblari doimo bir-biriga zid ta’limotlar yoki hech bo‘lmaganda havoriylar ta’limotiga g‘ayrioddiy qo‘shimchalar bilan to‘lib-toshgan.</w:t>
      </w:r>
    </w:p>
    <w:p w14:paraId="73F867F6">
      <w:pPr>
        <w:rPr>
          <w:rFonts w:hint="default"/>
        </w:rPr>
      </w:pPr>
    </w:p>
    <w:p w14:paraId="74F9CA12">
      <w:pPr>
        <w:rPr>
          <w:rFonts w:hint="default"/>
        </w:rPr>
      </w:pPr>
      <w:r>
        <w:rPr>
          <w:rFonts w:hint="default"/>
        </w:rPr>
        <w:t>Ehtimol, dastlabki asrlarda bu 2-Butrusga nisbatan ehtiyotkorlikning asosiy sababi bo‘lgan: bir nechta "soxta qo‘lyozmalar" mavjud bo‘lib, ularda Butrus nomi ostida "Butrus vahiysi" kabi gnostik bid’atlar targ‘ib qilingan.</w:t>
      </w:r>
    </w:p>
    <w:p w14:paraId="6CF0E35E">
      <w:pPr>
        <w:rPr>
          <w:rFonts w:hint="default"/>
        </w:rPr>
      </w:pPr>
    </w:p>
    <w:p w14:paraId="75D13964">
      <w:pPr>
        <w:rPr>
          <w:rFonts w:hint="default"/>
        </w:rPr>
      </w:pPr>
      <w:r>
        <w:rPr>
          <w:rFonts w:hint="default"/>
        </w:rPr>
        <w:t>Nihoyat, shuni bilish muhimki, Butrusning ikkinchi maktubi shubha tug‘dirgan bir nechta kitoblardan biri bo‘lsa-da, hech qachon birorta cherkov uni soxta deb rad etmagan.</w:t>
      </w:r>
    </w:p>
    <w:p w14:paraId="3F1075EE">
      <w:pPr>
        <w:rPr>
          <w:rFonts w:hint="default"/>
        </w:rPr>
      </w:pPr>
    </w:p>
    <w:p w14:paraId="544C763F">
      <w:pPr>
        <w:rPr>
          <w:rFonts w:hint="default"/>
          <w:b/>
          <w:bCs/>
        </w:rPr>
      </w:pPr>
      <w:r>
        <w:rPr>
          <w:rFonts w:hint="default"/>
          <w:b/>
          <w:bCs/>
        </w:rPr>
        <w:t>Ichki dalillar</w:t>
      </w:r>
    </w:p>
    <w:p w14:paraId="11D1D687">
      <w:pPr>
        <w:rPr>
          <w:rFonts w:hint="default"/>
        </w:rPr>
      </w:pPr>
    </w:p>
    <w:p w14:paraId="07DAC4DF">
      <w:pPr>
        <w:rPr>
          <w:rFonts w:hint="default"/>
        </w:rPr>
      </w:pPr>
      <w:r>
        <w:rPr>
          <w:rFonts w:hint="default"/>
        </w:rPr>
        <w:t>Butrusning muallifligini tan olmaydiganlar 1-Butrus va 2-Butrusning uslubi turlicha ekanligini ta’kidlaydilar. Iyeronim buni Butrus turli kotiblardan foydalanganligi bilan izohladi. Biroq, Butrusning birinchi va ikkinchi maktublari orasidagi farq unchalik katta emas. Agar ikkala xatni ham Yangi Ahdning boshqa kitoblari bilan taqqoslasak, ular o‘rtasidagi o‘xshashlik ancha ko‘proq. Ikkala maktubda ham Butrusning Havoriylar kitobidagi va’zlariga va uning hayotidagi voqealarga ko‘p jihatdan mos keladigan keng qamrovli obrazli til ishlatilgan.</w:t>
      </w:r>
    </w:p>
    <w:p w14:paraId="680B27EF">
      <w:pPr>
        <w:rPr>
          <w:rFonts w:hint="default"/>
        </w:rPr>
      </w:pPr>
    </w:p>
    <w:p w14:paraId="1E5A6335">
      <w:pPr>
        <w:rPr>
          <w:rFonts w:hint="default"/>
        </w:rPr>
      </w:pPr>
      <w:r>
        <w:rPr>
          <w:rFonts w:hint="default"/>
        </w:rPr>
        <w:t>Kitobda uchraydigan Butrusning o‘tmishidagi voqealarga havolalar an’anaviy mualliflikni himoya qilish uchun ham, unga qarshi ham ishlatiladi. Butrusning muallifligini inkor etuvchilar ko‘proq eslatmalar yoki havolalar bo‘lishi kerakligini aytishadi; boshqalar esa hujjatni soxtalashtirgan odam ularni juda ko‘p kiritishni rejalashtirmagan deb hisoblashadi! Ammo qanday sabab bunday kitobni qalbakilashtirishga undagan bo‘lishi mumkin? Haqiqiyligiga shubha qiluvchilar ko‘plab turli xil nazariyalarni o‘ylab topgan bo‘lsalar-da, biz ular orasida birorta ham ishonchli nazariyani topa olmaymiz.</w:t>
      </w:r>
    </w:p>
    <w:p w14:paraId="7C0D7A96">
      <w:pPr>
        <w:rPr>
          <w:rFonts w:hint="default"/>
        </w:rPr>
      </w:pPr>
    </w:p>
    <w:p w14:paraId="55240697">
      <w:pPr>
        <w:rPr>
          <w:rFonts w:hint="default"/>
        </w:rPr>
      </w:pPr>
      <w:r>
        <w:rPr>
          <w:rFonts w:hint="default"/>
        </w:rPr>
        <w:t>Bundan tashqari, maktubni o‘rganayotib, Butrusning muallifligini tasdiqlovchi bir nechta ichki dalillarni topamiz.</w:t>
      </w:r>
    </w:p>
    <w:p w14:paraId="5E3629D6">
      <w:pPr>
        <w:rPr>
          <w:rFonts w:hint="default"/>
        </w:rPr>
      </w:pPr>
    </w:p>
    <w:p w14:paraId="2E96DE6D">
      <w:pPr>
        <w:rPr>
          <w:rFonts w:hint="default"/>
        </w:rPr>
      </w:pPr>
      <w:r>
        <w:rPr>
          <w:rFonts w:hint="default"/>
        </w:rPr>
        <w:t>1:3-oyatda muallif imonlilarni Rabbimizning ulug‘vorligi va inoyati bilan chaqirilganlar sifatida tasvirlaydi. Bu bizni Luqo 5:8 ga qaytaradi, u yerda Xudoning ulug‘vorligi Butrusni shunchalik lol qoldirganki, u: "Ey Rabbim, mendan uzoqlash, chunki men gunohkor odamman!" deb xitob qilgan.</w:t>
      </w:r>
    </w:p>
    <w:p w14:paraId="476FEB60">
      <w:pPr>
        <w:rPr>
          <w:rFonts w:hint="default"/>
        </w:rPr>
      </w:pPr>
    </w:p>
    <w:p w14:paraId="378FE75D">
      <w:pPr>
        <w:rPr>
          <w:rFonts w:hint="default"/>
        </w:rPr>
      </w:pPr>
      <w:r>
        <w:rPr>
          <w:rFonts w:hint="default"/>
        </w:rPr>
        <w:t>Muallif o‘quvchilariga hech qachon qoqilmaslik yo‘l-yo‘riqlarini berganida (1:5-10), biz darhol Butrusning yiqilishi va undan keyin kelgan umidsizlikni eslaymiz.</w:t>
      </w:r>
    </w:p>
    <w:p w14:paraId="42CF6552">
      <w:pPr>
        <w:rPr>
          <w:rFonts w:hint="default"/>
        </w:rPr>
      </w:pPr>
    </w:p>
    <w:p w14:paraId="28085AC5">
      <w:pPr>
        <w:rPr>
          <w:rFonts w:hint="default"/>
        </w:rPr>
      </w:pPr>
      <w:r>
        <w:rPr>
          <w:rFonts w:hint="default"/>
        </w:rPr>
        <w:t>1-bobning 14-oyati alohida ahamiyatga ega. Rabbimiz Iso muallifga uning o‘limi haqida xabar bergan. Bu Yuhannoning Xushxabaridagi (21:18-19) voqea bilan to‘la mos keladi, u yerda Iso Butrusga keksayganda hayotdan mahrum bo‘lishini ayon qilgan.</w:t>
      </w:r>
    </w:p>
    <w:p w14:paraId="46CEB4D3">
      <w:pPr>
        <w:rPr>
          <w:rFonts w:hint="default"/>
        </w:rPr>
      </w:pPr>
    </w:p>
    <w:p w14:paraId="71D44149">
      <w:pPr>
        <w:rPr>
          <w:rFonts w:hint="default"/>
        </w:rPr>
      </w:pPr>
      <w:r>
        <w:rPr>
          <w:rFonts w:hint="default"/>
        </w:rPr>
        <w:t>1-bobning 13-15-oyatlaridagi ikkita so‘z - "makon" (chodir) va "ketish" (chiqish) - Luqoning Xushxabarida o‘zgarish voqeasida ishlatilgan (9:31-33).</w:t>
      </w:r>
    </w:p>
    <w:p w14:paraId="5BDCAA94">
      <w:pPr>
        <w:rPr>
          <w:rFonts w:hint="default"/>
        </w:rPr>
      </w:pPr>
    </w:p>
    <w:p w14:paraId="7D1A6AC1">
      <w:pPr>
        <w:rPr>
          <w:rFonts w:hint="default"/>
        </w:rPr>
      </w:pPr>
      <w:r>
        <w:rPr>
          <w:rFonts w:hint="default"/>
        </w:rPr>
        <w:t>Butrus muallifligining eng ishonchli dalillaridan biri 1:16-18 da o‘zgarish haqida eslatib o‘tilishidir. Muallif muqaddas tog‘da bo‘lgan. U yerda Butrus, Yoqub va Yuhanno bor edi (Matto 17:1). Ammo Ikkinchi maktub Yoqub yoki Yuhanno tomonidan emas, balki Butrus (1:1) tomonidan yozilgan bo‘lsa kerak.</w:t>
      </w:r>
    </w:p>
    <w:p w14:paraId="01AB40C5">
      <w:pPr>
        <w:rPr>
          <w:rFonts w:hint="default"/>
        </w:rPr>
      </w:pPr>
    </w:p>
    <w:p w14:paraId="6DDD163D">
      <w:pPr>
        <w:rPr>
          <w:rFonts w:hint="default"/>
        </w:rPr>
      </w:pPr>
      <w:r>
        <w:rPr>
          <w:rFonts w:hint="default"/>
        </w:rPr>
        <w:t>2:14 va 18-oyatlarda "aldamoq" va "tuzoqqa ilintirmoq" degan so‘zlarni uchratamiz. Ular "deleago" - xo‘rakka tutmoq so‘zidan kelib chiqqan. Bu so‘zlar baliqchi lug‘atiga tegishli bo‘lib, ayniqsa Butrusga xosdir.</w:t>
      </w:r>
    </w:p>
    <w:p w14:paraId="60B3C8C2">
      <w:pPr>
        <w:rPr>
          <w:rFonts w:hint="default"/>
        </w:rPr>
      </w:pPr>
    </w:p>
    <w:p w14:paraId="2BA3E76C">
      <w:pPr>
        <w:rPr>
          <w:rFonts w:hint="default"/>
        </w:rPr>
      </w:pPr>
      <w:r>
        <w:rPr>
          <w:rFonts w:hint="default"/>
        </w:rPr>
        <w:t>3:1-oyatda muallif avvalgi maktubga, ehtimol Butrusning Birinchi maktubiga ishora qiladi. Shuningdek, 3:15-oyatda Pavlus haqida gapirayotib, u shaxsiy munosabatni ifodalovchi iboralarni qo‘llaydi, bu esa havoriyga xos xususiyatdir.</w:t>
      </w:r>
    </w:p>
    <w:p w14:paraId="592971D3">
      <w:pPr>
        <w:rPr>
          <w:rFonts w:hint="default"/>
        </w:rPr>
      </w:pPr>
    </w:p>
    <w:p w14:paraId="25494A63">
      <w:pPr>
        <w:rPr>
          <w:rFonts w:hint="default"/>
        </w:rPr>
      </w:pPr>
      <w:r>
        <w:rPr>
          <w:rFonts w:hint="default"/>
        </w:rPr>
        <w:t>Butrusning shaxsiy tajribasiga qaytadigan yana bir so‘zni 3:17-oyatda topamiz. "Mustahkamlanmoq" so‘zi "mustahkamlamoq" fe’li bilan bir ildizga ega bo‘lib, Iso uni Luqoda (22:32) qo‘llagan: "...sen ham qachonlardir qaytib, birodarlaringni mustahkamla". Xuddi shu so‘zni 1 Butrus 5:10 va 2 Butrus 1:12 da ham uchratamiz.</w:t>
      </w:r>
    </w:p>
    <w:p w14:paraId="1FB24BCC">
      <w:pPr>
        <w:rPr>
          <w:rFonts w:hint="default"/>
        </w:rPr>
      </w:pPr>
    </w:p>
    <w:p w14:paraId="314EC9B6">
      <w:pPr>
        <w:rPr>
          <w:rFonts w:hint="default"/>
        </w:rPr>
      </w:pPr>
      <w:r>
        <w:rPr>
          <w:rFonts w:hint="default"/>
        </w:rPr>
        <w:t>Nihoyat, havoriylarning maktublaridagi kabi, Butrusning murtadlarni keskin qoralashi, havoriyning hayoti va yozish uslubini aks ettiruvchi haqiqiy asar sifatida Butrusning Ikkinchi maktubiga nisbatan hozirgi zamondagi dushmanlikka ko‘p jihatdan ta’sir qilgan, deb o‘ylaymiz.</w:t>
      </w:r>
    </w:p>
    <w:p w14:paraId="0766B8FC">
      <w:pPr>
        <w:rPr>
          <w:rFonts w:hint="default"/>
        </w:rPr>
      </w:pPr>
    </w:p>
    <w:p w14:paraId="4B4C1DE4">
      <w:pPr>
        <w:rPr>
          <w:rFonts w:hint="default"/>
        </w:rPr>
      </w:pPr>
      <w:r>
        <w:rPr>
          <w:rFonts w:hint="default"/>
        </w:rPr>
        <w:t>Ushbu maktubni o‘rganar ekanmiz, uni havoriy Butrus bilan bog‘laydigan boshqa ichki dalillarni ham topamiz. Biroq maktubning o‘ziga qaytish va Rabbimiz u orqali bizga nima demoqchi ekanini ko‘rish muhimdir.</w:t>
      </w:r>
    </w:p>
    <w:p w14:paraId="6EBA6ECB">
      <w:pPr>
        <w:rPr>
          <w:rFonts w:hint="default"/>
        </w:rPr>
      </w:pPr>
    </w:p>
    <w:p w14:paraId="012B4DFC">
      <w:pPr>
        <w:rPr>
          <w:rFonts w:hint="default"/>
          <w:b/>
          <w:bCs/>
        </w:rPr>
      </w:pPr>
      <w:r>
        <w:rPr>
          <w:rFonts w:hint="default"/>
          <w:b/>
          <w:bCs/>
        </w:rPr>
        <w:t>III. YOZILISH VAQTI</w:t>
      </w:r>
    </w:p>
    <w:p w14:paraId="55D68FE1">
      <w:pPr>
        <w:rPr>
          <w:rFonts w:hint="default"/>
          <w:b/>
          <w:bCs/>
        </w:rPr>
      </w:pPr>
    </w:p>
    <w:p w14:paraId="6EDE8E32">
      <w:pPr>
        <w:rPr>
          <w:rFonts w:hint="default"/>
        </w:rPr>
      </w:pPr>
      <w:r>
        <w:rPr>
          <w:rFonts w:hint="default"/>
        </w:rPr>
        <w:t>Butrusning Ikkinchi maktubi sanasi uning haqiqiyligiga bog‘liq. Uni soxta deb hisoblovchilar ikkinchi asrga tegishli deyishadi. Biz esa Butrusning Ikkinchi maktubini kanonik deb tan olgan Cherkov haq edi, deb hisoblaymiz va tarixiy hamda ruhiy nuqtai nazardan kelib chiqib, uni milodiy 66 yoki 67-yil bilan belgilaymiz, ya’ni u Butrus vafotidan biroz oldin, 67 yoki 68-yilda yozilgan deb hisoblaymiz.</w:t>
      </w:r>
    </w:p>
    <w:p w14:paraId="36ED3807">
      <w:pPr>
        <w:rPr>
          <w:rFonts w:hint="default"/>
        </w:rPr>
      </w:pPr>
    </w:p>
    <w:p w14:paraId="2736915C">
      <w:pPr>
        <w:rPr>
          <w:rFonts w:hint="default"/>
          <w:b/>
          <w:bCs/>
        </w:rPr>
      </w:pPr>
      <w:r>
        <w:rPr>
          <w:rFonts w:hint="default"/>
          <w:b/>
          <w:bCs/>
        </w:rPr>
        <w:t>IV. YOZILISH MAQSADI VA MAVZU</w:t>
      </w:r>
    </w:p>
    <w:p w14:paraId="62EF0B58">
      <w:pPr>
        <w:rPr>
          <w:rFonts w:hint="default"/>
          <w:b/>
          <w:bCs/>
        </w:rPr>
      </w:pPr>
    </w:p>
    <w:p w14:paraId="77698BE9">
      <w:pPr>
        <w:rPr>
          <w:rFonts w:hint="default"/>
        </w:rPr>
      </w:pPr>
      <w:r>
        <w:rPr>
          <w:rFonts w:hint="default"/>
        </w:rPr>
        <w:t>Havoriy maktubi matnida bir-biri bilan bog‘liq ikkita asosiy mavzu yaqqol ko‘zga tashlanadi: payg‘ambarlik so‘zi (1:19-21) va qonunsizlik (2-bob). Butrus kelajakda "halokatli bid’atlar"ni tarqatadigan, erkin va axloqsiz hayot tarziga yo‘l qo‘yadigan soxta ustozlarni ko‘radi. Bu odamlar kelgusi hukm haqidagi ta’limotni masxara qilishadi (3:1-7). Butrus kelajak haqida gapirganlari Yahudo maktubida allaqachon yuz berayotgani tasvirlangan (4-oyat). Masihiylar Masihning kelishiga qiziqishni yo‘qotib, dunyoda mustahkam o‘rnashib olgach (Konstantin davrida va undan keyin), Cherkovning axloqi keskin pasaya boshladi. Bugun ham xuddi shunday. O‘n to‘qqizinchi asrda uyg‘ongan payg‘ambarlik haqiqatiga bo‘lgan qiziqish bugungi kunda ko‘plab sohalarda so‘nib bormoqda va ba’zi cherkovlardagi axloqsiz hayot Butrusning barcha davrlardagi masihiylar uchun zarur bo‘lgan haqiqatlarni yozishga ilhomlangani to‘g‘ri ekanligini tasdiqlaydi.</w:t>
      </w:r>
    </w:p>
    <w:p w14:paraId="7B1CAF60">
      <w:pPr>
        <w:rPr>
          <w:rFonts w:hint="default"/>
        </w:rPr>
      </w:pPr>
    </w:p>
    <w:p w14:paraId="744971F3">
      <w:pPr>
        <w:rPr>
          <w:rFonts w:hint="default"/>
          <w:b/>
          <w:bCs/>
        </w:rPr>
      </w:pPr>
      <w:bookmarkStart w:id="0" w:name="_GoBack"/>
      <w:r>
        <w:rPr>
          <w:rFonts w:hint="default"/>
          <w:b/>
          <w:bCs/>
        </w:rPr>
        <w:t>Reja</w:t>
      </w:r>
    </w:p>
    <w:p w14:paraId="5449A00D">
      <w:pPr>
        <w:rPr>
          <w:rFonts w:hint="default"/>
          <w:b/>
          <w:bCs/>
        </w:rPr>
      </w:pPr>
    </w:p>
    <w:bookmarkEnd w:id="0"/>
    <w:p w14:paraId="7A94ED5F">
      <w:pPr>
        <w:rPr>
          <w:rFonts w:hint="default"/>
        </w:rPr>
      </w:pPr>
      <w:r>
        <w:rPr>
          <w:rFonts w:hint="default"/>
        </w:rPr>
        <w:t>I. Salomlashish (1:1-2)</w:t>
      </w:r>
    </w:p>
    <w:p w14:paraId="2273F336">
      <w:pPr>
        <w:rPr>
          <w:rFonts w:hint="default"/>
        </w:rPr>
      </w:pPr>
    </w:p>
    <w:p w14:paraId="1C811632">
      <w:pPr>
        <w:rPr>
          <w:rFonts w:hint="default"/>
        </w:rPr>
      </w:pPr>
      <w:r>
        <w:rPr>
          <w:rFonts w:hint="default"/>
        </w:rPr>
        <w:t>II. Kuchli masihiy xarakterni rivojlantirishga da’vat (1:3-21)</w:t>
      </w:r>
    </w:p>
    <w:p w14:paraId="7523587D">
      <w:pPr>
        <w:rPr>
          <w:rFonts w:hint="default"/>
        </w:rPr>
      </w:pPr>
    </w:p>
    <w:p w14:paraId="46A3FEE5">
      <w:pPr>
        <w:rPr>
          <w:rFonts w:hint="default"/>
        </w:rPr>
      </w:pPr>
      <w:r>
        <w:rPr>
          <w:rFonts w:hint="default"/>
        </w:rPr>
        <w:t>III. Soxta ustozlarning paydo bo‘lishini bashorat qilish (2-bob)</w:t>
      </w:r>
    </w:p>
    <w:p w14:paraId="40B9AF38">
      <w:pPr>
        <w:rPr>
          <w:rFonts w:hint="default"/>
        </w:rPr>
      </w:pPr>
    </w:p>
    <w:p w14:paraId="467A8DE8">
      <w:pPr>
        <w:rPr>
          <w:rFonts w:hint="default"/>
        </w:rPr>
      </w:pPr>
      <w:r>
        <w:rPr>
          <w:rFonts w:hint="default"/>
        </w:rPr>
        <w:t>IV. Surbet masxarabozlarning paydo bo‘lishini bashorat qilish (3-bob)</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7F573F1"/>
    <w:rsid w:val="BF3F6904"/>
    <w:rsid w:val="D7F57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2026-02-13T23:33:00Z</dcterms:created>
  <dc:creator>SergZaxar</dc:creator>
  <cp:lastModifiedBy>SergZaxar</cp:lastModifiedBy>
  <dcterms:modified xsi:type="dcterms:W3CDTF">2026-02-24T17:38:53Z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080244A7F1B07147091A8F69D43421B6_41</vt:lpwstr>
  </property>
</Properties>
</file>