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FDE ACADEMY  ·  REFERENCE NOTE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020"/>
          <w:sz w:val="42"/>
          <w:szCs w:val="42"/>
        </w:rPr>
        <w:t xml:space="preserve">Components of an AI system and their cloud services</w:t>
      </w:r>
    </w:p>
    <w:p>
      <w:pPr>
        <w:spacing w:after="160"/>
      </w:pPr>
      <w:r>
        <w:rPr>
          <w:rFonts w:ascii="Arial" w:cs="Arial" w:eastAsia="Arial" w:hAnsi="Arial"/>
          <w:color w:val="C2185B"/>
          <w:sz w:val="24"/>
          <w:szCs w:val="24"/>
        </w:rPr>
        <w:t xml:space="preserve">Open source, Azure and AWS, mapped to the Enterprise Support Desk build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Trainer: Umashankar K H   |   Client: FDE Academy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1020"/>
          <w:sz w:val="30"/>
          <w:szCs w:val="30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530"/>
        <w:gridCol w:w="2530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AWS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React/Vite, Next.js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Static Web Apps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Amplify, S3 + CloudFront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Chroma, Qdrant, FAISS, pgvector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AI Search + embeddings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Bedrock Knowledge Bases, OpenSearch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Relational DB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MySQL, PostgreSQL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SQL, Database for PostgreSQL/MySQL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RDS, Aurora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Non-relational DB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MongoDB, Redis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Cosmos DB, Cache for Redis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DynamoDB, DocumentDB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Vector DB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+ pgvector, Qdrant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Search, PostgreSQL + pgvector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Aurora pgvector, OpenSearch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Llama, Mistral, Qwen via Ollama/vLLM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Microsoft Foundry (Azure OpenAI)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Bedrock, SageMaker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OpenTelemetry, Langfuse, Grafana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Monitor, App Insights, Log Analytics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CloudWatch, X-Ray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FastAPI, Express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Container Apps, App Service, Functions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 Runner, ECS Fargate, Lambda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OIDC/JWT, Keycloak, Vault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Entra ID, RBAC, Key Vault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IAM, Cognito, Secrets Manager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Actions, Jenkins, Terraform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DevOps, ACR, Bicep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CodePipeline, ECR, CDK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Workflow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n8n, Airflow, Temporal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Logic Apps, Event Grid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Step Functions, EventBridge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Compute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Servers, Docker, Kubernetes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VMs, Container Apps, AKS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EC2, ECS, EKS, Lambda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C2185B"/>
          <w:sz w:val="25"/>
          <w:szCs w:val="25"/>
        </w:rPr>
        <w:t xml:space="preserve">Corrections to the whiteboard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Non-relational database: PostgreSQL is relational. Non-relational means document or key-value stores such as MongoDB or Cosmos DB, which is what this project uses.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Monitoring on Azure: OpenTelemetry is an open standard, not an Azure service. The Azure services are Azure Monitor and Application Insights, and they accept OpenTelemetry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Open-source column: Claude, OpenAI models, Grok, Pinecone, LangSmith and Google AI Studio are proprietary. Open-weight alternatives are Llama, Mistral and Qwen, and for tracing, Langfuse.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Azure AI Foundry has been renamed Microsoft Foundry. Either name may appear in documentation and the portal.</w:t>
      </w:r>
    </w:p>
    <w:p>
      <w:pPr>
        <w:spacing w:after="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1020"/>
          <w:sz w:val="30"/>
          <w:szCs w:val="30"/>
        </w:rPr>
        <w:t xml:space="preserve">Component by component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C2185B"/>
          <w:sz w:val="25"/>
          <w:szCs w:val="25"/>
        </w:rPr>
        <w:t xml:space="preserve">1.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screen users touch: the chat portal and admin dashboard. It is static files (HTML, JS, CSS) served from a CDN. It calls the backend API and never holds secrets.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with Vite, Next.js, Streamlit or Gradio for quick demos. Google AI Studio is a prototyping tool that generates UI code. It is not open source, but the code it produces is yours.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Azure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Static Web Apps (free tier, built-in CDN, GitHub or CLI deploy). Also App Service, or Front Door for global routing.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AWS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Amplify Hosting, or S3 plus CloudFront.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 our project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and Vite on Static Web Apps, signing in with MSAL against Entra ID.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Trade-off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Static hosting is nearly free. If you need server-side rendering, move to Container Apps, App Service or Amplify SSR.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C2185B"/>
          <w:sz w:val="25"/>
          <w:szCs w:val="25"/>
        </w:rPr>
        <w:t xml:space="preserve">2. RAG (retrieval)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Grounds the model in your documents. Steps: split documents into chunks, turn each chunk into an embedding, store them in a vector index, and at question time fetch the nearest chunks and pass them to the LLM.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Chroma, Qdrant, Weaviate, Milvus, pgvector. FAISS is a library, not a server. Pinecone is a managed proprietary service, so it is not open source.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Azure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AI Search (vector, keyword and hybrid search, filters, semantic ranker) plus Azure OpenAI embedding models.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AWS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Amazon Bedrock Knowledge Bases (managed RAG), OpenSearch Serverless as the vector store, Kendra for enterprise search, Titan or Cohere embeddings on Bedrock.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 our project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AI Search with an HNSW index, text-embedding-3-small (1536 dimensions), pure vector search, and a confidence threshold of 0.45 that routes weak matches to a human.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Trade-off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FAISS has no filtering or persistence by itself. Managed services add filters, scaling and uptime, and charge by search units.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C2185B"/>
          <w:sz w:val="25"/>
          <w:szCs w:val="25"/>
        </w:rPr>
        <w:t xml:space="preserve">3.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Holds state: tickets, audit trail, users. Three families: relational (tables and joins), non-relational (documents or key-value, flexible shape), and vector (similarity search).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Relational: MySQL, PostgreSQL. Non-relational: MongoDB, Redis, Cassandra. Vector: PostgreSQL with pgvector, Qdrant.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Azure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Relational: Azure SQL Database, Azure Database for MySQL or PostgreSQL Flexible Server. Non-relational: Cosmos DB, Azure Cache for Redis. Vector: PostgreSQL with pgvector, Azure AI Search, Cosmos DB vector search.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AWS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Relational: RDS, Aurora. Non-relational: DynamoDB, DocumentDB, ElastiCache. Vector: Aurora PostgreSQL with pgvector, OpenSearch, MemoryDB.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 our project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Cosmos DB in serverless mode: a tickets container and an audit container. Serverless was chosen because provisioned throughput billed about $24 a month while idle.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Trade-off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Pick relational when you need joins and strict schemas. Pick a document store when the record shape changes, as TicketState does.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C2185B"/>
          <w:sz w:val="25"/>
          <w:szCs w:val="25"/>
        </w:rPr>
        <w:t xml:space="preserve">4.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reasoning engine behind each agent. You choose by quality, price per token, speed, quota and where data may go.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Open-weight models you can host: Llama, Mistral, Qwen, Gemma, run with Ollama or vLLM. Claude, OpenAI models and Grok are proprietary APIs, not open source.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Azure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Microsoft Foundry (formerly Azure AI Foundry) with Azure OpenAI models and a wider model catalog, deployed per region with a tokens-per-minute quota.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AWS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Amazon Bedrock (Claude, Llama, Nova, Mistral and others behind one API). SageMaker if you host a model yourself.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 our project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OpenAI: a mini deployment for intake and triage, a flagship deployment for the resolver and critic, and an embedding deployment.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Trade-off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Hosted APIs cost per token and cap you by quota. Self-hosting trades that for GPU cost and operations work.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C2185B"/>
          <w:sz w:val="25"/>
          <w:szCs w:val="25"/>
        </w:rPr>
        <w:t xml:space="preserve">5.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Lets you see latency, tokens, errors, cost and requests, and trace one run end to end. The study note calls these the seven signals.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OpenTelemetry is the open standard for traces and logs. Langfuse is an open-source LLM tracing tool. Prometheus with Grafana covers metrics. LangSmith is a proprietary SaaS with a free tier.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Azure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Monitor, Application Insights, Log Analytics (queried with KQL), and diagnostic logs from the Azure OpenAI resource.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AWS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CloudWatch (logs, metrics, alarms), X-Ray for traces, Bedrock model invocation logging, CloudTrail for audit.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 our project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Application Insights through azure-monitor-opentelemetry, a Log Analytics workspace, and per-agent token and cost fields in agent_trace.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Trade-off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Choose a tool that can attribute cost to an agent. A platform that only shows start and stop times cannot.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C2185B"/>
          <w:sz w:val="25"/>
          <w:szCs w:val="25"/>
        </w:rPr>
        <w:t xml:space="preserve">6. Backend /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code that runs the pipeline: receives a request, runs the agents, calls the model and database, and returns the result.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FastAPI, Flask, Express, Django.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Azure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Container Apps (our choice), App Service (web app), Functions, AKS, with API Management in front for keys, quotas and versioning.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AWS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 Runner, ECS on Fargate, Lambda with API Gateway, EKS.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 our project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FastAPI container on Container Apps that scales to zero. Lesson learned: the ingress target port must match the port the app listens on (8000).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Trade-off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Scale to zero costs nothing idle but the first request is slow. Set a minimum of one replica for demos.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C2185B"/>
          <w:sz w:val="25"/>
          <w:szCs w:val="25"/>
        </w:rPr>
        <w:t xml:space="preserve">7.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Who may call the system and what each part may touch. Covers sign-in, authorisation, secrets and content safety.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OpenID Connect, OAuth 2.0 and JWT are open standards. Keycloak for identity, HashiCorp Vault for secrets.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Azure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Microsoft Entra ID (app registrations, scopes, MSAL), RBAC through IAM, Key Vault, managed identity, AI Content Safety.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AWS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IAM, Cognito for user sign-in, Secrets Manager and KMS, Bedrock Guardrails.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 our project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Entra ID with a frontend and a backend app registration, JWT validation in auth.py, and a shared secret for the email webhook.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Trade-off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Next step for production: keep keys in Key Vault and use managed identity instead of plain environment variables.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C2185B"/>
          <w:sz w:val="25"/>
          <w:szCs w:val="25"/>
        </w:rPr>
        <w:t xml:space="preserve">8.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How code gets from your laptop to running software: build, package into a container, push to a registry, release.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Jenkins, GitHub Actions, GitLab CI, Docker, Terraform.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Azure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Azure DevOps Pipelines or GitHub Actions, Container Registry with ACR Tasks, Bicep or ARM templates, az containerapp up, swa deploy.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AWS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CodePipeline, CodeBuild, CodeDeploy, ECR, CloudFormation or CDK.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 our project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 containerapp up --source builds the image remotely through ACR Tasks. swa deploy publishes the frontend.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Trade-off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Manual CLI deploys are fine for a masterclass. A real client wants a pipeline with tests and approvals.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C2185B"/>
          <w:sz w:val="25"/>
          <w:szCs w:val="25"/>
        </w:rPr>
        <w:t xml:space="preserve">9.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Glue that reacts to events and connects systems, such as an email arriving or a ticket being approved. Often no code.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n8n (self-hostable), Apache Airflow, Temporal.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Azure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Logic Apps, Power Automate, Durable Functions, with Event Grid or Service Bus for events and queues.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AWS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Step Functions, EventBridge, SQS and SNS, Lambda.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 our project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Logic App watches the mailbox and posts to /api/email-intake with a secret header, then replies with the result.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Trade-off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 workflow tools for triggers and connectors. Keep the business logic in the backend, not in a diagram.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C2185B"/>
          <w:sz w:val="25"/>
          <w:szCs w:val="25"/>
        </w:rPr>
        <w:t xml:space="preserve">10. 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machines or runtimes that execute everything: virtual machines, containers, serverless functions, GPUs.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Linux servers, Docker, Kubernetes.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Azure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Virtual Machines, Container Apps, AKS, Functions, Container Instances, GPU VM series for hosting models.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AWS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EC2, ECS and Fargate, EKS, Lambda, GPU instance families.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 our project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Container Apps on the Consumption plan with 0.5 CPU and 1 GiB memory per replica.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Trade-off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Serverless suits spiky load. VMs or Kubernetes suit steady load, special hardware or tight control.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B1020"/>
          <w:sz w:val="30"/>
          <w:szCs w:val="30"/>
        </w:rPr>
        <w:t xml:space="preserve">How to choose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Start from the client constraint, not the product: data residency, existing cloud contract, budget per run and team skills usually decide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Buy managed services for undifferentiated parts (vector search, identity, hosting). Build the part that is the product, which is the agent logic and guardrails.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Keep the model behind one function so it can be swapped. That is what makes a move between Azure OpenAI, Bedrock or an open-weight model cheap.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Price each choice per invoice or per ticket before committing, and trace it from the first run.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2026-10-11T09:23:50.011Z</dcterms:created>
  <dcterms:modified xsi:type="dcterms:W3CDTF">2026-10-11T09:23:50.014Z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