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Architectural Decision Rationale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4"/>
          <w:szCs w:val="24"/>
        </w:rPr>
      </w:pPr>
      <w:r>
        <w:rPr>
          <w:rFonts w:eastAsia="Times New Roman"/>
          <w:b/>
          <w:bCs/>
          <w:color w:val="000000"/>
          <w:sz w:val="24"/>
          <w:szCs w:val="24"/>
        </w:rPr>
        <w:t>Model tiering (Haiku router / Sonnet default / Opus escalation)</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three model tiers instead of one model for everything.</w:t>
        <w:br w:type="textWrapping"/>
      </w:r>
      <w:r>
        <w:rPr>
          <w:rFonts w:eastAsia="Times New Roman"/>
          <w:b/>
          <w:bCs/>
          <w:color w:val="000000"/>
          <w:sz w:val="28"/>
          <w:szCs w:val="28"/>
        </w:rPr>
        <w:t>Rationale:</w:t>
      </w:r>
      <w:r>
        <w:rPr>
          <w:rFonts w:eastAsia="Times New Roman"/>
          <w:color w:val="000000"/>
          <w:sz w:val="28"/>
          <w:szCs w:val="28"/>
        </w:rPr>
        <w:t xml:space="preserve"> the large majority of enterprise knowledge-assistant traffic is repetitive FAQ-style queries ("what's our WFH policy", "who's my HR business partner") that a mid-tier model answers correctly once grounded with retrieval. Routing every query through the most capable (and most expensive) model wastes budget on queries that didn't need it; routing every query through the cheapest model risks wrong answers on genuinely hard cases. A cheap classification pass (Haiku) deciding tier, plus a narrow escalation path to Opus, keeps average cost low while preserving a path to strong reasoning when it's actually needed.</w:t>
        <w:br w:type="textWrapping"/>
      </w:r>
      <w:r>
        <w:rPr>
          <w:rFonts w:eastAsia="Times New Roman"/>
          <w:b/>
          <w:bCs/>
          <w:color w:val="000000"/>
          <w:sz w:val="28"/>
          <w:szCs w:val="28"/>
        </w:rPr>
        <w:t>Trade-off accepted:</w:t>
      </w:r>
      <w:r>
        <w:rPr>
          <w:rFonts w:eastAsia="Times New Roman"/>
          <w:color w:val="000000"/>
          <w:sz w:val="28"/>
          <w:szCs w:val="28"/>
        </w:rPr>
        <w:t xml:space="preserve"> the router adds one extra call and a small latency tax to every request, and a misrouted query gets a worse answer than it should. This is mitigated by monitoring escalation rate and periodically auditing a sample of router decisions. </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8"/>
          <w:szCs w:val="28"/>
        </w:rPr>
      </w:pPr>
      <w:r>
        <w:rPr>
          <w:rFonts w:eastAsia="Times New Roman"/>
          <w:b/>
          <w:bCs/>
          <w:color w:val="000000"/>
          <w:sz w:val="28"/>
          <w:szCs w:val="28"/>
        </w:rPr>
        <w:t>Retrieval over fine-tuning for internal knowledge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ground answers via tool-based retrieval (RAG) against a vector index, not by fine-tuning a model on internal documents.</w:t>
        <w:br w:type="textWrapping"/>
      </w:r>
      <w:r>
        <w:rPr>
          <w:rFonts w:eastAsia="Times New Roman"/>
          <w:b/>
          <w:bCs/>
          <w:color w:val="000000"/>
          <w:sz w:val="28"/>
          <w:szCs w:val="28"/>
        </w:rPr>
        <w:t>Rationale:</w:t>
      </w:r>
      <w:r>
        <w:rPr>
          <w:rFonts w:eastAsia="Times New Roman"/>
          <w:color w:val="000000"/>
          <w:sz w:val="28"/>
          <w:szCs w:val="28"/>
        </w:rPr>
        <w:t xml:space="preserve"> internal docs change constantly (policy updates, org changes, new runbooks); retrieval reflects the current index immediately, while a fine-tuned model would need continuous retraining to stay current and can't cite which document an answer came from. Retrieval also keeps sensitive internal content out of model weights entirely, which is generally the safer posture for enterprise data.</w:t>
        <w:br w:type="textWrapping"/>
      </w:r>
      <w:r>
        <w:rPr>
          <w:rFonts w:eastAsia="Times New Roman"/>
          <w:b/>
          <w:bCs/>
          <w:color w:val="000000"/>
          <w:sz w:val="28"/>
          <w:szCs w:val="28"/>
        </w:rPr>
        <w:t>Trade-off accepted:</w:t>
      </w:r>
      <w:r>
        <w:rPr>
          <w:rFonts w:eastAsia="Times New Roman"/>
          <w:color w:val="000000"/>
          <w:sz w:val="28"/>
          <w:szCs w:val="28"/>
        </w:rPr>
        <w:t xml:space="preserve"> retrieval quality is now a dependency — a stale or poorly-chunked index degrades answers regardless of model quality, so index freshness and chunking strategy need their own monitoring.</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8"/>
          <w:szCs w:val="28"/>
        </w:rPr>
      </w:pPr>
      <w:r>
        <w:rPr>
          <w:rFonts w:eastAsia="Times New Roman"/>
          <w:b/>
          <w:bCs/>
          <w:color w:val="000000"/>
          <w:sz w:val="28"/>
          <w:szCs w:val="28"/>
        </w:rPr>
        <w:t>Read-only tools, no write access from the assistant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all four tools (`internal\_knowledge\_search`, `ticketing\_system\_lookup`, `employee\_directory\_lookup`, `web\_search`) are</w:t>
        <w:br w:type="textWrapping"/>
        <w:t>read-only; ticket creation or HR actions go through a human-reviewed workflow, not a tool call the model can trigger directly.</w:t>
        <w:br w:type="textWrapping"/>
      </w:r>
      <w:r>
        <w:rPr>
          <w:rFonts w:eastAsia="Times New Roman"/>
          <w:b/>
          <w:bCs/>
          <w:color w:val="000000"/>
          <w:sz w:val="28"/>
          <w:szCs w:val="28"/>
        </w:rPr>
        <w:t>Rationale:</w:t>
      </w:r>
      <w:r>
        <w:rPr>
          <w:rFonts w:eastAsia="Times New Roman"/>
          <w:color w:val="000000"/>
          <w:sz w:val="28"/>
          <w:szCs w:val="28"/>
        </w:rPr>
        <w:t xml:space="preserve"> a wrong tool call that reads something returns a bad answer; a wrong tool call that writes something (e.g. mistakenly closing a colleague's ticket) causes real damage. Keeping the blast radius of a model mistake bounded to "gave a wrong answer" rather than "took a wrong action" is a deliberately conservative starting posture for a first production rollout.</w:t>
        <w:br w:type="textWrapping"/>
      </w:r>
      <w:r>
        <w:rPr>
          <w:rFonts w:eastAsia="Times New Roman"/>
          <w:b/>
          <w:bCs/>
          <w:color w:val="000000"/>
          <w:sz w:val="28"/>
          <w:szCs w:val="28"/>
        </w:rPr>
        <w:t>Trade-off accepted:</w:t>
      </w:r>
      <w:r>
        <w:rPr>
          <w:rFonts w:eastAsia="Times New Roman"/>
          <w:color w:val="000000"/>
          <w:sz w:val="28"/>
          <w:szCs w:val="28"/>
        </w:rPr>
        <w:t xml:space="preserve"> some genuinely useful actions (e.g. "file an IT ticket for me") require a human-in-the-loop confirmation step instead of being fully automated, which adds friction for that subset of requests.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8"/>
          <w:szCs w:val="28"/>
        </w:rPr>
      </w:pPr>
      <w:r>
        <w:rPr>
          <w:rFonts w:eastAsia="Times New Roman"/>
          <w:b/>
          <w:bCs/>
          <w:color w:val="000000"/>
          <w:sz w:val="28"/>
          <w:szCs w:val="28"/>
        </w:rPr>
        <w:t>Extended thinking gated by router classification, not always-on</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`budget\_tokens` is only set for queries the router flags as multi-hop/complex, not for every request.</w:t>
        <w:br w:type="textWrapping"/>
      </w:r>
      <w:r>
        <w:rPr>
          <w:rFonts w:eastAsia="Times New Roman"/>
          <w:b/>
          <w:bCs/>
          <w:color w:val="000000"/>
          <w:sz w:val="28"/>
          <w:szCs w:val="28"/>
        </w:rPr>
        <w:t>Rationale:</w:t>
      </w:r>
      <w:r>
        <w:rPr>
          <w:rFonts w:eastAsia="Times New Roman"/>
          <w:color w:val="000000"/>
          <w:sz w:val="28"/>
          <w:szCs w:val="28"/>
        </w:rPr>
        <w:t xml:space="preserve"> thinking tokens are billed as output tokens and add latency; applying that cost uniformly to simple FAQ queries (the majority\ of traffic) would materially raise average cost and response time for no quality benefit on queries that didn't need deeper reasoning.</w:t>
        <w:br w:type="textWrapping"/>
      </w:r>
      <w:r>
        <w:rPr>
          <w:rFonts w:eastAsia="Times New Roman"/>
          <w:b/>
          <w:bCs/>
          <w:color w:val="000000"/>
          <w:sz w:val="28"/>
          <w:szCs w:val="28"/>
        </w:rPr>
        <w:t>Trade-off accepted:</w:t>
      </w:r>
      <w:r>
        <w:rPr>
          <w:rFonts w:eastAsia="Times New Roman"/>
          <w:color w:val="000000"/>
          <w:sz w:val="28"/>
          <w:szCs w:val="28"/>
        </w:rPr>
        <w:t xml:space="preserve"> relies on the router correctly identifying "complex" queries — an under-triggered case gets a shallower answer than it should. This is the same class of risk as the model-tiering decision above and is monitored the same way (escalation/complexity-flag rate). Cache breakpoints on system prompt + tool schemas, not on retrieved content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`cache\_control` markers sit on the system prompt and the final tool definition; retrieved document chunks (which differ per query) are not cached.</w:t>
        <w:br w:type="textWrapping"/>
      </w:r>
      <w:r>
        <w:rPr>
          <w:rFonts w:eastAsia="Times New Roman"/>
          <w:b/>
          <w:bCs/>
          <w:color w:val="000000"/>
          <w:sz w:val="28"/>
          <w:szCs w:val="28"/>
        </w:rPr>
        <w:t>Rationale:</w:t>
      </w:r>
      <w:r>
        <w:rPr>
          <w:rFonts w:eastAsia="Times New Roman"/>
          <w:color w:val="000000"/>
          <w:sz w:val="28"/>
          <w:szCs w:val="28"/>
        </w:rPr>
        <w:t xml:space="preserve"> a cache hit requires an exact match of the cached prefix. System prompt and tool schemas are identical on every call regardless of which employee is asking what, so they're the highest-value, lowest-risk thing to cache — hit rate on that prefix approaches 100% of calls after the first in any given cache window. Retrieved content is different per query almost by definition, so marking it cacheable would rarely produce a hit and isn't worth the added complexity.</w:t>
        <w:br w:type="textWrapping"/>
      </w:r>
      <w:r>
        <w:rPr>
          <w:rFonts w:eastAsia="Times New Roman"/>
          <w:b/>
          <w:bCs/>
          <w:color w:val="000000"/>
          <w:sz w:val="28"/>
          <w:szCs w:val="28"/>
        </w:rPr>
        <w:t>Trade-off accepted:</w:t>
      </w:r>
      <w:r>
        <w:rPr>
          <w:rFonts w:eastAsia="Times New Roman"/>
          <w:color w:val="000000"/>
          <w:sz w:val="28"/>
          <w:szCs w:val="28"/>
        </w:rPr>
        <w:t xml:space="preserve"> caching only covers the fixed portion of the request; the variable (retrieval + conversation history) portion is always billed at standard rates. This is expected and still captures the large majority of the available savings, since the fixed portion is usually the largest chunk of a typical request.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28"/>
          <w:szCs w:val="28"/>
        </w:rPr>
      </w:pPr>
      <w:r>
        <w:rPr>
          <w:rFonts w:eastAsia="Times New Roman"/>
          <w:b/>
          <w:bCs/>
          <w:color w:val="000000"/>
          <w:sz w:val="28"/>
          <w:szCs w:val="28"/>
        </w:rPr>
        <w:t>Structured JSON output contract</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b/>
          <w:bCs/>
          <w:color w:val="000000"/>
          <w:sz w:val="28"/>
          <w:szCs w:val="28"/>
        </w:rPr>
        <w:t>Decision:</w:t>
      </w:r>
      <w:r>
        <w:rPr>
          <w:rFonts w:eastAsia="Times New Roman"/>
          <w:color w:val="000000"/>
          <w:sz w:val="28"/>
          <w:szCs w:val="28"/>
        </w:rPr>
        <w:t xml:space="preserve"> every final answer is constrained to a documented JSON shape (`answer`, `citations\[]`, `confidence`, `needs\_human\_escalation`) rather than free-form text.</w:t>
        <w:br w:type="textWrapping"/>
      </w:r>
      <w:r>
        <w:rPr>
          <w:rFonts w:eastAsia="Times New Roman"/>
          <w:b/>
          <w:bCs/>
          <w:color w:val="000000"/>
          <w:sz w:val="28"/>
          <w:szCs w:val="28"/>
        </w:rPr>
        <w:t>Rationale:</w:t>
      </w:r>
      <w:r>
        <w:rPr>
          <w:rFonts w:eastAsia="Times New Roman"/>
          <w:color w:val="000000"/>
          <w:sz w:val="28"/>
          <w:szCs w:val="28"/>
        </w:rPr>
        <w:t xml:space="preserve"> the same assistant serves two very different consumers — a Slack app rendering a conversational reply, and internal analytics tracking groundedness and escalation rate. A stable schema means both can consume the response without a fragile text parser, and `needs\_human\_escalation` gives the UI a direct signal to hand off to a human rather than trying to infer confidence from prose.</w:t>
        <w:br w:type="textWrapping"/>
      </w:r>
      <w:r>
        <w:rPr>
          <w:rFonts w:eastAsia="Times New Roman"/>
          <w:b/>
          <w:bCs/>
          <w:color w:val="000000"/>
          <w:sz w:val="28"/>
          <w:szCs w:val="28"/>
        </w:rPr>
        <w:t>Trade-off accepted:</w:t>
      </w:r>
      <w:r>
        <w:rPr>
          <w:rFonts w:eastAsia="Times New Roman"/>
          <w:color w:val="000000"/>
          <w:sz w:val="28"/>
          <w:szCs w:val="28"/>
        </w:rPr>
        <w:t xml:space="preserve"> requires defensive parsing (the model occasionally wraps JSON in prose or markdown fences despite instructions) and a fallback path when parsing fails.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1"/>
    <w:tmLastPosSelect w:val="0"/>
    <w:tmLastPosFrameIdx w:val="0"/>
    <w:tmLastPosCaret>
      <w:tmLastPosPgfIdx w:val="11"/>
      <w:tmLastPosIdx w:val="736"/>
    </w:tmLastPosCaret>
    <w:tmLastPosAnchor>
      <w:tmLastPosPgfIdx w:val="0"/>
      <w:tmLastPosIdx w:val="0"/>
    </w:tmLastPosAnchor>
    <w:tmLastPosTblRect w:left="0" w:top="0" w:right="0" w:bottom="0"/>
  </w:tmLastPos>
  <w:tmAppRevision w:date="1785536447"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2026-07-31T22:05:50Z</dcterms:created>
  <dcterms:modified xsi:type="dcterms:W3CDTF">2026-07-31T22:20:47Z</dcterms:modified>
</cp:coreProperties>
</file>