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  <w:sz w:val="36"/>
          <w:szCs w:val="36"/>
        </w:rPr>
      </w:pPr>
      <w:r>
        <w:rPr>
          <w:rFonts w:eastAsia="Times New Roman"/>
          <w:b/>
          <w:bCs/>
          <w:color w:val="000000"/>
          <w:sz w:val="36"/>
          <w:szCs w:val="36"/>
        </w:rPr>
        <w:t>Cost &amp; Performance Summary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Pricing reference (per million tokens, as of mid-2026 — verify current rates at https://claude.com/pricing before using for real budgeting):</w:t>
      </w:r>
    </w:p>
    <w:tbl>
      <w:tblPr>
        <w:name w:val="Table1"/>
        <w:tabOrder w:val="0"/>
        <w:jc w:val="left"/>
        <w:tblInd w:w="0" w:type="dxa"/>
        <w:tblW w:w="22450" w:type="dxa"/>
        <w:pPr>
          <w:widowControl/>
          <w:rPr>
            <w:rFonts w:eastAsia="Times New Roman"/>
            <w:color w:val="000000"/>
            <w:sz w:val="28"/>
            <w:szCs w:val="28"/>
          </w:rPr>
        </w:pPr>
      </w:tblPr>
      <w:tblGrid>
        <w:gridCol w:w="4490"/>
        <w:gridCol w:w="4490"/>
        <w:gridCol w:w="4490"/>
        <w:gridCol w:w="4490"/>
        <w:gridCol w:w="4490"/>
      </w:tblGrid>
      <w:tr>
        <w:trPr>
          <w:tblHeader w:val="0"/>
          <w:cantSplit w:val="0"/>
          <w:trHeight w:val="600" w:hRule="atLeast"/>
        </w:trPr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Input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Output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Cache write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Cache read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Haiku 4.5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$1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$5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$1.25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$0.10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Sonnet 5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$2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$10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$2.50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$0.20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Opus 4.8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$5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$25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$6.25</w:t>
            </w:r>
          </w:p>
        </w:tc>
        <w:tc>
          <w:tcPr>
            <w:tcW w:w="4490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$0.50</w:t>
            </w:r>
          </w:p>
        </w:tc>
      </w:tr>
    </w:tbl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  <w:sz w:val="36"/>
          <w:szCs w:val="36"/>
        </w:rPr>
      </w:pPr>
      <w:r>
        <w:rPr>
          <w:rFonts w:eastAsia="Times New Roman"/>
          <w:b/>
          <w:bCs/>
          <w:color w:val="000000"/>
          <w:sz w:val="36"/>
          <w:szCs w:val="36"/>
        </w:rPr>
        <w:t>Per-query-tier estimate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Assumes the cached prefix (system prompt + tool schemas, ~1,500 tokens) is already warm — i.e. this is not the first call of the session.</w:t>
      </w:r>
    </w:p>
    <w:tbl>
      <w:tblPr>
        <w:name w:val="Table2"/>
        <w:tabOrder w:val="0"/>
        <w:jc w:val="left"/>
        <w:tblInd w:w="0" w:type="dxa"/>
        <w:tblW w:w="22452" w:type="dxa"/>
        <w:pPr>
          <w:widowControl/>
          <w:rPr>
            <w:rFonts w:eastAsia="Times New Roman"/>
            <w:color w:val="000000"/>
            <w:sz w:val="28"/>
            <w:szCs w:val="28"/>
          </w:rPr>
        </w:pPr>
      </w:tblPr>
      <w:tblGrid>
        <w:gridCol w:w="3742"/>
        <w:gridCol w:w="3742"/>
        <w:gridCol w:w="3742"/>
        <w:gridCol w:w="3742"/>
        <w:gridCol w:w="3742"/>
        <w:gridCol w:w="3742"/>
      </w:tblGrid>
      <w:tr>
        <w:trPr>
          <w:tblHeader w:val="0"/>
          <w:cantSplit w:val="0"/>
          <w:trHeight w:val="600" w:hRule="atLeast"/>
        </w:trPr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Tier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Model(s)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Typical tokens (fresh in / cached in / out)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Extended thinking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Target p50 latency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Est. cost/query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Router classification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Haiku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~50 / 1,500 / ~20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&lt;300ms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~$0.00016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Simple FAQ (retrieval, 1 tool call)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Sonnet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~400 / 1,500 / ~250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~1.5s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~$0.0038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Standard multi-tool query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Sonnet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~800 / 1,500 / ~400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No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~2.5s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~$0.0058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Complex / multi-hop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Sonnet + thinking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~800 / 1,500 / ~1,200 output incl. thinking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Yes (budget ~3k)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~6–10s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~$0.014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Escalation (router/self-flagged hard case)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Opus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~800 / 1,500 / ~500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Sometimes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~4–6s</w:t>
            </w:r>
          </w:p>
        </w:tc>
        <w:tc>
          <w:tcPr>
            <w:tcW w:w="3742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~$0.017</w:t>
            </w:r>
          </w:p>
        </w:tc>
      </w:tr>
    </w:tbl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A typical end-to-end request = router call + 1–2 answering-tier calls, so blended cost per employee interaction is roughly </w:t>
      </w:r>
      <w:r>
        <w:rPr>
          <w:rFonts w:eastAsia="Times New Roman"/>
          <w:b/>
          <w:bCs/>
          <w:color w:val="000000"/>
          <w:sz w:val="28"/>
          <w:szCs w:val="28"/>
        </w:rPr>
        <w:t>$0.004–$0.008</w:t>
      </w:r>
      <w:r>
        <w:rPr>
          <w:rFonts w:eastAsia="Times New Roman"/>
          <w:color w:val="000000"/>
          <w:sz w:val="28"/>
          <w:szCs w:val="28"/>
        </w:rPr>
        <w:t xml:space="preserve"> for the ~80–90% of traffic expected to land in the Simple/Standard tiers, with the Complex and Escalation tiers (expected &lt;10–15% of traffic) pulling the blended average up modestly.Illustrative scale estimate 10,000 employees, ~3 assistant interactions/week each ≈ 130,000 interactions/month.</w:t>
      </w:r>
    </w:p>
    <w:tbl>
      <w:tblPr>
        <w:name w:val="Table3"/>
        <w:tabOrder w:val="0"/>
        <w:jc w:val="left"/>
        <w:tblInd w:w="0" w:type="dxa"/>
        <w:tblW w:w="22452" w:type="dxa"/>
        <w:pPr>
          <w:widowControl/>
          <w:rPr>
            <w:rFonts w:eastAsia="Times New Roman"/>
            <w:color w:val="000000"/>
            <w:sz w:val="28"/>
            <w:szCs w:val="28"/>
          </w:rPr>
        </w:pPr>
      </w:tblPr>
      <w:tblGrid>
        <w:gridCol w:w="7484"/>
        <w:gridCol w:w="7484"/>
        <w:gridCol w:w="7484"/>
      </w:tblGrid>
      <w:tr>
        <w:trPr>
          <w:tblHeader w:val="0"/>
          <w:cantSplit w:val="0"/>
          <w:trHeight w:val="600" w:hRule="atLeast"/>
        </w:trPr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Scenario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Assumption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Est. monthly cost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No caching, single Sonnet tier for everything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Every call pays full input price, no routing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~$1,900–$2,600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With model tiering + prompt caching (this design)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85% Simple/Standard, 15% Complex/Escalation, cache hit rate &gt;70%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~$650–$950</w:t>
            </w:r>
          </w:p>
        </w:tc>
      </w:tr>
    </w:tbl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Caching and tiering together are estimated to cut blended cost by roughly</w:t>
      </w:r>
      <w:r>
        <w:rPr>
          <w:rFonts w:eastAsia="Times New Roman"/>
          <w:b/>
          <w:bCs/>
          <w:color w:val="000000"/>
          <w:sz w:val="28"/>
          <w:szCs w:val="28"/>
        </w:rPr>
        <w:t>55–65%</w:t>
      </w:r>
      <w:r>
        <w:rPr>
          <w:rFonts w:eastAsia="Times New Roman"/>
          <w:color w:val="000000"/>
          <w:sz w:val="28"/>
          <w:szCs w:val="28"/>
        </w:rPr>
        <w:t xml:space="preserve"> versus a single-tier, uncached baseline at this volume — the exact number depends heavily on real traffic mix and should be re-measured against production data rather than trusted as-is.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Performance targets to monitor in production</w:t>
      </w:r>
    </w:p>
    <w:tbl>
      <w:tblPr>
        <w:name w:val="Table4"/>
        <w:tabOrder w:val="0"/>
        <w:jc w:val="left"/>
        <w:tblInd w:w="0" w:type="dxa"/>
        <w:tblW w:w="22452" w:type="dxa"/>
        <w:pPr>
          <w:widowControl/>
          <w:rPr>
            <w:rFonts w:eastAsia="Times New Roman"/>
            <w:color w:val="000000"/>
            <w:sz w:val="28"/>
            <w:szCs w:val="28"/>
          </w:rPr>
        </w:pPr>
      </w:tblPr>
      <w:tblGrid>
        <w:gridCol w:w="7484"/>
        <w:gridCol w:w="7484"/>
        <w:gridCol w:w="7484"/>
      </w:tblGrid>
      <w:tr>
        <w:trPr>
          <w:tblHeader w:val="0"/>
          <w:cantSplit w:val="0"/>
          <w:trHeight w:val="600" w:hRule="atLeast"/>
        </w:trPr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Metric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Target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Why it matters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Cache hit rate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&gt;70%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Directly drives cost; a drop signals the cached prefix is changing too often (e.g. system prompt edits shipping too frequently)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p50 / p95 end-to-end latency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&lt;3s / &lt;10s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User-facing responsiveness; p95 mainly reflects the Complex/thinking tier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Tool error rate (per tool)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&lt;1%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A silently failing internal API degrades answer quality without an obvious symptom otherwise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Escalation rate (router → Opus)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Stable, reviewed weekly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A rising rate signals query complexity drift — may need retrieval or prompt fixes rather than just accepting higher cost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Groundedness / citation rate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&gt;90% of answers include a retrieved citation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Proxy for hallucination risk on knowledge questions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Cost per department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Tracked, alerted on regression</w:t>
            </w:r>
          </w:p>
        </w:tc>
        <w:tc>
          <w:tcPr>
            <w:tcW w:w="7484" w:type="dxa"/>
            <w:vAlign w:val="center"/>
            <w:shd w:val="none"/>
            <w:tcMar>
              <w:top w:w="0" w:type="dxa"/>
              <w:left w:w="180" w:type="dxa"/>
              <w:bottom w:w="0" w:type="dxa"/>
              <w:right w:w="18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85535329" protected="0"/>
          </w:tcPr>
          <w:p>
            <w:pPr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Times New Roman"/>
                <w:color w:val="000000"/>
                <w:sz w:val="28"/>
                <w:szCs w:val="28"/>
              </w:rPr>
            </w:pPr>
            <w:r>
              <w:rPr>
                <w:rFonts w:eastAsia="Times New Roman"/>
                <w:color w:val="000000"/>
                <w:sz w:val="28"/>
                <w:szCs w:val="28"/>
              </w:rPr>
              <w:t>Catches a misbehaving integration or prompt regression before it becomes a large bill</w:t>
            </w:r>
          </w:p>
        </w:tc>
      </w:tr>
    </w:tbl>
    <w:p>
      <w:pPr>
        <w:widowControl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"/>
    <w:tmLastPosSelect w:val="0"/>
    <w:tmLastPosFrameIdx w:val="0"/>
    <w:tmLastPosCaret>
      <w:tmLastPosPgfIdx w:val="12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5535329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2026-07-31T21:49:42Z</dcterms:created>
  <dcterms:modified xsi:type="dcterms:W3CDTF">2026-07-31T22:02:09Z</dcterms:modified>
</cp:coreProperties>
</file>