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40"/>
          <w:szCs w:val="40"/>
        </w:rPr>
      </w:pPr>
      <w:r>
        <w:rPr>
          <w:rFonts w:eastAsia="Times New Roman"/>
          <w:color w:val="000000"/>
          <w:sz w:val="40"/>
          <w:szCs w:val="40"/>
        </w:rPr>
        <w:t>Design Review: Enterprise AI Knowledge Assistant on the Claude Platform</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36"/>
          <w:szCs w:val="36"/>
        </w:rPr>
      </w:pPr>
      <w:r>
        <w:rPr>
          <w:rFonts w:eastAsia="Times New Roman"/>
          <w:color w:val="000000"/>
          <w:sz w:val="36"/>
          <w:szCs w:val="36"/>
        </w:rPr>
        <w:t>1. Solution Overview</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8"/>
          <w:szCs w:val="28"/>
        </w:rPr>
      </w:pPr>
      <w:r>
        <w:rPr>
          <w:rFonts w:eastAsia="Times New Roman"/>
          <w:color w:val="000000"/>
          <w:sz w:val="28"/>
          <w:szCs w:val="28"/>
        </w:rPr>
        <w:t xml:space="preserve">The assistant answers employee questions by combining Claude's reasoning with live access to internal systems — a knowledge base (policies, engineering docs, onboarding guides), a ticketing system (IT/HR requests),and an employee directory — rather than relying on Claude's training data alone. A single conversational interface (Slack app + internal web widget) sits in front of an orchestration service that calls the Claude Messages API, executes tool calls against internal systems, and returns grounded, cited answers. The design goals, in priority order, are: </w:t>
      </w:r>
      <w:r>
        <w:rPr>
          <w:rFonts w:eastAsia="Times New Roman"/>
          <w:b/>
          <w:bCs/>
          <w:color w:val="000000"/>
          <w:sz w:val="28"/>
          <w:szCs w:val="28"/>
        </w:rPr>
        <w:t>correctness and groundedness</w:t>
      </w:r>
      <w:r>
        <w:rPr>
          <w:rFonts w:eastAsia="Times New Roman"/>
          <w:color w:val="000000"/>
          <w:sz w:val="28"/>
          <w:szCs w:val="28"/>
        </w:rPr>
        <w:t xml:space="preserve"> (answers are backed by retrieved internal content, not guessed), </w:t>
      </w:r>
      <w:r>
        <w:rPr>
          <w:rFonts w:eastAsia="Times New Roman"/>
          <w:b/>
          <w:bCs/>
          <w:color w:val="000000"/>
          <w:sz w:val="28"/>
          <w:szCs w:val="28"/>
        </w:rPr>
        <w:t>cost control at scale</w:t>
      </w:r>
      <w:r>
        <w:rPr>
          <w:rFonts w:eastAsia="Times New Roman"/>
          <w:color w:val="000000"/>
          <w:sz w:val="28"/>
          <w:szCs w:val="28"/>
        </w:rPr>
        <w:t xml:space="preserve"> (thousands of employees, most queries simple), and </w:t>
      </w:r>
      <w:r>
        <w:rPr>
          <w:rFonts w:eastAsia="Times New Roman"/>
          <w:b/>
          <w:bCs/>
          <w:color w:val="000000"/>
          <w:sz w:val="28"/>
          <w:szCs w:val="28"/>
        </w:rPr>
        <w:t>low latency</w:t>
      </w:r>
      <w:r>
        <w:rPr>
          <w:rFonts w:eastAsia="Times New Roman"/>
          <w:color w:val="000000"/>
          <w:sz w:val="28"/>
          <w:szCs w:val="28"/>
        </w:rPr>
        <w:t xml:space="preserve"> for the common case.</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50"/>
          <w:szCs w:val="50"/>
        </w:rPr>
      </w:pPr>
      <w:r>
        <w:rPr>
          <w:rFonts w:eastAsia="Times New Roman"/>
          <w:b/>
          <w:bCs/>
          <w:color w:val="000000"/>
          <w:sz w:val="36"/>
          <w:szCs w:val="36"/>
        </w:rPr>
        <w:t>2.</w:t>
      </w:r>
      <w:r>
        <w:rPr>
          <w:rFonts w:eastAsia="Times New Roman"/>
          <w:b/>
          <w:bCs/>
          <w:color w:val="000000"/>
          <w:sz w:val="50"/>
          <w:szCs w:val="50"/>
        </w:rPr>
        <w:t xml:space="preserve"> </w:t>
      </w:r>
      <w:r>
        <w:rPr>
          <w:rFonts w:eastAsia="Times New Roman"/>
          <w:b/>
          <w:bCs/>
          <w:color w:val="000000"/>
          <w:sz w:val="36"/>
          <w:szCs w:val="36"/>
        </w:rPr>
        <w:t>Messages API Usage</w:t>
      </w:r>
      <w:r>
        <w:rPr>
          <w:rFonts w:eastAsia="Times New Roman"/>
          <w:b/>
          <w:bCs/>
          <w:color w:val="000000"/>
          <w:sz w:val="50"/>
          <w:szCs w:val="50"/>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8"/>
          <w:szCs w:val="28"/>
        </w:rPr>
      </w:pPr>
      <w:r>
        <w:rPr>
          <w:rFonts w:eastAsia="Times New Roman"/>
          <w:color w:val="000000"/>
          <w:sz w:val="28"/>
          <w:szCs w:val="28"/>
        </w:rPr>
        <w:t>All requests go through `client.messages.create()` directly — no agent framework — using a stable `system` block, a `tools` array, and a rolling `messages` history per conversation. Conversations are multi-turn: each tool call/result pair is appended to `messages` and the loop continues until Claude returns a final answer (`stop\_reason !== "tool\_use"`), capped at a fixed round limit so a malformed tool response can't loop forever. Responses are constrained to a documented JSON shape (`answer`, `citations\[]`, `confidence`, `needs\_human\_escalation`) so the Slack app and web widget can render consistently and downstream systems (ticketing, analytics) can consume the output without a fragile text parser.</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36"/>
          <w:szCs w:val="36"/>
        </w:rPr>
      </w:pPr>
      <w:r>
        <w:rPr>
          <w:rFonts w:eastAsia="Times New Roman"/>
          <w:b/>
          <w:bCs/>
          <w:color w:val="000000"/>
          <w:sz w:val="36"/>
          <w:szCs w:val="36"/>
        </w:rPr>
        <w:t>3. Tool Integration Strategy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color w:val="000000"/>
          <w:sz w:val="22"/>
          <w:szCs w:val="22"/>
        </w:rPr>
        <w:t>Four tools, each scoped narrowly rather than one do-everything tool:</w:t>
      </w:r>
    </w:p>
    <w:p>
      <w:pPr>
        <w:numPr>
          <w:ilvl w:val="1"/>
          <w:numId w:val="1"/>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`internal\_knowledge\_search`</w:t>
      </w:r>
      <w:r>
        <w:rPr>
          <w:rFonts w:eastAsia="Times New Roman"/>
          <w:color w:val="000000"/>
          <w:sz w:val="22"/>
          <w:szCs w:val="22"/>
        </w:rPr>
        <w:t xml:space="preserve"> — retrieval over a vector index ofindexed internal docs (wiki, policy PDFs, runbooks). This is the primary tool; most queries resolve here.</w:t>
      </w:r>
    </w:p>
    <w:p>
      <w:pPr>
        <w:numPr>
          <w:ilvl w:val="1"/>
          <w:numId w:val="1"/>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`ticketing\_system\_lookup`</w:t>
      </w:r>
      <w:r>
        <w:rPr>
          <w:rFonts w:eastAsia="Times New Roman"/>
          <w:color w:val="000000"/>
          <w:sz w:val="22"/>
          <w:szCs w:val="22"/>
        </w:rPr>
        <w:t xml:space="preserve"> — read-only query against Jira/ServiceNow for ticket status ("where's my laptop request?").</w:t>
      </w:r>
    </w:p>
    <w:p>
      <w:pPr>
        <w:numPr>
          <w:ilvl w:val="1"/>
          <w:numId w:val="1"/>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`employee\_directory\_lookup`</w:t>
      </w:r>
      <w:r>
        <w:rPr>
          <w:rFonts w:eastAsia="Times New Roman"/>
          <w:color w:val="000000"/>
          <w:sz w:val="22"/>
          <w:szCs w:val="22"/>
        </w:rPr>
        <w:t xml:space="preserve"> — HRIS/directory lookup for org-chart and contact questions.</w:t>
      </w:r>
    </w:p>
    <w:p>
      <w:pPr>
        <w:numPr>
          <w:ilvl w:val="1"/>
          <w:numId w:val="1"/>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`web\_search`</w:t>
      </w:r>
      <w:r>
        <w:rPr>
          <w:rFonts w:eastAsia="Times New Roman"/>
          <w:color w:val="000000"/>
          <w:sz w:val="22"/>
          <w:szCs w:val="22"/>
        </w:rPr>
        <w:t xml:space="preserve"> — Claude's native server-side web search, gated to a narrow allowlist of public reference use (e.g. "what's the current AWS region list"), disabled by default per-tenant since most enterprise questions should stay internal.</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color w:val="000000"/>
          <w:sz w:val="22"/>
          <w:szCs w:val="22"/>
        </w:rPr>
        <w:t xml:space="preserve">Each is defined with a strict `input\_schema` and a description telling Claude </w:t>
      </w:r>
      <w:r>
        <w:rPr>
          <w:rFonts w:eastAsia="Times New Roman"/>
          <w:i/>
          <w:iCs/>
          <w:color w:val="000000"/>
          <w:sz w:val="22"/>
          <w:szCs w:val="22"/>
        </w:rPr>
        <w:t>when</w:t>
      </w:r>
      <w:r>
        <w:rPr>
          <w:rFonts w:eastAsia="Times New Roman"/>
          <w:color w:val="000000"/>
          <w:sz w:val="22"/>
          <w:szCs w:val="22"/>
        </w:rPr>
        <w:t xml:space="preserve"> to prefer it over the others (directory lookups should never go through knowledge search, for example) — schema clarity does more for tool-selection accuracy than prompt tuning does.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36"/>
          <w:szCs w:val="36"/>
        </w:rPr>
      </w:pPr>
      <w:r>
        <w:rPr>
          <w:rFonts w:eastAsia="Times New Roman"/>
          <w:b/>
          <w:bCs/>
          <w:color w:val="000000"/>
          <w:sz w:val="36"/>
          <w:szCs w:val="36"/>
        </w:rPr>
        <w:t>4. Extended Thinking</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color w:val="000000"/>
          <w:sz w:val="22"/>
          <w:szCs w:val="22"/>
        </w:rPr>
        <w:t xml:space="preserve">Extended thinking (`budget\_tokens`) is </w:t>
      </w:r>
      <w:r>
        <w:rPr>
          <w:rFonts w:eastAsia="Times New Roman"/>
          <w:b/>
          <w:bCs/>
          <w:color w:val="000000"/>
          <w:sz w:val="22"/>
          <w:szCs w:val="22"/>
        </w:rPr>
        <w:t>not</w:t>
      </w:r>
      <w:r>
        <w:rPr>
          <w:rFonts w:eastAsia="Times New Roman"/>
          <w:color w:val="000000"/>
          <w:sz w:val="22"/>
          <w:szCs w:val="22"/>
        </w:rPr>
        <w:t xml:space="preserve"> enabled by default — it adds latency and output-token cost that most FAQ-style queries don't need. It's switched on selectively for queries the router classifies as multi-hop or requiring synthesis across sources (e.g., "given our current PTO policy</w:t>
        <w:br w:type="textWrapping"/>
        <w:t xml:space="preserve">and my tenure, how many days do I have left, accounting for the policy change last quarter?"). This classification happens in a cheap first pass (Haiku) before the main call, so the cost of deciding </w:t>
      </w:r>
      <w:r>
        <w:rPr>
          <w:rFonts w:eastAsia="Times New Roman"/>
          <w:i/>
          <w:iCs/>
          <w:color w:val="000000"/>
          <w:sz w:val="22"/>
          <w:szCs w:val="22"/>
        </w:rPr>
        <w:t>whether</w:t>
      </w:r>
      <w:r>
        <w:rPr>
          <w:rFonts w:eastAsia="Times New Roman"/>
          <w:color w:val="000000"/>
          <w:sz w:val="22"/>
          <w:szCs w:val="22"/>
        </w:rPr>
        <w:t xml:space="preserve"> to think hard is small relative to the cost of thinking hard on every query unconditionally.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36"/>
          <w:szCs w:val="36"/>
        </w:rPr>
      </w:pPr>
      <w:r>
        <w:rPr>
          <w:rFonts w:eastAsia="Times New Roman"/>
          <w:b/>
          <w:bCs/>
          <w:color w:val="000000"/>
          <w:sz w:val="36"/>
          <w:szCs w:val="36"/>
        </w:rPr>
        <w:t>5. Prompt Caching Strategy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color w:val="000000"/>
          <w:sz w:val="22"/>
          <w:szCs w:val="22"/>
        </w:rPr>
        <w:t>The system prompt, tool schemas, and any large stable reference content (e.g., a condensed company policy digest included in-context) are marked with `cache\_control: { type: "ephemeral" }` at the end of that block. These never change per-request, so after the first call in a session, essentially every subsequent call — both tool-loop round-trips within one query and separate queries from other employees within the cache TTL — reads from cache instead of re-billing that prefix at full input price. For</w:t>
        <w:br w:type="textWrapping"/>
        <w:t>consistently high-traffic tenants, a longer-TTL cache option is worth evaluating for the most stable prefix (system prompt + tool schemas) to extend hit rates beyond the default window during low-traffic periods.</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36"/>
          <w:szCs w:val="36"/>
        </w:rPr>
      </w:pPr>
      <w:r>
        <w:rPr>
          <w:rFonts w:eastAsia="Times New Roman"/>
          <w:b/>
          <w:bCs/>
          <w:color w:val="000000"/>
          <w:sz w:val="36"/>
          <w:szCs w:val="36"/>
        </w:rPr>
        <w:t>6. Performance Monitoring</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color w:val="000000"/>
          <w:sz w:val="22"/>
          <w:szCs w:val="22"/>
        </w:rPr>
        <w:t>Key metrics, tracked per-request and rolled up per-department/tenant:</w:t>
      </w:r>
    </w:p>
    <w:p>
      <w:pPr>
        <w:numPr>
          <w:ilvl w:val="1"/>
          <w:numId w:val="2"/>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Latency</w:t>
      </w:r>
      <w:r>
        <w:rPr>
          <w:rFonts w:eastAsia="Times New Roman"/>
          <w:color w:val="000000"/>
          <w:sz w:val="22"/>
          <w:szCs w:val="22"/>
        </w:rPr>
        <w:t>: time-to-first-token and end-to-end response time.</w:t>
      </w:r>
    </w:p>
    <w:p>
      <w:pPr>
        <w:numPr>
          <w:ilvl w:val="1"/>
          <w:numId w:val="2"/>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Cache hit rate</w:t>
      </w:r>
      <w:r>
        <w:rPr>
          <w:rFonts w:eastAsia="Times New Roman"/>
          <w:color w:val="000000"/>
          <w:sz w:val="22"/>
          <w:szCs w:val="22"/>
        </w:rPr>
        <w:t>: cache-read vs. cache-write tokens (target &gt;70%).</w:t>
      </w:r>
    </w:p>
    <w:p>
      <w:pPr>
        <w:numPr>
          <w:ilvl w:val="1"/>
          <w:numId w:val="2"/>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Tool success/error rate</w:t>
      </w:r>
      <w:r>
        <w:rPr>
          <w:rFonts w:eastAsia="Times New Roman"/>
          <w:color w:val="000000"/>
          <w:sz w:val="22"/>
          <w:szCs w:val="22"/>
        </w:rPr>
        <w:t>: per tool, since a failing internal API degrades answer quality silently otherwise.</w:t>
      </w:r>
    </w:p>
    <w:p>
      <w:pPr>
        <w:numPr>
          <w:ilvl w:val="1"/>
          <w:numId w:val="2"/>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Escalation rate</w:t>
      </w:r>
      <w:r>
        <w:rPr>
          <w:rFonts w:eastAsia="Times New Roman"/>
          <w:color w:val="000000"/>
          <w:sz w:val="22"/>
          <w:szCs w:val="22"/>
        </w:rPr>
        <w:t>: how often the router sends a query to a stronger model or to extended thinking — a rising rate signals query complexity drift that may need a prompt or retrieval fix.</w:t>
      </w:r>
    </w:p>
    <w:p>
      <w:pPr>
        <w:numPr>
          <w:ilvl w:val="1"/>
          <w:numId w:val="2"/>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Groundedness/citation rate</w:t>
      </w:r>
      <w:r>
        <w:rPr>
          <w:rFonts w:eastAsia="Times New Roman"/>
          <w:color w:val="000000"/>
          <w:sz w:val="22"/>
          <w:szCs w:val="22"/>
        </w:rPr>
        <w:t>: percentage of answers that cite a retrieved source vs. answer from the model's own knowledge.</w:t>
      </w:r>
    </w:p>
    <w:p>
      <w:pPr>
        <w:numPr>
          <w:ilvl w:val="1"/>
          <w:numId w:val="2"/>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Cost per query and per department</w:t>
      </w:r>
      <w:r>
        <w:rPr>
          <w:rFonts w:eastAsia="Times New Roman"/>
          <w:color w:val="000000"/>
          <w:sz w:val="22"/>
          <w:szCs w:val="22"/>
        </w:rPr>
        <w:t>, to catch cost regressions early.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b/>
          <w:bCs/>
          <w:color w:val="000000"/>
          <w:sz w:val="36"/>
          <w:szCs w:val="36"/>
        </w:rPr>
      </w:pPr>
      <w:r>
        <w:rPr>
          <w:rFonts w:eastAsia="Times New Roman"/>
          <w:b/>
          <w:bCs/>
          <w:color w:val="000000"/>
          <w:sz w:val="36"/>
          <w:szCs w:val="36"/>
        </w:rPr>
        <w:t>7. Cost Optimization</w:t>
      </w:r>
    </w:p>
    <w:p>
      <w:pPr>
        <w:numPr>
          <w:ilvl w:val="1"/>
          <w:numId w:val="3"/>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Model tiering</w:t>
      </w:r>
      <w:r>
        <w:rPr>
          <w:rFonts w:eastAsia="Times New Roman"/>
          <w:color w:val="000000"/>
          <w:sz w:val="22"/>
          <w:szCs w:val="22"/>
        </w:rPr>
        <w:t>: Haiku for classification/routing, Sonnet as the default answering model, Opus reserved for escalations the router flags as genuinely hard — most cost lives in the default tier, so keeping it cheap-but-capable is the highest-leverage lever.</w:t>
      </w:r>
    </w:p>
    <w:p>
      <w:pPr>
        <w:numPr>
          <w:ilvl w:val="1"/>
          <w:numId w:val="3"/>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Prompt caching</w:t>
      </w:r>
      <w:r>
        <w:rPr>
          <w:rFonts w:eastAsia="Times New Roman"/>
          <w:color w:val="000000"/>
          <w:sz w:val="22"/>
          <w:szCs w:val="22"/>
        </w:rPr>
        <w:t xml:space="preserve"> on the stable prefix (Section 5) — the single biggest lever at scale, since system prompt + tool schemas are re-sent on every call otherwise.</w:t>
      </w:r>
    </w:p>
    <w:p>
      <w:pPr>
        <w:numPr>
          <w:ilvl w:val="1"/>
          <w:numId w:val="3"/>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Retrieval tuning</w:t>
      </w:r>
      <w:r>
        <w:rPr>
          <w:rFonts w:eastAsia="Times New Roman"/>
          <w:color w:val="000000"/>
          <w:sz w:val="22"/>
          <w:szCs w:val="22"/>
        </w:rPr>
        <w:t>: capping `top\_k` retrieved chunks and chunk size keeps input tokens down without materially hurting answer quality.</w:t>
      </w:r>
    </w:p>
    <w:p>
      <w:pPr>
        <w:numPr>
          <w:ilvl w:val="1"/>
          <w:numId w:val="3"/>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Thinking budget discipline</w:t>
      </w:r>
      <w:r>
        <w:rPr>
          <w:rFonts w:eastAsia="Times New Roman"/>
          <w:color w:val="000000"/>
          <w:sz w:val="22"/>
          <w:szCs w:val="22"/>
        </w:rPr>
        <w:t>: `budget\_tokens` set per query-complexity tier rather than one large constant for every request.</w:t>
      </w:r>
    </w:p>
    <w:p>
      <w:pPr>
        <w:numPr>
          <w:ilvl w:val="1"/>
          <w:numId w:val="3"/>
        </w:numPr>
        <w:ind w:left="400" w:hanging="400"/>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Times New Roman"/>
          <w:color w:val="000000"/>
          <w:sz w:val="22"/>
          <w:szCs w:val="22"/>
        </w:rPr>
      </w:pPr>
      <w:r>
        <w:rPr>
          <w:rFonts w:eastAsia="Times New Roman"/>
          <w:b/>
          <w:bCs/>
          <w:color w:val="000000"/>
          <w:sz w:val="22"/>
          <w:szCs w:val="22"/>
        </w:rPr>
        <w:t>Batching</w:t>
      </w:r>
      <w:r>
        <w:rPr>
          <w:rFonts w:eastAsia="Times New Roman"/>
          <w:color w:val="000000"/>
          <w:sz w:val="22"/>
          <w:szCs w:val="22"/>
        </w:rPr>
        <w:t xml:space="preserve"> non-interactive workloads (e.g., nightly knowledge-base re-indexing summaries) through the Batches API at reduced cost, reserving synchronous calls for interactive employee-facing traffic.</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lvlText w:val="%1."/>
      <w:lvlJc w:val="left"/>
      <w:pPr>
        <w:tabs>
          <w:tab w:val="num" w:pos="0"/>
        </w:tabs>
        <w:ind w:left="0" w:hanging="0"/>
      </w:pPr>
      <w:rPr>
        <w:rStyle w:val="char0"/>
      </w:rPr>
    </w:lvl>
    <w:lvl w:ilvl="1">
      <w:numFmt w:val="bullet"/>
      <w:lvlText w:val="·"/>
      <w:lvlJc w:val="left"/>
      <w:pPr>
        <w:tabs>
          <w:tab w:val="num" w:pos="0"/>
        </w:tabs>
        <w:ind w:left="0" w:hanging="0"/>
      </w:pPr>
      <w:rPr>
        <w:rStyle w:val="char0"/>
        <w:rFonts w:ascii="Symbol" w:hAnsi="Symbol" w:eastAsia="Symbol" w:cs="Symbol"/>
      </w:r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2">
    <w:multiLevelType w:val="hybridMultilevel"/>
    <w:name w:val="Numbered list 2"/>
    <w:lvl w:ilvl="0">
      <w:start w:val="1"/>
      <w:numFmt w:val="decimal"/>
      <w:lvlText w:val="%1."/>
      <w:lvlJc w:val="left"/>
      <w:pPr>
        <w:tabs>
          <w:tab w:val="num" w:pos="0"/>
        </w:tabs>
        <w:ind w:left="0" w:hanging="0"/>
      </w:pPr>
      <w:rPr>
        <w:rStyle w:val="char0"/>
      </w:rPr>
    </w:lvl>
    <w:lvl w:ilvl="1">
      <w:numFmt w:val="bullet"/>
      <w:lvlText w:val="·"/>
      <w:lvlJc w:val="left"/>
      <w:pPr>
        <w:tabs>
          <w:tab w:val="num" w:pos="0"/>
        </w:tabs>
        <w:ind w:left="0" w:hanging="0"/>
      </w:pPr>
      <w:rPr>
        <w:rStyle w:val="char0"/>
        <w:rFonts w:ascii="Symbol" w:hAnsi="Symbol" w:eastAsia="Symbol" w:cs="Symbol"/>
      </w:r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3">
    <w:multiLevelType w:val="hybridMultilevel"/>
    <w:name w:val="Numbered list 3"/>
    <w:lvl w:ilvl="0">
      <w:start w:val="1"/>
      <w:numFmt w:val="decimal"/>
      <w:lvlText w:val="%1."/>
      <w:lvlJc w:val="left"/>
      <w:pPr>
        <w:tabs>
          <w:tab w:val="num" w:pos="0"/>
        </w:tabs>
        <w:ind w:left="0" w:hanging="0"/>
      </w:pPr>
      <w:rPr>
        <w:rStyle w:val="char0"/>
      </w:rPr>
    </w:lvl>
    <w:lvl w:ilvl="1">
      <w:numFmt w:val="bullet"/>
      <w:lvlText w:val="·"/>
      <w:lvlJc w:val="left"/>
      <w:pPr>
        <w:tabs>
          <w:tab w:val="num" w:pos="0"/>
        </w:tabs>
        <w:ind w:left="0" w:hanging="0"/>
      </w:pPr>
      <w:rPr>
        <w:rStyle w:val="char0"/>
        <w:rFonts w:ascii="Symbol" w:hAnsi="Symbol" w:eastAsia="Symbol" w:cs="Symbol"/>
      </w:r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0"/>
  </w:tmReviewPr>
  <w:tmLastPos>
    <w:tmLastPosPage w:val="1"/>
    <w:tmLastPosSelect w:val="0"/>
    <w:tmLastPosFrameIdx w:val="0"/>
    <w:tmLastPosCaret>
      <w:tmLastPosPgfIdx w:val="29"/>
      <w:tmLastPosIdx w:val="139"/>
    </w:tmLastPosCaret>
    <w:tmLastPosAnchor>
      <w:tmLastPosPgfIdx w:val="0"/>
      <w:tmLastPosIdx w:val="0"/>
    </w:tmLastPosAnchor>
    <w:tmLastPosTblRect w:left="0" w:top="0" w:right="0" w:bottom="0"/>
  </w:tmLastPos>
  <w:tmAppRevision w:date="1785536035" w:val="1205" w:fileVer="342" w:fileVer64="64"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Truly Word 2024 rev.1205</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2026-07-31T22:04:47Z</dcterms:created>
  <dcterms:modified xsi:type="dcterms:W3CDTF">2026-07-31T22:13:55Z</dcterms:modified>
</cp:coreProperties>
</file>