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Context Engineering Architecture Review: Enterprise Research Assistant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Scenario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A global consulting firm needs a research assistant for consultants on engagements that run for weeks, drawing on internal knowledge, client- supplied documents, prior engagement archives, and live web research — while keeping token cost bounded, responses explainable, and client data strictly isolated across teams. This review covers the eight required areas; it draws on lessons from a smaller working reference implementation (a four-tier memory + hybrid-RAG agent built for a</w:t>
        <w:br w:type="textWrapping"/>
        <w:t>different, single-team use case) where noted, since some of the failure modes below were caught by actually running that system, not just reasoning about it in the abstract.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1. Context Engineering Strategy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Context is assembled in two layers per turn, not one. </w:t>
      </w:r>
      <w:r>
        <w:rPr>
          <w:rFonts w:eastAsia="Times New Roman"/>
          <w:b/>
          <w:bCs/>
          <w:color w:val="000000"/>
          <w:sz w:val="28"/>
          <w:szCs w:val="28"/>
        </w:rPr>
        <w:t>Static/structural</w:t>
        <w:br w:type="textWrapping"/>
        <w:t>context</w:t>
      </w:r>
      <w:r>
        <w:rPr>
          <w:rFonts w:eastAsia="Times New Roman"/>
          <w:color w:val="000000"/>
          <w:sz w:val="28"/>
          <w:szCs w:val="28"/>
        </w:rPr>
        <w:t xml:space="preserve"> — the consultant's role, the current engagement's identifier, and a short engagement brief — is fixed per session and cached server-side (see Section 7) rather than re-sent as free text every turn.</w:t>
        <w:br w:type="textWrapping"/>
      </w:r>
      <w:r>
        <w:rPr>
          <w:rFonts w:eastAsia="Times New Roman"/>
          <w:b/>
          <w:bCs/>
          <w:color w:val="000000"/>
          <w:sz w:val="28"/>
          <w:szCs w:val="28"/>
        </w:rPr>
        <w:t>Dynamic context</w:t>
      </w:r>
      <w:r>
        <w:rPr>
          <w:rFonts w:eastAsia="Times New Roman"/>
          <w:color w:val="000000"/>
          <w:sz w:val="28"/>
          <w:szCs w:val="28"/>
        </w:rPr>
        <w:t xml:space="preserve"> is assembled fresh per query: a relevance-ranked blend of session history, episodic engagement events, and retrieved documents, capped to a token budget before the model ever sees it. The guiding principle: nothing enters context because it's </w:t>
      </w:r>
      <w:r>
        <w:rPr>
          <w:rFonts w:eastAsia="Times New Roman"/>
          <w:i/>
          <w:iCs/>
          <w:color w:val="000000"/>
          <w:sz w:val="28"/>
          <w:szCs w:val="28"/>
        </w:rPr>
        <w:t>available</w:t>
      </w:r>
      <w:r>
        <w:rPr>
          <w:rFonts w:eastAsia="Times New Roman"/>
          <w:color w:val="000000"/>
          <w:sz w:val="28"/>
          <w:szCs w:val="28"/>
        </w:rPr>
        <w:t xml:space="preserve"> — it enters because a retrieval or ranking step scored it relevant to </w:t>
      </w:r>
      <w:r>
        <w:rPr>
          <w:rFonts w:eastAsia="Times New Roman"/>
          <w:i/>
          <w:iCs/>
          <w:color w:val="000000"/>
          <w:sz w:val="28"/>
          <w:szCs w:val="28"/>
        </w:rPr>
        <w:t>this</w:t>
      </w:r>
      <w:r>
        <w:rPr>
          <w:rFonts w:eastAsia="Times New Roman"/>
          <w:color w:val="000000"/>
          <w:sz w:val="28"/>
          <w:szCs w:val="28"/>
        </w:rPr>
        <w:t xml:space="preserve"> turn. An engagement accumulating weeks of documents means the naive approach (send everything) is not a cost concern, it's a correctness</w:t>
        <w:br w:type="textWrapping"/>
        <w:t>one — irrelevant volume measurably degrades the model's ability to use</w:t>
        <w:br w:type="textWrapping"/>
        <w:t>the relevant fraction of what it's given.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2. Memory Architecture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Four tiers, each answering a different question: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Working memory</w:t>
      </w:r>
      <w:r>
        <w:rPr>
          <w:rFonts w:eastAsia="Times New Roman"/>
          <w:color w:val="000000"/>
          <w:sz w:val="28"/>
          <w:szCs w:val="28"/>
        </w:rPr>
        <w:t xml:space="preserve"> — "what am I doing this turn": the current query,recent tool outputs, in-progress workflow state. In-process, never persisted, discarded when the turn ends.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Session memory</w:t>
      </w:r>
      <w:r>
        <w:rPr>
          <w:rFonts w:eastAsia="Times New Roman"/>
          <w:color w:val="000000"/>
          <w:sz w:val="28"/>
          <w:szCs w:val="28"/>
        </w:rPr>
        <w:t xml:space="preserve"> — "what have we discussed in this sitting": conversation turns for the current work session, compacted (Section 6) once it grows long.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Long-term (semantic) memory</w:t>
      </w:r>
      <w:r>
        <w:rPr>
          <w:rFonts w:eastAsia="Times New Roman"/>
          <w:color w:val="000000"/>
          <w:sz w:val="28"/>
          <w:szCs w:val="28"/>
        </w:rPr>
        <w:t xml:space="preserve"> — "what do we know, generally": stable</w:t>
        <w:br w:type="textWrapping"/>
        <w:t>facts and preferences — a client's stated risk tolerance, a consultant's preferred report format — vector-indexed for recall by relevance rather than recency.</w:t>
      </w:r>
    </w:p>
    <w:p>
      <w:pPr>
        <w:numPr>
          <w:ilvl w:val="1"/>
          <w:numId w:val="1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Episodic memory</w:t>
      </w:r>
      <w:r>
        <w:rPr>
          <w:rFonts w:eastAsia="Times New Roman"/>
          <w:color w:val="000000"/>
          <w:sz w:val="28"/>
          <w:szCs w:val="28"/>
        </w:rPr>
        <w:t xml:space="preserve"> — "what happened, and when": a distinct tier from long-term/semantic memory, deliberately — episodic memory is a timestamped record of specific events and decisions ("on March 3 we presented Option A; the client rejected it on cost grounds"), not general facts. This distinction matters for a multi-week engagement specifically: a consultant returning after a two-week gap needs "what did we decide and why," which is a sequence of events, not a bag of facts — collapsing the two into one store loses the ordering and causal structure that makes an engagement's history useful.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3. Retrieval Architecture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Data sources</w:t>
      </w:r>
      <w:r>
        <w:rPr>
          <w:rFonts w:eastAsia="Times New Roman"/>
          <w:color w:val="000000"/>
          <w:sz w:val="28"/>
          <w:szCs w:val="28"/>
        </w:rPr>
        <w:t>, each with different trust and freshness properties: internal knowledge base (stable, high-trust), client-supplied documents (engagement-scoped, moderate trust — client-provided figures need attribution but not fact-checking), prior engagement archives (historical, useful for precedent), and live web research (freshest, lowest trust — always attributed, never treated as internally-verified).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Chunking</w:t>
      </w:r>
      <w:r>
        <w:rPr>
          <w:rFonts w:eastAsia="Times New Roman"/>
          <w:color w:val="000000"/>
          <w:sz w:val="28"/>
          <w:szCs w:val="28"/>
        </w:rPr>
        <w:t>: heading/section-aware, not fixed character-count windows.</w:t>
        <w:br w:type="textWrapping"/>
        <w:t>A fixed-size window can silently merge two topically distinct subsections into one chunk, which measurably hurts retrieval precision — confirmed directly in the smaller reference system, where naive character-count chunking merged two unrelated product subsections and caused a measurable wrong-document retrieval; switching to heading-aware chunking fixed it. At enterprise document volume (contracts, financial models, slide decks) this matters even more, since these documents are heavily structured and a chunk crossing a section boundary is close to meaningless on its own.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Embedding</w:t>
      </w:r>
      <w:r>
        <w:rPr>
          <w:rFonts w:eastAsia="Times New Roman"/>
          <w:color w:val="000000"/>
          <w:sz w:val="28"/>
          <w:szCs w:val="28"/>
        </w:rPr>
        <w:t>: a production-grade neural embedding model (e.g. Voyage AI, which Anthropic recommends pairing with Claude), not a locally-fit statistical method — at enterprise corpus scale, a hosted embedding service's quality and throughput matter more than the network-free convenience that's appropriate for a small demo.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Vector storage</w:t>
      </w:r>
      <w:r>
        <w:rPr>
          <w:rFonts w:eastAsia="Times New Roman"/>
          <w:color w:val="000000"/>
          <w:sz w:val="28"/>
          <w:szCs w:val="28"/>
        </w:rPr>
        <w:t>: partitioned per engagement/client, not one shared index — both for the isolation requirement (Section 8) and because retrieval quality degrades as an index accumulates unrelated content; a client-scoped index also caps how much any single query has to search.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Pipeline</w:t>
      </w:r>
      <w:r>
        <w:rPr>
          <w:rFonts w:eastAsia="Times New Roman"/>
          <w:color w:val="000000"/>
          <w:sz w:val="28"/>
          <w:szCs w:val="28"/>
        </w:rPr>
        <w:t>: query → engagement-scoped retrieval (upfront where possible, on-demand via tool call otherwise, Section 4) → rerank → filter → attribute → assemble.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4. Retrieval Optimization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Hybrid retrieval</w:t>
      </w:r>
      <w:r>
        <w:rPr>
          <w:rFonts w:eastAsia="Times New Roman"/>
          <w:color w:val="000000"/>
          <w:sz w:val="28"/>
          <w:szCs w:val="28"/>
        </w:rPr>
        <w:t>: upfront loading (engagement brief, recent episodic events, top standing facts) assembled before any model call, plus just-in-time retrieval (a `search\_documents` tool) for anything the upfront context doesn't cover. Upfront loading alone can't anticipate every question over a multi-week engagement; pure on-demand retrieval adds latency and forces the model to guess it needs to look something up before it has evidence that it does. The two together cover both cases.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Reranking</w:t>
      </w:r>
      <w:r>
        <w:rPr>
          <w:rFonts w:eastAsia="Times New Roman"/>
          <w:color w:val="000000"/>
          <w:sz w:val="28"/>
          <w:szCs w:val="28"/>
        </w:rPr>
        <w:t>: initial vector retrieval over-fetches (e.g. top-20), then a cheaper cross-encoder or lightweight reranking pass narrows to the top-k actually sent to the model — vector similarity alone is a reasonable first filter but not a precise final one, particularly across heterogeneous document types (a financial model and a meeting note score very differently on pure embedding similarity even when equally relevant).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Context ranking</w:t>
      </w:r>
      <w:r>
        <w:rPr>
          <w:rFonts w:eastAsia="Times New Roman"/>
          <w:color w:val="000000"/>
          <w:sz w:val="28"/>
          <w:szCs w:val="28"/>
        </w:rPr>
        <w:t>: for episodic/long-term recall specifically, blend similarity with recency and an importance signal — a highly relevant but three-week-old decision shouldn't always outrank a less similar but current one for "what's the state of this engagement right now."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Source attribution</w:t>
      </w:r>
      <w:r>
        <w:rPr>
          <w:rFonts w:eastAsia="Times New Roman"/>
          <w:color w:val="000000"/>
          <w:sz w:val="28"/>
          <w:szCs w:val="28"/>
        </w:rPr>
        <w:t>: every retrieved item carries its origin (document name, page/section, date, and source tier — internal/client/ archive/web) inline in the assembled context, not as an afterthought.</w:t>
        <w:br w:type="textWrapping"/>
        <w:t>For a consulting deliverable, "where did this come from" is often as important as the answer itself; attribution needs to survive from retrieval through to the final response, not just exist at the retrieval step.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5. Context Window Management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Three techniques, layered: </w:t>
      </w:r>
      <w:r>
        <w:rPr>
          <w:rFonts w:eastAsia="Times New Roman"/>
          <w:b/>
          <w:bCs/>
          <w:color w:val="000000"/>
          <w:sz w:val="28"/>
          <w:szCs w:val="28"/>
        </w:rPr>
        <w:t>filtering</w:t>
      </w:r>
      <w:r>
        <w:rPr>
          <w:rFonts w:eastAsia="Times New Roman"/>
          <w:color w:val="000000"/>
          <w:sz w:val="28"/>
          <w:szCs w:val="28"/>
        </w:rPr>
        <w:t xml:space="preserve"> (a relevance floor below which retrieved content simply isn't included — irrelevant content injected "just in case" measurably increases noise, it doesn't add optionality),</w:t>
        <w:br w:type="textWrapping"/>
      </w:r>
      <w:r>
        <w:rPr>
          <w:rFonts w:eastAsia="Times New Roman"/>
          <w:b/>
          <w:bCs/>
          <w:color w:val="000000"/>
          <w:sz w:val="28"/>
          <w:szCs w:val="28"/>
        </w:rPr>
        <w:t>deduplication</w:t>
      </w:r>
      <w:r>
        <w:rPr>
          <w:rFonts w:eastAsia="Times New Roman"/>
          <w:color w:val="000000"/>
          <w:sz w:val="28"/>
          <w:szCs w:val="28"/>
        </w:rPr>
        <w:t xml:space="preserve"> (near-identical passages, common across a large document set with revised drafts of the same report, are collapsed before entering context), and </w:t>
      </w:r>
      <w:r>
        <w:rPr>
          <w:rFonts w:eastAsia="Times New Roman"/>
          <w:b/>
          <w:bCs/>
          <w:color w:val="000000"/>
          <w:sz w:val="28"/>
          <w:szCs w:val="28"/>
        </w:rPr>
        <w:t>budget allocation</w:t>
      </w:r>
      <w:r>
        <w:rPr>
          <w:rFonts w:eastAsia="Times New Roman"/>
          <w:color w:val="000000"/>
          <w:sz w:val="28"/>
          <w:szCs w:val="28"/>
        </w:rPr>
        <w:t xml:space="preserve"> — a fixed token budget per turn is split across static context, session history, and retrieved content, with retrieved content getting first claim on</w:t>
        <w:br w:type="textWrapping"/>
        <w:t>remaining budget after the other two, since it's the most query-specific and highest-value-per-token component for most questions.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6. Long-Running Workflow Support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Planning persistence</w:t>
      </w:r>
      <w:r>
        <w:rPr>
          <w:rFonts w:eastAsia="Times New Roman"/>
          <w:color w:val="000000"/>
          <w:sz w:val="28"/>
          <w:szCs w:val="28"/>
        </w:rPr>
        <w:t>: a multi-week engagement's task plan (what's been researched, what's outstanding, what's blocked) is stored as structured state, not inferred fresh from conversation history each time — a consultant resuming after days away shouldn't require the model to reconstruct plan state from a long transcript.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External memory</w:t>
      </w:r>
      <w:r>
        <w:rPr>
          <w:rFonts w:eastAsia="Times New Roman"/>
          <w:color w:val="000000"/>
          <w:sz w:val="28"/>
          <w:szCs w:val="28"/>
        </w:rPr>
        <w:t>: episodic and long-term memory  both live outside any single conversation, in per-engagement storage that outlives any one session — this is what makes "resume after two weeks" actually work.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Workflow checkpointing</w:t>
      </w:r>
      <w:r>
        <w:rPr>
          <w:rFonts w:eastAsia="Times New Roman"/>
          <w:color w:val="000000"/>
          <w:sz w:val="28"/>
          <w:szCs w:val="28"/>
        </w:rPr>
        <w:t>: at natural milestones (a deliverable drafted, a client decision recorded), state is explicitly checkpointed rather than relying on periodic auto-save — an explicit checkpoint is a stronger guarantee for a multi-week workflow where losing a milestone is expensive.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Context compaction</w:t>
      </w:r>
      <w:r>
        <w:rPr>
          <w:rFonts w:eastAsia="Times New Roman"/>
          <w:color w:val="000000"/>
          <w:sz w:val="28"/>
          <w:szCs w:val="28"/>
        </w:rPr>
        <w:t>: once session history exceeds a threshold, older turns are summarized into a compact digest and dropped from raw history, keeping the most recent turns verbatim — verified directly in the reference implementation to correctly trigger and to preserve concrete facts through the summarization step, which is the property that matters for a compaction step actually being safe to rely on.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7. Cost &amp; Performance Optimization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Token usage</w:t>
      </w:r>
      <w:r>
        <w:rPr>
          <w:rFonts w:eastAsia="Times New Roman"/>
          <w:color w:val="000000"/>
          <w:sz w:val="28"/>
          <w:szCs w:val="28"/>
        </w:rPr>
        <w:t>: prompt caching on the stable prefix (system instructions</w:t>
      </w:r>
    </w:p>
    <w:p>
      <w:pPr>
        <w:numPr>
          <w:ilvl w:val="1"/>
          <w:numId w:val="2"/>
        </w:numPr>
        <w:ind w:left="400" w:hanging="40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tool schemas + engagement brief) — this portion is identical across every turn in an engagement, and caching it is close to pure savings, not a trade-off. Context compaction  bounds session-history token growth. Retrieval filtering  bounds retrieved-content volume.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Retrieval cost</w:t>
      </w:r>
      <w:r>
        <w:rPr>
          <w:rFonts w:eastAsia="Times New Roman"/>
          <w:color w:val="000000"/>
          <w:sz w:val="28"/>
          <w:szCs w:val="28"/>
        </w:rPr>
        <w:t>: per-engagement index partitioning bounds search cost per query; reranking runs on a small over-fetched candidate set, not the full corpus, keeping the expensive step cheap by construction.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Latency</w:t>
      </w:r>
      <w:r>
        <w:rPr>
          <w:rFonts w:eastAsia="Times New Roman"/>
          <w:color w:val="000000"/>
          <w:sz w:val="28"/>
          <w:szCs w:val="28"/>
        </w:rPr>
        <w:t>: upfront context assembly runs in parallel with nothing blocking it; just-in-time retrieval only fires when needed, so the common case (a question upfront context already answers) pays no retrieval latency at all.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Model selection</w:t>
      </w:r>
      <w:r>
        <w:rPr>
          <w:rFonts w:eastAsia="Times New Roman"/>
          <w:color w:val="000000"/>
          <w:sz w:val="28"/>
          <w:szCs w:val="28"/>
        </w:rPr>
        <w:t>: not every step needs the most capable model — reranking and simple classification steps can run on a smaller/cheaper model, reserving the strongest model for actual synthesis and drafting.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t>8. Risk Assessment</w:t>
      </w:r>
    </w:p>
    <w:tbl>
      <w:tblPr>
        <w:name w:val="Table1"/>
        <w:tabOrder w:val="0"/>
        <w:jc w:val="left"/>
        <w:tblInd w:w="0" w:type="dxa"/>
        <w:tblW w:w="22452" w:type="dxa"/>
        <w:pPr>
          <w:widowControl/>
          <w:rPr>
            <w:rFonts w:eastAsia="Times New Roman"/>
            <w:color w:val="000000"/>
            <w:sz w:val="28"/>
            <w:szCs w:val="28"/>
          </w:rPr>
        </w:pPr>
      </w:tblPr>
      <w:tblGrid>
        <w:gridCol w:w="11226"/>
        <w:gridCol w:w="11226"/>
      </w:tblGrid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Risk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Mitigation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Cross-client data leakage via a shared index or context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Per-engagement partitioned storage (Section 3); retrieval and long-term/episodic memory scoped by engagement ID, checked server-side, never inferred from conversation content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Compaction silently drops a decision that matters later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Compaction summarizes rather than truncates, and episodic memory (Section 2) independently retains discrete decisions outside the compactable session-history stream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Retrieval quality degrades unnoticed as the corpus grows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Ongoing measurement (precision/recall against a labeled query set) rather than a one-time validation, since a large enterprise corpus keeps growing after launch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Over-trusting web-sourced content in a client deliverable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Source tier is part of attribution (Section 4) and surfaced to the consultant, not just logged — a web-sourced fact should visibly read differently from an internally-verified one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Cost growth as engagements and teams scale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Caching and per-engagement partitioning (Section 7) are structural, not tunable-after-the-fact — cost scales with active engagement volume, not total accumulated history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Stale plan/checkpoint state after a long gap</w:t>
            </w:r>
          </w:p>
        </w:tc>
        <w:tc>
          <w:tcPr>
            <w:tcW w:w="11226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7335974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Explicit checkpointing (Section 6) plus a lightweight "resume summary" surfaced to the consultant at the start of a new session, so drift is visible rather than silent</w:t>
            </w:r>
          </w:p>
        </w:tc>
      </w:tr>
    </w:tbl>
    <w:p>
      <w:pPr>
        <w:widowControl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rStyle w:val="char0"/>
      </w:rPr>
    </w:lvl>
    <w:lvl w:ilvl="1">
      <w:numFmt w:val="bullet"/>
      <w:lvlText w:val="·"/>
      <w:lvlJc w:val="left"/>
      <w:pPr>
        <w:tabs>
          <w:tab w:val="num" w:pos="0"/>
        </w:tabs>
        <w:ind w:left="0" w:hanging="0"/>
      </w:pPr>
      <w:rPr>
        <w:rStyle w:val="char0"/>
        <w:rFonts w:ascii="Symbol" w:hAnsi="Symbol" w:eastAsia="Symbol" w:cs="Symbol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>
    <w:multiLevelType w:val="hybridMultilevel"/>
    <w:name w:val="Numbered list 2"/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rStyle w:val="char0"/>
      </w:rPr>
    </w:lvl>
    <w:lvl w:ilvl="1">
      <w:numFmt w:val="bullet"/>
      <w:lvlText w:val="·"/>
      <w:lvlJc w:val="left"/>
      <w:pPr>
        <w:tabs>
          <w:tab w:val="num" w:pos="0"/>
        </w:tabs>
        <w:ind w:left="0" w:hanging="0"/>
      </w:pPr>
      <w:rPr>
        <w:rStyle w:val="char0"/>
        <w:rFonts w:ascii="Symbol" w:hAnsi="Symbol" w:eastAsia="Symbol" w:cs="Symbol"/>
      </w:r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3"/>
    <w:tmLastPosSelect w:val="1"/>
    <w:tmLastPosFrameIdx w:val="14"/>
    <w:tmLastPosCaret>
      <w:tmLastPosPgfIdx w:val="0"/>
      <w:tmLastPosIdx w:val="31"/>
    </w:tmLastPosCaret>
    <w:tmLastPosAnchor>
      <w:tmLastPosPgfIdx w:val="0"/>
      <w:tmLastPosIdx w:val="24"/>
    </w:tmLastPosAnchor>
    <w:tmLastPosTblRect w:left="0" w:top="0" w:right="0" w:bottom="0"/>
  </w:tmLastPos>
  <w:tmAppRevision w:date="1787335974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2026-08-21T17:56:22Z</dcterms:created>
  <dcterms:modified xsi:type="dcterms:W3CDTF">2026-08-21T18:12:54Z</dcterms:modified>
</cp:coreProperties>
</file>