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Architecture Sketch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```mermaid</w:t>
        <w:br w:type="textWrapping"/>
        <w:t>flowchart TD</w:t>
        <w:br w:type="textWrapping"/>
        <w:t xml:space="preserve">    DS\[("Evaluation dataset\\nnormal / edge / regression / adversarial")] --&gt; DET\["Deterministic checks\\nverification-before-action,\\nparameter correctness, authorization scope"]</w:t>
        <w:br w:type="textWrapping"/>
        <w:t xml:space="preserve">    DS --&gt; JUDGE\["LLM-as-judge\\nchecklist rubric, pointwise + pairwise"]</w:t>
        <w:br w:type="textWrapping"/>
        <w:br w:type="textWrapping"/>
        <w:t xml:space="preserve">    HUMAN\[("Human-labeled gold set")] -.calibration.-&gt; JUDGE</w:t>
        <w:br w:type="textWrapping"/>
        <w:br w:type="textWrapping"/>
        <w:t xml:space="preserve">    DET --&gt; GATE{"CI/CD gate"}</w:t>
        <w:br w:type="textWrapping"/>
        <w:t xml:space="preserve">    JUDGE --&gt; GATE</w:t>
        <w:br w:type="textWrapping"/>
        <w:br w:type="textWrapping"/>
        <w:t xml:space="preserve">    GATE -- "any threshold missed\\nor zero-tolerance failure" --&gt; BLOCK\["Block merge / deploy"]</w:t>
        <w:br w:type="textWrapping"/>
        <w:t xml:space="preserve">    GATE -- "all gates pass" --&gt; DEPLOY\["Deploy"]</w:t>
        <w:br w:type="textWrapping"/>
        <w:br w:type="textWrapping"/>
        <w:t xml:space="preserve">    DEPLOY --&gt; PROD\[("Production traffic")]</w:t>
        <w:br w:type="textWrapping"/>
        <w:t xml:space="preserve">    PROD -- "sampled" --&gt; ONLINE\["Online evaluation\\nsame checks + judge, async"]</w:t>
        <w:br w:type="textWrapping"/>
        <w:t xml:space="preserve">    PROD --&gt; FEEDBACK\["User feedback\\nthumbs up/down, escalation rate"]</w:t>
        <w:br w:type="textWrapping"/>
        <w:t xml:space="preserve">    ONLINE --&gt; DRIFT\["Drift detection\\nscore/latency distribution vs. baseline"]</w:t>
        <w:br w:type="textWrapping"/>
        <w:br w:type="textWrapping"/>
        <w:t xml:space="preserve">    ONLINE -- "confirmed failure" --&gt; TRIAGE\["Triage: new dataset example"]</w:t>
        <w:br w:type="textWrapping"/>
        <w:t xml:space="preserve">    FEEDBACK -- "confirmed failure" --&gt; TRIAGE</w:t>
        <w:br w:type="textWrapping"/>
        <w:t xml:space="preserve">    DRIFT -- "confirmed failure" --&gt; TRIAGE</w:t>
        <w:br w:type="textWrapping"/>
        <w:t xml:space="preserve">    TRIAGE --&gt; REGRESSION\["Regression suite\\n(versioned with agent code)"]</w:t>
        <w:br w:type="textWrapping"/>
        <w:t xml:space="preserve">    REGRESSION --&gt; DS</w:t>
        <w:br w:type="textWrapping"/>
        <w:br w:type="textWrapping"/>
        <w:t xml:space="preserve">    UPGRADE\["New model version"] -- "pairwise shadow comparison\\nvs. current production" --&gt; GATE</w:t>
        <w:br w:type="textWrapping"/>
        <w:t>```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Reading this alongside the review</w:t>
      </w:r>
    </w:p>
    <w:p>
      <w:pPr>
        <w:numPr>
          <w:ilvl w:val="1"/>
          <w:numId w:val="1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The </w:t>
      </w:r>
      <w:r>
        <w:rPr>
          <w:rFonts w:eastAsia="Times New Roman"/>
          <w:b/>
          <w:bCs/>
          <w:color w:val="000000"/>
          <w:sz w:val="28"/>
          <w:szCs w:val="28"/>
        </w:rPr>
        <w:t>feedback loop at the bottom</w:t>
      </w:r>
      <w:r>
        <w:rPr>
          <w:rFonts w:eastAsia="Times New Roman"/>
          <w:color w:val="000000"/>
          <w:sz w:val="28"/>
          <w:szCs w:val="28"/>
        </w:rPr>
        <w:t xml:space="preserve"> (production → triage → regression</w:t>
        <w:br w:type="textWrapping"/>
        <w:t>suite → back into the dataset) is Section 3 and Section 6 in one</w:t>
        <w:br w:type="textWrapping"/>
        <w:t>picture: nothing identified in production disappears after the</w:t>
        <w:br w:type="textWrapping"/>
        <w:t>incident is resolved — it becomes a permanent, versioned test.</w:t>
      </w:r>
    </w:p>
    <w:p>
      <w:pPr>
        <w:numPr>
          <w:ilvl w:val="1"/>
          <w:numId w:val="1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Human-labeled calibration feeds the judge, not the gate directly</w:t>
      </w:r>
      <w:r>
        <w:rPr>
          <w:rFonts w:eastAsia="Times New Roman"/>
          <w:color w:val="000000"/>
          <w:sz w:val="28"/>
          <w:szCs w:val="28"/>
        </w:rPr>
        <w:t xml:space="preserve"> —</w:t>
        <w:br w:type="textWrapping"/>
        <w:t>the gate itself runs on deterministic checks + judge scores; human</w:t>
        <w:br w:type="textWrapping"/>
        <w:t>labeling is periodic and off the critical path, exactly because</w:t>
        <w:br w:type="textWrapping"/>
        <w:t>requiring human review on every CI run would defeat the purpose of</w:t>
        <w:br w:type="textWrapping"/>
        <w:t>automating the gate at all.</w:t>
      </w:r>
    </w:p>
    <w:p>
      <w:pPr>
        <w:numPr>
          <w:ilvl w:val="1"/>
          <w:numId w:val="1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The CI gate and the model-upgrade path converge on the same gate</w:t>
      </w:r>
      <w:r>
        <w:rPr>
          <w:rFonts w:eastAsia="Times New Roman"/>
          <w:color w:val="000000"/>
          <w:sz w:val="28"/>
          <w:szCs w:val="28"/>
        </w:rPr>
        <w:t xml:space="preserve"> —</w:t>
        <w:br w:type="textWrapping"/>
        <w:t>a new model version doesn't get a separate, lighter-weight approval</w:t>
        <w:br w:type="textWrapping"/>
        <w:t>process; it has to clear the identical bar plus the additional</w:t>
        <w:br w:type="textWrapping"/>
        <w:t>pairwise shadow comparison from Section 8.</w:t>
      </w:r>
    </w:p>
    <w:p>
      <w:p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p>
      <w:p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Production Evaluation Strategy Review: Enterprise Operations Assistant (Financial Services)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Scenario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An AI-powered operations assistant for a financial services company:</w:t>
        <w:br w:type="textWrapping"/>
        <w:t>enterprise knowledge access, multiple tools, workflow automation for</w:t>
        <w:br w:type="textWrapping"/>
        <w:t>internal employees, operating under regulatory oversight. Leadership</w:t>
        <w:br w:type="textWrapping"/>
        <w:t>requires a rigorous, documented evaluation process before production</w:t>
        <w:br w:type="textWrapping"/>
        <w:t>approval. This review defines that process. Where noted, it draws on a</w:t>
        <w:br w:type="textWrapping"/>
        <w:t>working evaluation pipeline built for a smaller agent in an earlier</w:t>
        <w:br w:type="textWrapping"/>
        <w:t>exercise — including a judge-calibration exercise that produced a real</w:t>
        <w:br w:type="textWrapping"/>
        <w:t>Cohen's kappa of 0.451 and surfaced a specific, actionable rubric gap —</w:t>
        <w:br w:type="textWrapping"/>
        <w:t>since some of the design decisions below come from having actually run</w:t>
        <w:br w:type="textWrapping"/>
        <w:t>this kind of pipeline, not just reasoning about it.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1. Evaluation Objectives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Success is defined at three levels, each with a measurable target, not</w:t>
        <w:br w:type="textWrapping"/>
        <w:t>a vibe:</w:t>
      </w:r>
    </w:p>
    <w:p>
      <w:pPr>
        <w:numPr>
          <w:ilvl w:val="1"/>
          <w:numId w:val="1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Task success</w:t>
      </w:r>
      <w:r>
        <w:rPr>
          <w:rFonts w:eastAsia="Times New Roman"/>
          <w:color w:val="000000"/>
          <w:sz w:val="28"/>
          <w:szCs w:val="28"/>
        </w:rPr>
        <w:t xml:space="preserve">: task completion rate on a held-out dataset (target≥95% for non-adversarial categories), and a hard </w:t>
      </w:r>
      <w:r>
        <w:rPr>
          <w:rFonts w:eastAsia="Times New Roman"/>
          <w:b/>
          <w:bCs/>
          <w:color w:val="000000"/>
          <w:sz w:val="28"/>
          <w:szCs w:val="28"/>
        </w:rPr>
        <w:t>zero-tolerance</w:t>
      </w:r>
      <w:r>
        <w:rPr>
          <w:rFonts w:eastAsia="Times New Roman"/>
          <w:color w:val="000000"/>
          <w:sz w:val="28"/>
          <w:szCs w:val="28"/>
        </w:rPr>
        <w:t xml:space="preserve"> bar on unauthorized state-changing actions (any adversarial or edge case that results in an unverified transaction, transfer, or account change is an automatic block, not a score that averages out).</w:t>
      </w:r>
    </w:p>
    <w:p>
      <w:pPr>
        <w:numPr>
          <w:ilvl w:val="1"/>
          <w:numId w:val="1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Quality</w:t>
      </w:r>
      <w:r>
        <w:rPr>
          <w:rFonts w:eastAsia="Times New Roman"/>
          <w:color w:val="000000"/>
          <w:sz w:val="28"/>
          <w:szCs w:val="28"/>
        </w:rPr>
        <w:t>: judge-scored reasoning quality, completeness,helpfulness, and instruction-following (checklist rubric, Section 5), each with a minimum per-criterion floor, not just an average.</w:t>
      </w:r>
    </w:p>
    <w:p>
      <w:pPr>
        <w:numPr>
          <w:ilvl w:val="1"/>
          <w:numId w:val="1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Compliance-specific</w:t>
      </w:r>
      <w:r>
        <w:rPr>
          <w:rFonts w:eastAsia="Times New Roman"/>
          <w:color w:val="000000"/>
          <w:sz w:val="28"/>
          <w:szCs w:val="28"/>
        </w:rPr>
        <w:t>: audit-trail completeness (every tool call and its justification must be reconstructable after the fact — this is a regulatory requirement here, not a nice-to-have), and PII-handling correctness (no disclosure of account/customer data outside the requester's own authorized scope).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Business and compliance targets are tracked as separate rows in the same</w:t>
        <w:br w:type="textWrapping"/>
        <w:t>report, not blended into one score — a system can be quality-excellent</w:t>
        <w:br w:type="textWrapping"/>
        <w:t>and still compliance-blocking, and the report needs to make that visible</w:t>
        <w:br w:type="textWrapping"/>
        <w:t>rather than average it away.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2. Evaluation Levels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Three levels, each catching a failure mode the others miss:</w:t>
      </w:r>
    </w:p>
    <w:p>
      <w:pPr>
        <w:numPr>
          <w:ilvl w:val="1"/>
          <w:numId w:val="2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End-to-end</w:t>
      </w:r>
      <w:r>
        <w:rPr>
          <w:rFonts w:eastAsia="Times New Roman"/>
          <w:color w:val="000000"/>
          <w:sz w:val="28"/>
          <w:szCs w:val="28"/>
        </w:rPr>
        <w:t>: did the final outcome satisfy the request? Necessary because it's what the business actually cares about, but insufficient alone — a correct final answer reached via a wrong or unauthorized path (e.g. an answer that happens to be right despite skipping a required verification step) looks identical to a correct one at this level.</w:t>
      </w:r>
    </w:p>
    <w:p>
      <w:pPr>
        <w:numPr>
          <w:ilvl w:val="1"/>
          <w:numId w:val="2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Trajectory</w:t>
      </w:r>
      <w:r>
        <w:rPr>
          <w:rFonts w:eastAsia="Times New Roman"/>
          <w:color w:val="000000"/>
          <w:sz w:val="28"/>
          <w:szCs w:val="28"/>
        </w:rPr>
        <w:t>: which tools were called, in what order, with what parameters, and were any deterministic rules violated along the way (Section 4). This is what actually catches the case above — end-to-end correctness with a trajectory-level violation is exactly the failure mode a regulated environment cannot tolerate silently passing.</w:t>
      </w:r>
    </w:p>
    <w:p>
      <w:pPr>
        <w:numPr>
          <w:ilvl w:val="1"/>
          <w:numId w:val="2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Component</w:t>
      </w:r>
      <w:r>
        <w:rPr>
          <w:rFonts w:eastAsia="Times New Roman"/>
          <w:color w:val="000000"/>
          <w:sz w:val="28"/>
          <w:szCs w:val="28"/>
        </w:rPr>
        <w:t xml:space="preserve">: the retriever, individual tools, guardrails, and memory evaluated in isolation against their own test sets (e.g. Retrieval precision/recall independent of what the agent does with what it retrieves). Necessary because an end-to-end or trajectory failure doesn't tell you </w:t>
      </w:r>
      <w:r>
        <w:rPr>
          <w:rFonts w:eastAsia="Times New Roman"/>
          <w:i/>
          <w:iCs/>
          <w:color w:val="000000"/>
          <w:sz w:val="28"/>
          <w:szCs w:val="28"/>
        </w:rPr>
        <w:t>which</w:t>
      </w:r>
      <w:r>
        <w:rPr>
          <w:rFonts w:eastAsia="Times New Roman"/>
          <w:color w:val="000000"/>
          <w:sz w:val="28"/>
          <w:szCs w:val="28"/>
        </w:rPr>
        <w:t xml:space="preserve"> component regressed — component-level tests isolate that to the right owner and the right fix.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3. Dataset Design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Four categories, deliberately mixed, not a happy-path set with a few adversarial examples added for coverage: </w:t>
      </w:r>
      <w:r>
        <w:rPr>
          <w:rFonts w:eastAsia="Times New Roman"/>
          <w:b/>
          <w:bCs/>
          <w:color w:val="000000"/>
          <w:sz w:val="28"/>
          <w:szCs w:val="28"/>
        </w:rPr>
        <w:t>normal</w:t>
      </w:r>
      <w:r>
        <w:rPr>
          <w:rFonts w:eastAsia="Times New Roman"/>
          <w:color w:val="000000"/>
          <w:sz w:val="28"/>
          <w:szCs w:val="28"/>
        </w:rPr>
        <w:t xml:space="preserve"> (realistic day-to-day requests), </w:t>
      </w:r>
      <w:r>
        <w:rPr>
          <w:rFonts w:eastAsia="Times New Roman"/>
          <w:b/>
          <w:bCs/>
          <w:color w:val="000000"/>
          <w:sz w:val="28"/>
          <w:szCs w:val="28"/>
        </w:rPr>
        <w:t>edge</w:t>
      </w:r>
      <w:r>
        <w:rPr>
          <w:rFonts w:eastAsia="Times New Roman"/>
          <w:color w:val="000000"/>
          <w:sz w:val="28"/>
          <w:szCs w:val="28"/>
        </w:rPr>
        <w:t xml:space="preserve"> (degenerate input, compound multi-part requests, ambiguous references), </w:t>
      </w:r>
      <w:r>
        <w:rPr>
          <w:rFonts w:eastAsia="Times New Roman"/>
          <w:b/>
          <w:bCs/>
          <w:color w:val="000000"/>
          <w:sz w:val="28"/>
          <w:szCs w:val="28"/>
        </w:rPr>
        <w:t>known-failure/regression</w:t>
      </w:r>
      <w:r>
        <w:rPr>
          <w:rFonts w:eastAsia="Times New Roman"/>
          <w:color w:val="000000"/>
          <w:sz w:val="28"/>
          <w:szCs w:val="28"/>
        </w:rPr>
        <w:t xml:space="preserve"> (previously identified failures, converted to permanent tests — see Section 6), and</w:t>
      </w:r>
      <w:r>
        <w:rPr>
          <w:rFonts w:eastAsia="Times New Roman"/>
          <w:color w:val="000000"/>
          <w:sz w:val="28"/>
          <w:szCs w:val="28"/>
        </w:rPr>
        <w:t xml:space="preserve"> </w:t>
      </w:r>
      <w:r>
        <w:rPr>
          <w:rFonts w:eastAsia="Times New Roman"/>
          <w:b/>
          <w:bCs/>
          <w:color w:val="000000"/>
          <w:sz w:val="28"/>
          <w:szCs w:val="28"/>
        </w:rPr>
        <w:t>adversarial</w:t>
      </w:r>
      <w:r>
        <w:rPr>
          <w:rFonts w:eastAsia="Times New Roman"/>
          <w:color w:val="000000"/>
          <w:sz w:val="28"/>
          <w:szCs w:val="28"/>
        </w:rPr>
        <w:t xml:space="preserve"> (direct and indirect prompt injection, false-fact</w:t>
        <w:br w:type="textWrapping"/>
        <w:t>injection targeting memory, resource-exhaustion requests, PII exfiltration attempts).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Growth over time</w:t>
      </w:r>
      <w:r>
        <w:rPr>
          <w:rFonts w:eastAsia="Times New Roman"/>
          <w:color w:val="000000"/>
          <w:sz w:val="28"/>
          <w:szCs w:val="28"/>
        </w:rPr>
        <w:t>: the dataset is not static. Every production incident or reported failure is triaged into a new dataset example with a documented expected behavior, then merged as a permanent regression test — the same failure-to-test loop demonstrated concretely in the referenced pipeline, where three previously-fixed bugs (a retrieval chunking error, a memory-persistence gap, and an embedding-quality regression) became three permanent regression tests, all still passing.</w:t>
        <w:br w:type="textWrapping"/>
      </w:r>
      <w:r>
        <w:rPr>
          <w:rFonts w:eastAsia="Times New Roman"/>
          <w:b/>
          <w:bCs/>
          <w:color w:val="000000"/>
          <w:sz w:val="28"/>
          <w:szCs w:val="28"/>
        </w:rPr>
        <w:t>Maintenance</w:t>
      </w:r>
      <w:r>
        <w:rPr>
          <w:rFonts w:eastAsia="Times New Roman"/>
          <w:color w:val="000000"/>
          <w:sz w:val="28"/>
          <w:szCs w:val="28"/>
        </w:rPr>
        <w:t>: dataset examples are reviewed quarterly for staleness (a policy question about a discontinued product is worse than useless — it's actively misleading), and the category mix ratio is tracked so adversarial/edge coverage doesn't silently shrink as normal-case volume grows.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4. Tool Evaluation Strategy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Deterministic, no model in the loop, for exactly the rules a regulated environment cannot leave to LLM judgment: </w:t>
      </w:r>
      <w:r>
        <w:rPr>
          <w:rFonts w:eastAsia="Times New Roman"/>
          <w:b/>
          <w:bCs/>
          <w:color w:val="000000"/>
          <w:sz w:val="28"/>
          <w:szCs w:val="28"/>
        </w:rPr>
        <w:t>verification-before-action</w:t>
      </w:r>
      <w:r>
        <w:rPr>
          <w:rFonts w:eastAsia="Times New Roman"/>
          <w:color w:val="000000"/>
          <w:sz w:val="28"/>
          <w:szCs w:val="28"/>
        </w:rPr>
        <w:t xml:space="preserve"> (e.g. a status/eligibility check must appear in the trajectory before any state-changing tool call — checkable as a hard sequence constraint, not a suggestion), </w:t>
      </w:r>
      <w:r>
        <w:rPr>
          <w:rFonts w:eastAsia="Times New Roman"/>
          <w:b/>
          <w:bCs/>
          <w:color w:val="000000"/>
          <w:sz w:val="28"/>
          <w:szCs w:val="28"/>
        </w:rPr>
        <w:t>parameter correctness</w:t>
      </w:r>
      <w:r>
        <w:rPr>
          <w:rFonts w:eastAsia="Times New Roman"/>
          <w:color w:val="000000"/>
          <w:sz w:val="28"/>
          <w:szCs w:val="28"/>
        </w:rPr>
        <w:t xml:space="preserve"> (a transfer amount must match the source record, an account identifier must pass format validation before use, not after), and </w:t>
      </w:r>
      <w:r>
        <w:rPr>
          <w:rFonts w:eastAsia="Times New Roman"/>
          <w:b/>
          <w:bCs/>
          <w:color w:val="000000"/>
          <w:sz w:val="28"/>
          <w:szCs w:val="28"/>
        </w:rPr>
        <w:t>authorization scope</w:t>
      </w:r>
      <w:r>
        <w:rPr>
          <w:rFonts w:eastAsia="Times New Roman"/>
          <w:color w:val="000000"/>
          <w:sz w:val="28"/>
          <w:szCs w:val="28"/>
        </w:rPr>
        <w:t xml:space="preserve"> (a tool call must be consistent with the requester's actual role/permission level, checked against the request context, not inferred from conversation content). These checks are pass/fail with a specific, logged reason — never a score — because a regulator asking "how do you know this never happened" needs a yes/no answer with evidence, not a rubric average.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5. LLM-as-Judge Framework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Rubric</w:t>
      </w:r>
      <w:r>
        <w:rPr>
          <w:rFonts w:eastAsia="Times New Roman"/>
          <w:color w:val="000000"/>
          <w:sz w:val="28"/>
          <w:szCs w:val="28"/>
        </w:rPr>
        <w:t>: a checklist of discrete criteria (reasoning quality, completeness, helpfulness, instruction-following — each scored 0/1/2 with a required reason), not a single holistic score. A 3-point scale per criterion forces a defensible category rather than an arbitrary point on a wide numeric range.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Judging approach — both pointwise and pairwise, for different</w:t>
        <w:br w:type="textWrapping"/>
        <w:t>purposes</w:t>
      </w:r>
      <w:r>
        <w:rPr>
          <w:rFonts w:eastAsia="Times New Roman"/>
          <w:color w:val="000000"/>
          <w:sz w:val="28"/>
          <w:szCs w:val="28"/>
        </w:rPr>
        <w:t xml:space="preserve">: pointwise (absolute score per example) for ongoing quality gating against a fixed bar; </w:t>
      </w:r>
      <w:r>
        <w:rPr>
          <w:rFonts w:eastAsia="Times New Roman"/>
          <w:b/>
          <w:bCs/>
          <w:color w:val="000000"/>
          <w:sz w:val="28"/>
          <w:szCs w:val="28"/>
        </w:rPr>
        <w:t>pairwise</w:t>
      </w:r>
      <w:r>
        <w:rPr>
          <w:rFonts w:eastAsia="Times New Roman"/>
          <w:color w:val="000000"/>
          <w:sz w:val="28"/>
          <w:szCs w:val="28"/>
        </w:rPr>
        <w:t xml:space="preserve"> (compare candidate vs. Current production output on the same input) specifically for model-upgrade validation (Section 8) — pairwise comparison is materially more reliable for detecting a regression </w:t>
      </w:r>
      <w:r>
        <w:rPr>
          <w:rFonts w:eastAsia="Times New Roman"/>
          <w:i/>
          <w:iCs/>
          <w:color w:val="000000"/>
          <w:sz w:val="28"/>
          <w:szCs w:val="28"/>
        </w:rPr>
        <w:t>between two systems</w:t>
      </w:r>
      <w:r>
        <w:rPr>
          <w:rFonts w:eastAsia="Times New Roman"/>
          <w:color w:val="000000"/>
          <w:sz w:val="28"/>
          <w:szCs w:val="28"/>
        </w:rPr>
        <w:t xml:space="preserve"> than comparing two independently-generated pointwise scores, since it removes the judge's absolute scale as a confound.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Calibration</w:t>
      </w:r>
      <w:r>
        <w:rPr>
          <w:rFonts w:eastAsia="Times New Roman"/>
          <w:color w:val="000000"/>
          <w:sz w:val="28"/>
          <w:szCs w:val="28"/>
        </w:rPr>
        <w:t>: judge scores are compared against human-labeled scores on a held-out set, reporting both raw agreement and Cohen's kappa (chance-corrected — raw agreement alone overstates calibration when either grader clusters on one score). In the referenced pipeline, this process found kappa ≈ 0 specifically on the instruction-following</w:t>
        <w:br w:type="textWrapping"/>
        <w:t>criterion — the judge's scores were nearly all "fully meets" regardless</w:t>
        <w:br w:type="textWrapping"/>
        <w:t>of case — which is exactly the kind of finding calibration exists to</w:t>
        <w:br w:type="textWrapping"/>
        <w:t>catch, and led to a specific rubric addition (explicitly distinguishing</w:t>
        <w:br w:type="textWrapping"/>
        <w:t>"no violation because nothing happened" from "demonstrated compliance").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Known risks, named specifically</w:t>
      </w:r>
      <w:r>
        <w:rPr>
          <w:rFonts w:eastAsia="Times New Roman"/>
          <w:color w:val="000000"/>
          <w:sz w:val="28"/>
          <w:szCs w:val="28"/>
        </w:rPr>
        <w:t xml:space="preserve">: </w:t>
      </w:r>
      <w:r>
        <w:rPr>
          <w:rFonts w:eastAsia="Times New Roman"/>
          <w:b/>
          <w:bCs/>
          <w:color w:val="000000"/>
          <w:sz w:val="28"/>
          <w:szCs w:val="28"/>
        </w:rPr>
        <w:t>scale drift</w:t>
      </w:r>
      <w:r>
        <w:rPr>
          <w:rFonts w:eastAsia="Times New Roman"/>
          <w:color w:val="000000"/>
          <w:sz w:val="28"/>
          <w:szCs w:val="28"/>
        </w:rPr>
        <w:t xml:space="preserve"> — a judge's implicit notion of what a "2" looks like shifts over time or across model versions — mitigated by periodic re-calibration against a </w:t>
      </w:r>
      <w:r>
        <w:rPr>
          <w:rFonts w:eastAsia="Times New Roman"/>
          <w:i/>
          <w:iCs/>
          <w:color w:val="000000"/>
          <w:sz w:val="28"/>
          <w:szCs w:val="28"/>
        </w:rPr>
        <w:t>fixed</w:t>
      </w:r>
      <w:r>
        <w:rPr>
          <w:rFonts w:eastAsia="Times New Roman"/>
          <w:color w:val="000000"/>
          <w:sz w:val="28"/>
          <w:szCs w:val="28"/>
        </w:rPr>
        <w:t xml:space="preserve"> gold-labeled set (not one that's itself evolving) and alerting on a kappa drop between calibration runs. </w:t>
      </w:r>
      <w:r>
        <w:rPr>
          <w:rFonts w:eastAsia="Times New Roman"/>
          <w:b/>
          <w:bCs/>
          <w:color w:val="000000"/>
          <w:sz w:val="28"/>
          <w:szCs w:val="28"/>
        </w:rPr>
        <w:t>Position bias</w:t>
      </w:r>
      <w:r>
        <w:rPr>
          <w:rFonts w:eastAsia="Times New Roman"/>
          <w:color w:val="000000"/>
          <w:sz w:val="28"/>
          <w:szCs w:val="28"/>
        </w:rPr>
        <w:t xml:space="preserve"> — in pairwise comparisons, a judge favoring whichever output is shown first — mitigated by running every pairwise comparison twice with order swapped and requiring a consistent preference; an inconsistent result is treated as a tie, not resolved in either direction.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6. Regression Testing Strategy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Every confirmed production failure becomes a permanent test, versioned alongside the agent's own codebase (same repository, same PR review), not a separate untracked artifact. Each regression test records: the original failure, the fix, and the specific assertion that would have caught it — so the test's purpose stays legible years later, not just its pass/fail state. The suite is </w:t>
      </w:r>
      <w:r>
        <w:rPr>
          <w:rFonts w:eastAsia="Times New Roman"/>
          <w:b/>
          <w:bCs/>
          <w:color w:val="000000"/>
          <w:sz w:val="28"/>
          <w:szCs w:val="28"/>
        </w:rPr>
        <w:t>append-only in practice, pruned on a schedule</w:t>
      </w:r>
      <w:r>
        <w:rPr>
          <w:rFonts w:eastAsia="Times New Roman"/>
          <w:color w:val="000000"/>
          <w:sz w:val="28"/>
          <w:szCs w:val="28"/>
        </w:rPr>
        <w:t>: a quarterly review removes tests tied to genuinely</w:t>
        <w:br w:type="textWrapping"/>
        <w:t>deprecated functionality, but nothing is removed silently or without a</w:t>
        <w:br w:type="textWrapping"/>
        <w:t>recorded justification, since a shrinking regression suite is itself a</w:t>
        <w:br w:type="textWrapping"/>
        <w:t>risk signal worth being able to audit.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7. CI/CD Integration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The full dataset (deterministic checks + judge scoring) runs on every pull request touching agent logic, tools, prompts, or retrieval configuration — not just before a release. </w:t>
      </w:r>
      <w:r>
        <w:rPr>
          <w:rFonts w:eastAsia="Times New Roman"/>
          <w:b/>
          <w:bCs/>
          <w:color w:val="000000"/>
          <w:sz w:val="28"/>
          <w:szCs w:val="28"/>
        </w:rPr>
        <w:t>Gates that block a merge/ deploy</w:t>
      </w:r>
      <w:r>
        <w:rPr>
          <w:rFonts w:eastAsia="Times New Roman"/>
          <w:color w:val="000000"/>
          <w:sz w:val="28"/>
          <w:szCs w:val="28"/>
        </w:rPr>
        <w:t>: task success rate below threshold, any deterministic-check failure in the known-failure/regression or adversarial categories (zero tolerance, not averaged), p95 latency above budget, cost-per-</w:t>
        <w:br w:type="textWrapping"/>
        <w:t>interaction above budget, and judge score below the per-criterion floor on any criterion (not just the average). A full run additionally executes nightly against a rotating sample of recent production interactions (anonymized), catching drift the static dataset alone wouldn't surface between releases.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8. Monitoring and Continuous Evaluation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Online evaluation</w:t>
      </w:r>
      <w:r>
        <w:rPr>
          <w:rFonts w:eastAsia="Times New Roman"/>
          <w:color w:val="000000"/>
          <w:sz w:val="28"/>
          <w:szCs w:val="28"/>
        </w:rPr>
        <w:t>: a sampled percentage of live production interactions are asynchronously scored by the same judge and deterministic checks used in CI, so production behavior is measured against the same bar as pre-deploy testing, not a separate weaker one.</w:t>
        <w:br w:type="textWrapping"/>
      </w:r>
      <w:r>
        <w:rPr>
          <w:rFonts w:eastAsia="Times New Roman"/>
          <w:b/>
          <w:bCs/>
          <w:color w:val="000000"/>
          <w:sz w:val="28"/>
          <w:szCs w:val="28"/>
        </w:rPr>
        <w:t>User feedback</w:t>
      </w:r>
      <w:r>
        <w:rPr>
          <w:rFonts w:eastAsia="Times New Roman"/>
          <w:color w:val="000000"/>
          <w:sz w:val="28"/>
          <w:szCs w:val="28"/>
        </w:rPr>
        <w:t>: explicit signals (thumbs up/down, escalation-to-human rate) are tracked as a leading indicator distinct from judge scores, since users notice failure modes a rubric might not anticipate.</w:t>
        <w:br w:type="textWrapping"/>
      </w:r>
      <w:r>
        <w:rPr>
          <w:rFonts w:eastAsia="Times New Roman"/>
          <w:b/>
          <w:bCs/>
          <w:color w:val="000000"/>
          <w:sz w:val="28"/>
          <w:szCs w:val="28"/>
        </w:rPr>
        <w:t>Drift detection</w:t>
      </w:r>
      <w:r>
        <w:rPr>
          <w:rFonts w:eastAsia="Times New Roman"/>
          <w:color w:val="000000"/>
          <w:sz w:val="28"/>
          <w:szCs w:val="28"/>
        </w:rPr>
        <w:t xml:space="preserve">: the distribution of judge scores, retrieval relevance scores, and tool-call patterns is tracked over time against a baseline window; a statistically significant shift triggers review before it becomes a customer-visible incident. </w:t>
      </w:r>
      <w:r>
        <w:rPr>
          <w:rFonts w:eastAsia="Times New Roman"/>
          <w:b/>
          <w:bCs/>
          <w:color w:val="000000"/>
          <w:sz w:val="28"/>
          <w:szCs w:val="28"/>
        </w:rPr>
        <w:t>Model upgrade validation</w:t>
      </w:r>
      <w:r>
        <w:rPr>
          <w:rFonts w:eastAsia="Times New Roman"/>
          <w:color w:val="000000"/>
          <w:sz w:val="28"/>
          <w:szCs w:val="28"/>
        </w:rPr>
        <w:t xml:space="preserve">: before a new underlying model version is adopted, it runs through the full offline suite </w:t>
      </w:r>
      <w:r>
        <w:rPr>
          <w:rFonts w:eastAsia="Times New Roman"/>
          <w:i/>
          <w:iCs/>
          <w:color w:val="000000"/>
          <w:sz w:val="28"/>
          <w:szCs w:val="28"/>
        </w:rPr>
        <w:t>and</w:t>
      </w:r>
      <w:r>
        <w:rPr>
          <w:rFonts w:eastAsia="Times New Roman"/>
          <w:color w:val="000000"/>
          <w:sz w:val="28"/>
          <w:szCs w:val="28"/>
        </w:rPr>
        <w:t xml:space="preserve"> a pairwise shadow comparison against the current production model on live (mirrored, non-acting) traffic — a canary rollout only proceeds after both pass, not either alone.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9. Risk Assessment</w:t>
      </w:r>
    </w:p>
    <w:tbl>
      <w:tblPr>
        <w:name w:val="Table1"/>
        <w:tabOrder w:val="0"/>
        <w:jc w:val="left"/>
        <w:tblInd w:w="0" w:type="dxa"/>
        <w:tblW w:w="22452" w:type="dxa"/>
        <w:pPr>
          <w:widowControl/>
          <w:rPr>
            <w:rFonts w:eastAsia="Times New Roman"/>
            <w:color w:val="000000"/>
            <w:sz w:val="28"/>
            <w:szCs w:val="28"/>
          </w:rPr>
        </w:pPr>
      </w:tblPr>
      <w:tblGrid>
        <w:gridCol w:w="11226"/>
        <w:gridCol w:w="11226"/>
      </w:tblGrid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Blind spot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Mitigation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Distribution shift — the dataset reflects last quarter's products/policies, not today's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Quarterly dataset staleness review (Section 3); online evaluation against live traffic (Section 8) catches drift the static set can't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Judge bias — a judge sharing blind spots with the model it evaluates, especially from the same provider/training lineage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Periodic calibration against human review (Section 5) as the ultimate check, not judge self-consistency; consider an independent second judge model for the highest-stakes criteria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Unanticipated adversarial inputs — the adversarial dataset only covers known attack patterns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Production monitoring (Section 8) treats anomalous trajectories as a discovery mechanism, not just a scoring input — a genuinely novel attack surfaces as an outlier before it's in the dataset, and gets converted into a new regression test (Section 6) once identified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Regulatory explainability — a rubric-based judge score is not, by itself, an audit trail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Deterministic checks (Section 4), not judge scores, are the artifact regulatory review relies on; judge/quality scores support continuous improvement but are not the compliance record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Position/scale bias in the judge itself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Addressed directly in Section 5 (order-swapped pairwise comparisons, periodic recalibration against a fixed gold set)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Regression suite growing stale or being quietly weakened over time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78990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Append-only-in-practice policy with recorded justification for any removal (Section 6), reviewed on the same cadence as the dataset itself</w:t>
            </w:r>
          </w:p>
        </w:tc>
      </w:tr>
    </w:tbl>
    <w:p>
      <w:pPr>
        <w:widowControl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rStyle w:val="char0"/>
      </w:rPr>
    </w:lvl>
    <w:lvl w:ilvl="1">
      <w:numFmt w:val="bullet"/>
      <w:lvlText w:val="·"/>
      <w:lvlJc w:val="left"/>
      <w:pPr>
        <w:tabs>
          <w:tab w:val="num" w:pos="0"/>
        </w:tabs>
        <w:ind w:left="0" w:hanging="0"/>
      </w:pPr>
      <w:rPr>
        <w:rStyle w:val="char0"/>
        <w:rFonts w:ascii="Symbol" w:hAnsi="Symbol" w:eastAsia="Symbol" w:cs="Symbol"/>
      </w:r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">
    <w:multiLevelType w:val="hybridMultilevel"/>
    <w:name w:val="Numbered list 2"/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rStyle w:val="char0"/>
      </w:rPr>
    </w:lvl>
    <w:lvl w:ilvl="1">
      <w:numFmt w:val="bullet"/>
      <w:lvlText w:val="·"/>
      <w:lvlJc w:val="left"/>
      <w:pPr>
        <w:tabs>
          <w:tab w:val="num" w:pos="0"/>
        </w:tabs>
        <w:ind w:left="0" w:hanging="0"/>
      </w:pPr>
      <w:rPr>
        <w:rStyle w:val="char0"/>
        <w:rFonts w:ascii="Symbol" w:hAnsi="Symbol" w:eastAsia="Symbol" w:cs="Symbol"/>
      </w:r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4"/>
    <w:tmLastPosSelect w:val="0"/>
    <w:tmLastPosFrameIdx w:val="7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7789904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2026-08-27T00:08:53Z</dcterms:created>
  <dcterms:modified xsi:type="dcterms:W3CDTF">2026-08-27T00:18:24Z</dcterms:modified>
</cp:coreProperties>
</file>