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 AI Agent Security &amp; Threat Modeling Review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Security review and threat model for a concrete agentic system: an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**internal-ops MCP agent** that answers employee-directory and IT-ticket questions and can reset a user's password (destructive, gated). This is the same shape of system reviewed architecturally elsewhere in this coursework — here the focus is entirely security: trust boundaries, STRIDE threats, governance policy, incident response, and monitoring.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## Contents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Document | Covers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|---|---|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This README | ADR: trust boundaries, principals, data classification (one page)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[docs/threat-model-stride.md](docs/threat-model-stride.md) | STRIDE threat model — all 6 categories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[docs/policy-matrix.md](docs/policy-matrix.md) | 4 governance rules with enforcement points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[docs/incident-response-runbook.md](docs/incident-response-runbook.md) | Runbook for suspected prompt-injection / tool-poisoning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[docs/monitoring-signals.md](docs/monitoring-signals.md) | Monitoring signals and alerts for the top 3 risks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---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## ADR: Trust Boundaries, Principals, Data Classification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### System under review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An internal-ops agent: a user asks a question via a chat client; the client (host + LLM) calls an MCP server exposing three tools — `query_employee_directory` (read), `check_it_ticket_status` (read), and `reset_user_password` (destructive, approval-gated) — which in turn reads from an employee directory and a ticketing system, and would call an identity-provider admin API for password resets.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### Trust boundaries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[User] --(1)--&gt; [MCP Client / Host + LLM] --(2)--&gt; [MCP Server] --(3)--&gt; [Backend systems]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1. **User ↔ Client.** The user's intent enters the system here in free text. Nothing about this input is trusted — it's the primary injection surface, both directly and indirectly (via content the agent later retrieves and re-reads).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2. **Client ↔ Server, over the network.** Requires authentication (bearer token) before anything crosses. The LLM itself sits on the client side of this boundary and is treated as **untrusted for taking actions** — it can *propose* a tool call, but the server- and client-side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 governance layers (auth, tool allow-list, approval gate) decide whether it executes, not the model's own judgment.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3. **Server ↔ backend systems.** The server holds credentials to real systems (directory, ticketing, identity provider). Data crossing back *into* the agent from here (ticket text, directory records) is treated as untrusted content once it re-enters the LLM's context, even though the systems themselves are trusted infrastructure.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### Principals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Principal | Trust level | Notes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End user | Identified, role-scoped (`oncall_engineer` / `viewer`) | Authenticated via the client; role determines which tools are reachable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MCP client (host + LLM) | Partially trusted | Trusted to enforce the approval gate and tool allow-list; the LLM's *output* is never trusted directly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MCP server | Trusted | Holds backend credentials; enforces auth and returns sanitized data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Backend systems (directory, ticketing, IdP) | Trusted infrastructure | Data read from them becomes untrusted once in LLM context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An external/third party (e.g. a ticket submitter) | Untrusted | Can indirectly reach the LLM's context via ticket text the agent reads — this is the main spoofing/injection vector to design around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### Data classification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Class | Examples | Handling requirement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**Public** | Tool names, tool descriptions, schema shapes | No restriction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**Internal** | Ticket status, ticket IDs, non-PII metadata | Available to any authenticated session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**Sensitive (PII)** | Employee name, username, department | Returned only in response to a specific, scoped query; never bulk-dumped; subject to output sanitization before leaving the server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| **Restricted** | Auth tokens, signing secrets, password-reset actions | Never logged in full; password resets require the approval gate; tokens are short-lived and scope-checked |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This classification is what the policy matrix and monitoring signals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(below) are built against — a rule like "no PII exfiltration" only means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  <w:t>something once "PII" is defined this concretely.</w:t>
      </w:r>
    </w:p>
    <w:p>
      <w:pPr>
        <w:tabs defTabSz="720">
          <w:tab w:val="left" w:pos="-4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56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6129780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2026-08-07T19:07:30Z</dcterms:created>
  <dcterms:modified xsi:type="dcterms:W3CDTF">2026-08-07T19:09:40Z</dcterms:modified>
</cp:coreProperties>
</file>