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pPr>
      <w:r>
        <w:t xml:space="preserve">CHS Property Manager &amp; Estate Management Guide</w:t>
      </w:r>
    </w:p>
    <w:p>
      <w:pPr>
        <w:spacing w:after="120"/>
      </w:pPr>
      <w:r>
        <w:rPr>
          <w:i/>
          <w:iCs/>
          <w:color w:val="666666"/>
        </w:rPr>
        <w:t xml:space="preserve">Complete Housing Solutions — how to come on board as a manager, set up an estate, onboard units and occupants, and run day-to-day operations.</w:t>
      </w:r>
    </w:p>
    <w:p>
      <w:pPr>
        <w:pStyle w:val="Heading1"/>
        <w:spacing w:after="150" w:before="300"/>
      </w:pPr>
      <w:r>
        <w:t xml:space="preserve">1. Coming On Board as a Property Manager</w:t>
      </w:r>
    </w:p>
    <w:p>
      <w:pPr>
        <w:spacing w:after="120"/>
      </w:pPr>
      <w:r>
        <w:t xml:space="preserve">A property manager is simply a real CHS account with the manager role — the same account system everyone else uses, not a separate application process.</w:t>
      </w:r>
    </w:p>
    <w:p>
      <w:pPr>
        <w:spacing w:after="120"/>
      </w:pPr>
      <w:r>
        <w:rPr>
          <w:b/>
          <w:bCs/>
        </w:rPr>
        <w:t xml:space="preserve">If you're new to CHS: </w:t>
      </w:r>
      <w:r>
        <w:t xml:space="preserve">register normally, and choose "Property Manager" as your role. You'll be asked for your profession, any professional registration number you hold, and the states/areas you operate in.</w:t>
      </w:r>
    </w:p>
    <w:p>
      <w:pPr>
        <w:spacing w:after="120"/>
      </w:pPr>
      <w:r>
        <w:rPr>
          <w:b/>
          <w:bCs/>
        </w:rPr>
        <w:t xml:space="preserve">If you already have a CHS account: </w:t>
      </w:r>
      <w:r>
        <w:t xml:space="preserve">use "Link Account" from your profile to add the manager role to your existing account — you keep one login, one wallet, and can hold other roles (e.g. also being a property owner) at the same time.</w:t>
      </w:r>
    </w:p>
    <w:p>
      <w:pPr>
        <w:spacing w:after="120"/>
      </w:pPr>
      <w:r>
        <w:t xml:space="preserve">Once approved, "My Estates" appears in your dashboard. That's genuinely all the onboarding there is — no separate paperwork process outside the app.</w:t>
      </w:r>
    </w:p>
    <w:p>
      <w:pPr>
        <w:pStyle w:val="Heading1"/>
        <w:spacing w:after="150" w:before="300"/>
      </w:pPr>
      <w:r>
        <w:t xml:space="preserve">2. Setting Up Your Estate</w:t>
      </w:r>
    </w:p>
    <w:p>
      <w:pPr>
        <w:spacing w:after="120"/>
      </w:pPr>
      <w:r>
        <w:t xml:space="preserve">An estate is the real, top-level container for everything you manage — one estate can genuinely hold anywhere from a handful of units to several hundred.</w:t>
      </w:r>
    </w:p>
    <w:p>
      <w:pPr>
        <w:pStyle w:val="Heading2"/>
        <w:spacing w:after="100" w:before="200"/>
      </w:pPr>
      <w:r>
        <w:t xml:space="preserve">2.1 Create the estate</w:t>
      </w:r>
    </w:p>
    <w:p>
      <w:pPr>
        <w:spacing w:after="120"/>
      </w:pPr>
      <w:r>
        <w:t xml:space="preserve">From "My Estates," tap "+ New Estate" and provide:</w:t>
      </w:r>
    </w:p>
    <w:p>
      <w:pPr>
        <w:pStyle w:val="ListParagraph"/>
        <w:numPr>
          <w:ilvl w:val="0"/>
          <w:numId w:val="1"/>
        </w:numPr>
        <w:spacing w:after="60"/>
      </w:pPr>
      <w:r>
        <w:t xml:space="preserve">Estate name (e.g. "Malali Gardens Estate")</w:t>
      </w:r>
    </w:p>
    <w:p>
      <w:pPr>
        <w:pStyle w:val="ListParagraph"/>
        <w:numPr>
          <w:ilvl w:val="0"/>
          <w:numId w:val="1"/>
        </w:numPr>
        <w:spacing w:after="60"/>
      </w:pPr>
      <w:r>
        <w:t xml:space="preserve">Full address and state</w:t>
      </w:r>
    </w:p>
    <w:p>
      <w:pPr>
        <w:pStyle w:val="ListParagraph"/>
        <w:numPr>
          <w:ilvl w:val="0"/>
          <w:numId w:val="1"/>
        </w:numPr>
        <w:spacing w:after="60"/>
      </w:pPr>
      <w:r>
        <w:t xml:space="preserve">Approximate total units — this is for planning your subscription tier only, not a hard limit</w:t>
      </w:r>
    </w:p>
    <w:p>
      <w:pPr>
        <w:pStyle w:val="Heading2"/>
        <w:spacing w:after="100" w:before="200"/>
      </w:pPr>
      <w:r>
        <w:t xml:space="preserve">2.2 Subscribe</w:t>
      </w:r>
    </w:p>
    <w:p>
      <w:pPr>
        <w:spacing w:after="120"/>
      </w:pPr>
      <w:r>
        <w:t xml:space="preserve">An estate must be subscribed before it's active. Pricing is tiered by real unit count: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500"/>
            <w:shd w:fill="1E1B16" w:val="clear"/>
          </w:tcPr>
          <w:p>
            <w:r>
              <w:rPr>
                <w:b/>
                <w:bCs/>
                <w:color w:val="FFFFFF"/>
                <w:sz w:val="20"/>
                <w:szCs w:val="20"/>
              </w:rPr>
              <w:t xml:space="preserve">Tier</w:t>
            </w:r>
          </w:p>
        </w:tc>
        <w:tc>
          <w:tcPr>
            <w:tcW w:type="dxa" w:w="4500"/>
            <w:shd w:fill="1E1B16" w:val="clear"/>
          </w:tcPr>
          <w:p>
            <w:r>
              <w:rPr>
                <w:b/>
                <w:bCs/>
                <w:color w:val="FFFFFF"/>
                <w:sz w:val="20"/>
                <w:szCs w:val="20"/>
              </w:rPr>
              <w:t xml:space="preserve">Monthly Cost</w:t>
            </w:r>
          </w:p>
        </w:tc>
      </w:tr>
      <w:tr>
        <w:tc>
          <w:tcPr>
            <w:tcW w:type="dxa" w:w="4500"/>
          </w:tcPr>
          <w:p>
            <w:r>
              <w:rPr>
                <w:b w:val="false"/>
                <w:bCs w:val="false"/>
                <w:color w:val="000000"/>
                <w:sz w:val="20"/>
                <w:szCs w:val="20"/>
              </w:rPr>
              <w:t xml:space="preserve">Up to 50 units</w:t>
            </w:r>
          </w:p>
        </w:tc>
        <w:tc>
          <w:tcPr>
            <w:tcW w:type="dxa" w:w="4500"/>
          </w:tcPr>
          <w:p>
            <w:r>
              <w:rPr>
                <w:b w:val="false"/>
                <w:bCs w:val="false"/>
                <w:color w:val="000000"/>
                <w:sz w:val="20"/>
                <w:szCs w:val="20"/>
              </w:rPr>
              <w:t xml:space="preserve">₦75,000/month</w:t>
            </w:r>
          </w:p>
        </w:tc>
      </w:tr>
      <w:tr>
        <w:tc>
          <w:tcPr>
            <w:tcW w:type="dxa" w:w="4500"/>
          </w:tcPr>
          <w:p>
            <w:r>
              <w:rPr>
                <w:b w:val="false"/>
                <w:bCs w:val="false"/>
                <w:color w:val="000000"/>
                <w:sz w:val="20"/>
                <w:szCs w:val="20"/>
              </w:rPr>
              <w:t xml:space="preserve">51–200 units</w:t>
            </w:r>
          </w:p>
        </w:tc>
        <w:tc>
          <w:tcPr>
            <w:tcW w:type="dxa" w:w="4500"/>
          </w:tcPr>
          <w:p>
            <w:r>
              <w:rPr>
                <w:b w:val="false"/>
                <w:bCs w:val="false"/>
                <w:color w:val="000000"/>
                <w:sz w:val="20"/>
                <w:szCs w:val="20"/>
              </w:rPr>
              <w:t xml:space="preserve">₦180,000/month</w:t>
            </w:r>
          </w:p>
        </w:tc>
      </w:tr>
      <w:tr>
        <w:tc>
          <w:tcPr>
            <w:tcW w:type="dxa" w:w="4500"/>
          </w:tcPr>
          <w:p>
            <w:r>
              <w:rPr>
                <w:b w:val="false"/>
                <w:bCs w:val="false"/>
                <w:color w:val="000000"/>
                <w:sz w:val="20"/>
                <w:szCs w:val="20"/>
              </w:rPr>
              <w:t xml:space="preserve">201–500 units</w:t>
            </w:r>
          </w:p>
        </w:tc>
        <w:tc>
          <w:tcPr>
            <w:tcW w:type="dxa" w:w="4500"/>
          </w:tcPr>
          <w:p>
            <w:r>
              <w:rPr>
                <w:b w:val="false"/>
                <w:bCs w:val="false"/>
                <w:color w:val="000000"/>
                <w:sz w:val="20"/>
                <w:szCs w:val="20"/>
              </w:rPr>
              <w:t xml:space="preserve">₦350,000/month</w:t>
            </w:r>
          </w:p>
        </w:tc>
      </w:tr>
    </w:tbl>
    <w:p>
      <w:pPr>
        <w:spacing w:after="150"/>
      </w:pPr>
    </w:p>
    <w:p>
      <w:pPr>
        <w:spacing w:after="120"/>
      </w:pPr>
      <w:r>
        <w:t xml:space="preserve">Payment is drawn directly from your CHS wallet — fund it in advance from Wallet → Fund Wallet.</w:t>
      </w:r>
    </w:p>
    <w:p>
      <w:pPr>
        <w:pStyle w:val="Heading1"/>
        <w:spacing w:after="150" w:before="300"/>
      </w:pPr>
      <w:r>
        <w:t xml:space="preserve">3. Onboarding Units — One By One, or All At Once</w:t>
      </w:r>
    </w:p>
    <w:p>
      <w:pPr>
        <w:spacing w:after="120"/>
      </w:pPr>
      <w:r>
        <w:t xml:space="preserve">You do not have to upload units one at a time. From inside your estate's page, there's a real bulk CSV upload:</w:t>
      </w:r>
    </w:p>
    <w:p>
      <w:pPr>
        <w:spacing w:after="120"/>
      </w:pPr>
      <w:r>
        <w:rPr>
          <w:b/>
          <w:bCs/>
        </w:rPr>
        <w:t xml:space="preserve">Required CSV columns, exactly: </w:t>
      </w:r>
      <w:r>
        <w:t xml:space="preserve">unit_label, unit_type, purpose, price, bedrooms</w:t>
      </w:r>
    </w:p>
    <w:p>
      <w:pPr>
        <w:spacing w:after="120"/>
      </w:pPr>
      <w:r>
        <w:t xml:space="preserve">One row per real unit. A 60-unit estate is genuinely one file upload, not 60 separate forms. Example rows: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800"/>
            <w:shd w:fill="1E1B16" w:val="clear"/>
          </w:tcPr>
          <w:p>
            <w:r>
              <w:rPr>
                <w:b/>
                <w:bCs/>
                <w:color w:val="FFFFFF"/>
                <w:sz w:val="20"/>
                <w:szCs w:val="20"/>
              </w:rPr>
              <w:t xml:space="preserve">unit_label</w:t>
            </w:r>
          </w:p>
        </w:tc>
        <w:tc>
          <w:tcPr>
            <w:tcW w:type="dxa" w:w="1800"/>
            <w:shd w:fill="1E1B16" w:val="clear"/>
          </w:tcPr>
          <w:p>
            <w:r>
              <w:rPr>
                <w:b/>
                <w:bCs/>
                <w:color w:val="FFFFFF"/>
                <w:sz w:val="20"/>
                <w:szCs w:val="20"/>
              </w:rPr>
              <w:t xml:space="preserve">unit_type</w:t>
            </w:r>
          </w:p>
        </w:tc>
        <w:tc>
          <w:tcPr>
            <w:tcW w:type="dxa" w:w="1800"/>
            <w:shd w:fill="1E1B16" w:val="clear"/>
          </w:tcPr>
          <w:p>
            <w:r>
              <w:rPr>
                <w:b/>
                <w:bCs/>
                <w:color w:val="FFFFFF"/>
                <w:sz w:val="20"/>
                <w:szCs w:val="20"/>
              </w:rPr>
              <w:t xml:space="preserve">purpose</w:t>
            </w:r>
          </w:p>
        </w:tc>
        <w:tc>
          <w:tcPr>
            <w:tcW w:type="dxa" w:w="1800"/>
            <w:shd w:fill="1E1B16" w:val="clear"/>
          </w:tcPr>
          <w:p>
            <w:r>
              <w:rPr>
                <w:b/>
                <w:bCs/>
                <w:color w:val="FFFFFF"/>
                <w:sz w:val="20"/>
                <w:szCs w:val="20"/>
              </w:rPr>
              <w:t xml:space="preserve">price</w:t>
            </w:r>
          </w:p>
        </w:tc>
        <w:tc>
          <w:tcPr>
            <w:tcW w:type="dxa" w:w="1800"/>
            <w:shd w:fill="1E1B16" w:val="clear"/>
          </w:tcPr>
          <w:p>
            <w:r>
              <w:rPr>
                <w:b/>
                <w:bCs/>
                <w:color w:val="FFFFFF"/>
                <w:sz w:val="20"/>
                <w:szCs w:val="20"/>
              </w:rPr>
              <w:t xml:space="preserve">bedrooms</w:t>
            </w:r>
          </w:p>
        </w:tc>
      </w:tr>
      <w:tr>
        <w:tc>
          <w:tcPr>
            <w:tcW w:type="dxa" w:w="1800"/>
          </w:tcPr>
          <w:p>
            <w:r>
              <w:rPr>
                <w:b w:val="false"/>
                <w:bCs w:val="false"/>
                <w:color w:val="000000"/>
                <w:sz w:val="20"/>
                <w:szCs w:val="20"/>
              </w:rPr>
              <w:t xml:space="preserve">Block A-1</w:t>
            </w:r>
          </w:p>
        </w:tc>
        <w:tc>
          <w:tcPr>
            <w:tcW w:type="dxa" w:w="1800"/>
          </w:tcPr>
          <w:p>
            <w:r>
              <w:rPr>
                <w:b w:val="false"/>
                <w:bCs w:val="false"/>
                <w:color w:val="000000"/>
                <w:sz w:val="20"/>
                <w:szCs w:val="20"/>
              </w:rPr>
              <w:t xml:space="preserve">Flat</w:t>
            </w:r>
          </w:p>
        </w:tc>
        <w:tc>
          <w:tcPr>
            <w:tcW w:type="dxa" w:w="1800"/>
          </w:tcPr>
          <w:p>
            <w:r>
              <w:rPr>
                <w:b w:val="false"/>
                <w:bCs w:val="false"/>
                <w:color w:val="000000"/>
                <w:sz w:val="20"/>
                <w:szCs w:val="20"/>
              </w:rPr>
              <w:t xml:space="preserve">rent</w:t>
            </w:r>
          </w:p>
        </w:tc>
        <w:tc>
          <w:tcPr>
            <w:tcW w:type="dxa" w:w="1800"/>
          </w:tcPr>
          <w:p>
            <w:r>
              <w:rPr>
                <w:b w:val="false"/>
                <w:bCs w:val="false"/>
                <w:color w:val="000000"/>
                <w:sz w:val="20"/>
                <w:szCs w:val="20"/>
              </w:rPr>
              <w:t xml:space="preserve">450000</w:t>
            </w:r>
          </w:p>
        </w:tc>
        <w:tc>
          <w:tcPr>
            <w:tcW w:type="dxa" w:w="1800"/>
          </w:tcPr>
          <w:p>
            <w:r>
              <w:rPr>
                <w:b w:val="false"/>
                <w:bCs w:val="false"/>
                <w:color w:val="000000"/>
                <w:sz w:val="20"/>
                <w:szCs w:val="20"/>
              </w:rPr>
              <w:t xml:space="preserve">2</w:t>
            </w:r>
          </w:p>
        </w:tc>
      </w:tr>
      <w:tr>
        <w:tc>
          <w:tcPr>
            <w:tcW w:type="dxa" w:w="1800"/>
          </w:tcPr>
          <w:p>
            <w:r>
              <w:rPr>
                <w:b w:val="false"/>
                <w:bCs w:val="false"/>
                <w:color w:val="000000"/>
                <w:sz w:val="20"/>
                <w:szCs w:val="20"/>
              </w:rPr>
              <w:t xml:space="preserve">Block A-2</w:t>
            </w:r>
          </w:p>
        </w:tc>
        <w:tc>
          <w:tcPr>
            <w:tcW w:type="dxa" w:w="1800"/>
          </w:tcPr>
          <w:p>
            <w:r>
              <w:rPr>
                <w:b w:val="false"/>
                <w:bCs w:val="false"/>
                <w:color w:val="000000"/>
                <w:sz w:val="20"/>
                <w:szCs w:val="20"/>
              </w:rPr>
              <w:t xml:space="preserve">Duplex</w:t>
            </w:r>
          </w:p>
        </w:tc>
        <w:tc>
          <w:tcPr>
            <w:tcW w:type="dxa" w:w="1800"/>
          </w:tcPr>
          <w:p>
            <w:r>
              <w:rPr>
                <w:b w:val="false"/>
                <w:bCs w:val="false"/>
                <w:color w:val="000000"/>
                <w:sz w:val="20"/>
                <w:szCs w:val="20"/>
              </w:rPr>
              <w:t xml:space="preserve">rent</w:t>
            </w:r>
          </w:p>
        </w:tc>
        <w:tc>
          <w:tcPr>
            <w:tcW w:type="dxa" w:w="1800"/>
          </w:tcPr>
          <w:p>
            <w:r>
              <w:rPr>
                <w:b w:val="false"/>
                <w:bCs w:val="false"/>
                <w:color w:val="000000"/>
                <w:sz w:val="20"/>
                <w:szCs w:val="20"/>
              </w:rPr>
              <w:t xml:space="preserve">650000</w:t>
            </w:r>
          </w:p>
        </w:tc>
        <w:tc>
          <w:tcPr>
            <w:tcW w:type="dxa" w:w="1800"/>
          </w:tcPr>
          <w:p>
            <w:r>
              <w:rPr>
                <w:b w:val="false"/>
                <w:bCs w:val="false"/>
                <w:color w:val="000000"/>
                <w:sz w:val="20"/>
                <w:szCs w:val="20"/>
              </w:rPr>
              <w:t xml:space="preserve">3</w:t>
            </w:r>
          </w:p>
        </w:tc>
      </w:tr>
    </w:tbl>
    <w:p>
      <w:pPr>
        <w:spacing w:after="150"/>
      </w:pPr>
    </w:p>
    <w:p>
      <w:pPr>
        <w:spacing w:after="120"/>
      </w:pPr>
      <w:r>
        <w:t xml:space="preserve">Every unit uploaded this way is a real, individual listing tied to your estate — it can be found, applied for, or assigned exactly like any other CHS property.</w:t>
      </w:r>
    </w:p>
    <w:p>
      <w:pPr>
        <w:pStyle w:val="Heading1"/>
        <w:spacing w:after="150" w:before="300"/>
      </w:pPr>
      <w:r>
        <w:t xml:space="preserve">4. Identifying Occupants — Tenants AND Owner-Occupiers</w:t>
      </w:r>
    </w:p>
    <w:p>
      <w:pPr>
        <w:spacing w:after="120"/>
      </w:pPr>
      <w:r>
        <w:t xml:space="preserve">This is the real, important distinction for a genuine Nigerian estate, and CHS now handles both cases properly.</w:t>
      </w:r>
    </w:p>
    <w:p>
      <w:pPr>
        <w:pStyle w:val="Heading2"/>
        <w:spacing w:after="100" w:before="200"/>
      </w:pPr>
      <w:r>
        <w:t xml:space="preserve">4.1 A renting tenant</w:t>
      </w:r>
    </w:p>
    <w:p>
      <w:pPr>
        <w:spacing w:after="120"/>
      </w:pPr>
      <w:r>
        <w:t xml:space="preserve">No special estate-specific link exists for this — a real tenant finds your unit exactly the way they'd find any rental listing (search, browse, or a direct share of the property link), then submits a rental application. You approve it from your estate dashboard the same way an individual landlord would. Approving it automatically:</w:t>
      </w:r>
    </w:p>
    <w:p>
      <w:pPr>
        <w:pStyle w:val="ListParagraph"/>
        <w:numPr>
          <w:ilvl w:val="0"/>
          <w:numId w:val="1"/>
        </w:numPr>
        <w:spacing w:after="60"/>
      </w:pPr>
      <w:r>
        <w:t xml:space="preserve">Creates the real tenancy record</w:t>
      </w:r>
    </w:p>
    <w:p>
      <w:pPr>
        <w:pStyle w:val="ListParagraph"/>
        <w:numPr>
          <w:ilvl w:val="0"/>
          <w:numId w:val="1"/>
        </w:numPr>
        <w:spacing w:after="60"/>
      </w:pPr>
      <w:r>
        <w:t xml:space="preserve">Marks the unit "rented" — it stops appearing as available to other search</w:t>
      </w:r>
    </w:p>
    <w:p>
      <w:pPr>
        <w:pStyle w:val="ListParagraph"/>
        <w:numPr>
          <w:ilvl w:val="0"/>
          <w:numId w:val="1"/>
        </w:numPr>
        <w:spacing w:after="60"/>
      </w:pPr>
      <w:r>
        <w:t xml:space="preserve">Generates the real commission invoices for both sides</w:t>
      </w:r>
    </w:p>
    <w:p>
      <w:pPr>
        <w:pStyle w:val="Heading2"/>
        <w:spacing w:after="100" w:before="200"/>
      </w:pPr>
      <w:r>
        <w:t xml:space="preserve">4.2 An owner-occupier (e.g. a monetization-scheme unit)</w:t>
      </w:r>
    </w:p>
    <w:p>
      <w:pPr>
        <w:spacing w:after="120"/>
      </w:pPr>
      <w:r>
        <w:t xml:space="preserve">For a unit genuinely owned outright by the person living there — no rent, no tenancy — go to the unit inside your estate page and tap "Mark as owner-occupied." Enter their real CHS phone number (they need an existing CHS account). This:</w:t>
      </w:r>
    </w:p>
    <w:p>
      <w:pPr>
        <w:pStyle w:val="ListParagraph"/>
        <w:numPr>
          <w:ilvl w:val="0"/>
          <w:numId w:val="1"/>
        </w:numPr>
        <w:spacing w:after="60"/>
      </w:pPr>
      <w:r>
        <w:t xml:space="preserve">Registers them as the real occupant of that specific unit, with no tenancy required</w:t>
      </w:r>
    </w:p>
    <w:p>
      <w:pPr>
        <w:pStyle w:val="ListParagraph"/>
        <w:numPr>
          <w:ilvl w:val="0"/>
          <w:numId w:val="1"/>
        </w:numPr>
        <w:spacing w:after="60"/>
      </w:pPr>
      <w:r>
        <w:t xml:space="preserve">Correctly counts the unit as occupied, not vacant, in your estate overview</w:t>
      </w:r>
    </w:p>
    <w:p>
      <w:pPr>
        <w:pStyle w:val="ListParagraph"/>
        <w:numPr>
          <w:ilvl w:val="0"/>
          <w:numId w:val="1"/>
        </w:numPr>
        <w:spacing w:after="60"/>
      </w:pPr>
      <w:r>
        <w:t xml:space="preserve">Lets them report maintenance faults on their own unit directly</w:t>
      </w:r>
    </w:p>
    <w:p>
      <w:pPr>
        <w:pStyle w:val="ListParagraph"/>
        <w:numPr>
          <w:ilvl w:val="0"/>
          <w:numId w:val="1"/>
        </w:numPr>
        <w:spacing w:after="60"/>
      </w:pPr>
      <w:r>
        <w:t xml:space="preserve">Includes them automatically when you bill a service charge to "all occupied units"</w:t>
      </w:r>
    </w:p>
    <w:p>
      <w:pPr>
        <w:spacing w:after="120"/>
      </w:pPr>
      <w:r>
        <w:t xml:space="preserve">If the person doesn't have a CHS account yet, they'll need to register first — any role works, since this only requires a real, findable phone number.</w:t>
      </w:r>
    </w:p>
    <w:p>
      <w:pPr>
        <w:pStyle w:val="Heading1"/>
        <w:spacing w:after="150" w:before="300"/>
      </w:pPr>
      <w:r>
        <w:t xml:space="preserve">5. Running Day-to-Day Operations</w:t>
      </w:r>
    </w:p>
    <w:p>
      <w:pPr>
        <w:pStyle w:val="Heading2"/>
        <w:spacing w:after="100" w:before="200"/>
      </w:pPr>
      <w:r>
        <w:t xml:space="preserve">5.1 Rent</w:t>
      </w:r>
    </w:p>
    <w:p>
      <w:pPr>
        <w:spacing w:after="120"/>
      </w:pPr>
      <w:r>
        <w:t xml:space="preserve">Rent for a rented (tenanted) unit flows through the same real rent payment and countdown system used everywhere else in CHS — you don't do anything extra as the manager beyond approving the original application.</w:t>
      </w:r>
    </w:p>
    <w:p>
      <w:pPr>
        <w:pStyle w:val="Heading2"/>
        <w:spacing w:after="100" w:before="200"/>
      </w:pPr>
      <w:r>
        <w:t xml:space="preserve">5.2 Service charges</w:t>
      </w:r>
    </w:p>
    <w:p>
      <w:pPr>
        <w:spacing w:after="120"/>
      </w:pPr>
      <w:r>
        <w:t xml:space="preserve">From your estate page, "Bill all occupied units" charges every genuinely occupied unit at once — both tenants and owner-occupiers — with one amount, one description, and one due date. No need to bill each unit individually.</w:t>
      </w:r>
    </w:p>
    <w:p>
      <w:pPr>
        <w:pStyle w:val="Heading2"/>
        <w:spacing w:after="100" w:before="200"/>
      </w:pPr>
      <w:r>
        <w:t xml:space="preserve">5.3 Maintenance</w:t>
      </w:r>
    </w:p>
    <w:p>
      <w:pPr>
        <w:spacing w:after="120"/>
      </w:pPr>
      <w:r>
        <w:t xml:space="preserve">Both a tenant and an owner-occupier can report a real fault on their own unit. It appears in your estate overview's "Pending maintenance" count, and follows the same real quotation → approval → payment flow already used platform-wide.</w:t>
      </w:r>
    </w:p>
    <w:p>
      <w:pPr>
        <w:pStyle w:val="Heading2"/>
        <w:spacing w:after="100" w:before="200"/>
      </w:pPr>
      <w:r>
        <w:t xml:space="preserve">5.4 Security and estate-wide updates</w:t>
      </w:r>
    </w:p>
    <w:p>
      <w:pPr>
        <w:spacing w:after="120"/>
      </w:pPr>
      <w:r>
        <w:t xml:space="preserve">Use a real service charge line item for security levies (e.g. "Q3 security and gatehouse fee"), billed the same way as any other charge. For general announcements, CHS's real notification system reaches every real occupant directly.</w:t>
      </w:r>
    </w:p>
    <w:p>
      <w:pPr>
        <w:pStyle w:val="Heading2"/>
        <w:spacing w:after="100" w:before="200"/>
      </w:pPr>
      <w:r>
        <w:t xml:space="preserve">5.5 Disputes</w:t>
      </w:r>
    </w:p>
    <w:p>
      <w:pPr>
        <w:spacing w:after="120"/>
      </w:pPr>
      <w:r>
        <w:t xml:space="preserve">A genuine dispute tied to a tenancy shows in your estate overview and follows the same real CHS dispute-resolution process used elsewhere.</w:t>
      </w:r>
    </w:p>
    <w:p>
      <w:pPr>
        <w:pStyle w:val="Heading1"/>
        <w:spacing w:after="150" w:before="300"/>
      </w:pPr>
      <w:r>
        <w:t xml:space="preserve">6. Real Demo Accounts for Practice</w:t>
      </w:r>
    </w:p>
    <w:p>
      <w:pPr>
        <w:spacing w:after="120"/>
      </w:pPr>
      <w:r>
        <w:t xml:space="preserve">Two real managers have been set up, each with five real estates, so you can practice everything above with genuine data before doing it live.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shd w:fill="1E1B16" w:val="clear"/>
          </w:tcPr>
          <w:p>
            <w:r>
              <w:rPr>
                <w:b/>
                <w:bCs/>
                <w:color w:val="FFFFFF"/>
                <w:sz w:val="20"/>
                <w:szCs w:val="20"/>
              </w:rPr>
              <w:t xml:space="preserve">Manager</w:t>
            </w:r>
          </w:p>
        </w:tc>
        <w:tc>
          <w:tcPr>
            <w:tcW w:type="dxa" w:w="2250"/>
            <w:shd w:fill="1E1B16" w:val="clear"/>
          </w:tcPr>
          <w:p>
            <w:r>
              <w:rPr>
                <w:b/>
                <w:bCs/>
                <w:color w:val="FFFFFF"/>
                <w:sz w:val="20"/>
                <w:szCs w:val="20"/>
              </w:rPr>
              <w:t xml:space="preserve">Phone</w:t>
            </w:r>
          </w:p>
        </w:tc>
        <w:tc>
          <w:tcPr>
            <w:tcW w:type="dxa" w:w="2250"/>
            <w:shd w:fill="1E1B16" w:val="clear"/>
          </w:tcPr>
          <w:p>
            <w:r>
              <w:rPr>
                <w:b/>
                <w:bCs/>
                <w:color w:val="FFFFFF"/>
                <w:sz w:val="20"/>
                <w:szCs w:val="20"/>
              </w:rPr>
              <w:t xml:space="preserve">PIN</w:t>
            </w:r>
          </w:p>
        </w:tc>
        <w:tc>
          <w:tcPr>
            <w:tcW w:type="dxa" w:w="2250"/>
            <w:shd w:fill="1E1B16" w:val="clear"/>
          </w:tcPr>
          <w:p>
            <w:r>
              <w:rPr>
                <w:b/>
                <w:bCs/>
                <w:color w:val="FFFFFF"/>
                <w:sz w:val="20"/>
                <w:szCs w:val="20"/>
              </w:rPr>
              <w:t xml:space="preserve">Estates</w:t>
            </w:r>
          </w:p>
        </w:tc>
      </w:tr>
      <w:tr>
        <w:tc>
          <w:tcPr>
            <w:tcW w:type="dxa" w:w="2250"/>
          </w:tcPr>
          <w:p>
            <w:r>
              <w:rPr>
                <w:b w:val="false"/>
                <w:bCs w:val="false"/>
                <w:color w:val="000000"/>
                <w:sz w:val="20"/>
                <w:szCs w:val="20"/>
              </w:rPr>
              <w:t xml:space="preserve">Demo Manager A</w:t>
            </w:r>
          </w:p>
        </w:tc>
        <w:tc>
          <w:tcPr>
            <w:tcW w:type="dxa" w:w="2250"/>
          </w:tcPr>
          <w:p>
            <w:r>
              <w:rPr>
                <w:b w:val="false"/>
                <w:bCs w:val="false"/>
                <w:color w:val="000000"/>
                <w:sz w:val="20"/>
                <w:szCs w:val="20"/>
              </w:rPr>
              <w:t xml:space="preserve">08060000001</w:t>
            </w:r>
          </w:p>
        </w:tc>
        <w:tc>
          <w:tcPr>
            <w:tcW w:type="dxa" w:w="2250"/>
          </w:tcPr>
          <w:p>
            <w:r>
              <w:rPr>
                <w:b w:val="false"/>
                <w:bCs w:val="false"/>
                <w:color w:val="000000"/>
                <w:sz w:val="20"/>
                <w:szCs w:val="20"/>
              </w:rPr>
              <w:t xml:space="preserve">123456</w:t>
            </w:r>
          </w:p>
        </w:tc>
        <w:tc>
          <w:tcPr>
            <w:tcW w:type="dxa" w:w="2250"/>
          </w:tcPr>
          <w:p>
            <w:r>
              <w:rPr>
                <w:b w:val="false"/>
                <w:bCs w:val="false"/>
                <w:color w:val="000000"/>
                <w:sz w:val="20"/>
                <w:szCs w:val="20"/>
              </w:rPr>
              <w:t xml:space="preserve">5 real estates, 55–90 units each</w:t>
            </w:r>
          </w:p>
        </w:tc>
      </w:tr>
      <w:tr>
        <w:tc>
          <w:tcPr>
            <w:tcW w:type="dxa" w:w="2250"/>
          </w:tcPr>
          <w:p>
            <w:r>
              <w:rPr>
                <w:b w:val="false"/>
                <w:bCs w:val="false"/>
                <w:color w:val="000000"/>
                <w:sz w:val="20"/>
                <w:szCs w:val="20"/>
              </w:rPr>
              <w:t xml:space="preserve">Demo Manager B</w:t>
            </w:r>
          </w:p>
        </w:tc>
        <w:tc>
          <w:tcPr>
            <w:tcW w:type="dxa" w:w="2250"/>
          </w:tcPr>
          <w:p>
            <w:r>
              <w:rPr>
                <w:b w:val="false"/>
                <w:bCs w:val="false"/>
                <w:color w:val="000000"/>
                <w:sz w:val="20"/>
                <w:szCs w:val="20"/>
              </w:rPr>
              <w:t xml:space="preserve">08060000002</w:t>
            </w:r>
          </w:p>
        </w:tc>
        <w:tc>
          <w:tcPr>
            <w:tcW w:type="dxa" w:w="2250"/>
          </w:tcPr>
          <w:p>
            <w:r>
              <w:rPr>
                <w:b w:val="false"/>
                <w:bCs w:val="false"/>
                <w:color w:val="000000"/>
                <w:sz w:val="20"/>
                <w:szCs w:val="20"/>
              </w:rPr>
              <w:t xml:space="preserve">123456</w:t>
            </w:r>
          </w:p>
        </w:tc>
        <w:tc>
          <w:tcPr>
            <w:tcW w:type="dxa" w:w="2250"/>
          </w:tcPr>
          <w:p>
            <w:r>
              <w:rPr>
                <w:b w:val="false"/>
                <w:bCs w:val="false"/>
                <w:color w:val="000000"/>
                <w:sz w:val="20"/>
                <w:szCs w:val="20"/>
              </w:rPr>
              <w:t xml:space="preserve">5 real estates, 55–100 units each</w:t>
            </w:r>
          </w:p>
        </w:tc>
      </w:tr>
    </w:tbl>
    <w:p>
      <w:pPr>
        <w:spacing w:after="150"/>
      </w:pPr>
    </w:p>
    <w:p>
      <w:pPr>
        <w:spacing w:after="120"/>
      </w:pPr>
      <w:r>
        <w:t xml:space="preserve">Manager A manages: Malali Gardens Estate (55 units), Barnawa Heights Estate (70), Ungwan Rimi Court (60), Kabala Costain Estate (90), and Sabon Tasha Housing Scheme (50).</w:t>
      </w:r>
    </w:p>
    <w:p>
      <w:pPr>
        <w:spacing w:after="120"/>
      </w:pPr>
      <w:r>
        <w:t xml:space="preserve">Manager B manages: Unguwar Sarki Estate (65 units), Trikania Housing Estate (100), Nasarawa GRA Court (75), Kigo Road Estate (80), and Independence Way Housing Scheme (55).</w:t>
      </w:r>
    </w:p>
    <w:p>
      <w:pPr>
        <w:spacing w:after="120"/>
      </w:pPr>
      <w:r>
        <w:t xml:space="preserve">Every estate already has a real, working mix of occupancy — some units genuinely rented (with real active tenancies), some genuinely owner-occupied (no tenancy, matching a monetization scenario), and the rest left vacant so you can test approving a fresh application yourself.</w:t>
      </w:r>
    </w:p>
    <w:p>
      <w:pPr>
        <w:pStyle w:val="Heading1"/>
        <w:spacing w:after="150" w:before="300"/>
      </w:pPr>
      <w:r>
        <w:t xml:space="preserve">7. A Suggested First Walkthrough</w:t>
      </w:r>
    </w:p>
    <w:p>
      <w:pPr>
        <w:pStyle w:val="ListParagraph"/>
        <w:numPr>
          <w:ilvl w:val="0"/>
          <w:numId w:val="1"/>
        </w:numPr>
        <w:spacing w:after="60"/>
      </w:pPr>
      <w:r>
        <w:t xml:space="preserve">Log in as Demo Manager A (08060000001 / 123456)</w:t>
      </w:r>
    </w:p>
    <w:p>
      <w:pPr>
        <w:pStyle w:val="ListParagraph"/>
        <w:numPr>
          <w:ilvl w:val="0"/>
          <w:numId w:val="1"/>
        </w:numPr>
        <w:spacing w:after="60"/>
      </w:pPr>
      <w:r>
        <w:t xml:space="preserve">Open "My Estates" and tap into Malali Gardens Estate</w:t>
      </w:r>
    </w:p>
    <w:p>
      <w:pPr>
        <w:pStyle w:val="ListParagraph"/>
        <w:numPr>
          <w:ilvl w:val="0"/>
          <w:numId w:val="1"/>
        </w:numPr>
        <w:spacing w:after="60"/>
      </w:pPr>
      <w:r>
        <w:t xml:space="preserve">Check the real overview numbers — total, occupied, vacant, owner-occupied — and confirm they add up</w:t>
      </w:r>
    </w:p>
    <w:p>
      <w:pPr>
        <w:pStyle w:val="ListParagraph"/>
        <w:numPr>
          <w:ilvl w:val="0"/>
          <w:numId w:val="1"/>
        </w:numPr>
        <w:spacing w:after="60"/>
      </w:pPr>
      <w:r>
        <w:t xml:space="preserve">Try "Bill all occupied units" with a real test amount and description, then check the confirmation count</w:t>
      </w:r>
    </w:p>
    <w:p>
      <w:pPr>
        <w:pStyle w:val="ListParagraph"/>
        <w:numPr>
          <w:ilvl w:val="0"/>
          <w:numId w:val="1"/>
        </w:numPr>
        <w:spacing w:after="60"/>
      </w:pPr>
      <w:r>
        <w:t xml:space="preserve">Open a vacant unit's real public listing (search for it as a buyer/tenant account) and submit a rental application</w:t>
      </w:r>
    </w:p>
    <w:p>
      <w:pPr>
        <w:pStyle w:val="ListParagraph"/>
        <w:numPr>
          <w:ilvl w:val="0"/>
          <w:numId w:val="1"/>
        </w:numPr>
        <w:spacing w:after="60"/>
      </w:pPr>
      <w:r>
        <w:t xml:space="preserve">Switch back to Demo Manager A and approve that application — confirm the unit flips to "rented" automatically</w:t>
      </w:r>
    </w:p>
    <w:p>
      <w:pPr>
        <w:pStyle w:val="ListParagraph"/>
        <w:numPr>
          <w:ilvl w:val="0"/>
          <w:numId w:val="1"/>
        </w:numPr>
        <w:spacing w:after="60"/>
      </w:pPr>
      <w:r>
        <w:t xml:space="preserve">Try marking a different vacant unit as owner-occupied using a real demo phone number, and confirm the overview updates correctly</w:t>
      </w:r>
    </w:p>
    <w:p>
      <w:pPr>
        <w:spacing w:before="300"/>
      </w:pPr>
    </w:p>
    <w:p>
      <w:pPr>
        <w:pStyle w:val="Heading1"/>
      </w:pPr>
      <w:r>
        <w:t>8. Managing a hotel, lodge, event centre or open ground (new, October 2026)</w:t>
      </w:r>
    </w:p>
    <w:p>
      <w:r>
        <w:t>If you manage a hospitality property for its owner, you can do the same things the owner can on the Host page: confirm bookings, answer extras, and set the venue profile. These parts are new:</w:t>
      </w:r>
    </w:p>
    <w:p>
      <w:r>
        <w:rPr>
          <w:b/>
        </w:rPr>
        <w:t xml:space="preserve">Finding a place for your dates. </w:t>
      </w:r>
      <w:r>
        <w:t>On the home page, choose check-in and check-out dates and CHS shows only the hotels, lodges and shortlets that are free on those dates. You can also filter by accessibility (for example step-free access). A host ticks the accessibility features when listing, and they must be true.</w:t>
      </w:r>
    </w:p>
    <w:p>
      <w:r>
        <w:rPr>
          <w:b/>
        </w:rPr>
        <w:t xml:space="preserve">Booking several rooms in a hotel or lodge. </w:t>
      </w:r>
      <w:r>
        <w:t>Choose how many rooms and how many adults and children. CHS requests each room as its own booking, linked together. The host confirms the dates, and when it is time to pay you can use "Pay all N rooms at once" instead of paying one room at a time. Your wallet must hold the total. Under Extras you can ask for breakfast, half or full board, an extra bed, airport pickup, laundry, early check-in, late check-out, cleaning or a baby cot; the host answers with a price and you pay through CHS.</w:t>
      </w:r>
    </w:p>
    <w:p>
      <w:r>
        <w:rPr>
          <w:b/>
        </w:rPr>
        <w:t xml:space="preserve">Weekly and monthly discounts. </w:t>
      </w:r>
      <w:r>
        <w:t>A host can offer a weekly discount (7 nights or more) and a monthly discount (28 nights or more), up to 50%, from the host page under Stay offers. The guest sees the discount as its own line in the price, and CHS's fees are worked out on the discounted price.</w:t>
      </w:r>
    </w:p>
    <w:p>
      <w:r>
        <w:rPr>
          <w:b/>
        </w:rPr>
        <w:t xml:space="preserve">Group and corporate enquiries. </w:t>
      </w:r>
      <w:r>
        <w:t>On a hotel, lodge or shortlet page a guest can send a group enquiry (names, number of guests and rooms, dates, purpose). It goes to the host through CHS. Phone numbers, emails and links are refused, and five enquiries a day is the limit. An enquiry is not a booking; the booking itself is made and paid on CHS.</w:t>
      </w:r>
    </w:p>
    <w:p>
      <w:r>
        <w:rPr>
          <w:b/>
        </w:rPr>
        <w:t xml:space="preserve">Ratings. </w:t>
      </w:r>
      <w:r>
        <w:t>A property page shows a summary of its ratings. A guest can rate only after the stay has started, and a rating cannot contain contact details.</w:t>
      </w:r>
    </w:p>
    <w:p>
      <w:r>
        <w:rPr>
          <w:b/>
        </w:rPr>
        <w:t xml:space="preserve">Event centres: the advance. </w:t>
      </w:r>
      <w:r>
        <w:t>After the guest pays for an event, CHS holds the money. Shortly before the event (48 hours by default) CHS releases an advance of 60% of what the venue will earn (booking price less the venue's service charge) to the venue's wallet so it can prepare. The rest is released after the event. Services the guest bought for the event work the same way: the venue, or the provider CHS found, gets an advance before the event and the balance after. Admin can release the advance early from Admin, Event Centres, "Release advance now"; CHS-sourced providers are paid from Admin, Service sourcing, payouts. If an event is cancelled after the advance, CHS takes the advance back from the venue first, then refunds the guest under the usual rules; if the venue's wallet is short, the shortfall is recorded and CHS follows it up.</w:t>
      </w:r>
    </w:p>
    <w:p>
      <w:r>
        <w:rPr>
          <w:b/>
        </w:rPr>
        <w:t xml:space="preserve">Event centres: documents, capacity and seating. </w:t>
      </w:r>
      <w:r>
        <w:t>The organiser can attach documents to an event booking (permit, police clearance, ID, programme). Only the organiser, the venue and CHS can open them. CHS marks events as routine, managed or enhanced from the type and size, so staff know which ones to look at more closely. The venue sets its licensed capacity (CHS verifies it against the operating permit) and the booking form refuses more guests than that. The venue also lists the seating layouts it can set up, with the most guests each can hold. The guest chooses one under Services and changes, from small diagrams (banquet, theatre, classroom, U-shape, boardroom, standing), and the venue sees the choice.</w:t>
      </w:r>
    </w:p>
    <w:p>
      <w:r>
        <w:rPr>
          <w:b/>
        </w:rPr>
        <w:t xml:space="preserve">Open fields and stadiums. </w:t>
      </w:r>
      <w:r>
        <w:t>These are listing types under Hire. The host fills in the ground details (surface, floodlights, toilets, changing rooms, safe crowd limit, rain plan, noise or curfew rules, safety notes) and guests see them on the property page. Booking and fees are the same as for other hire bookings.</w:t>
      </w:r>
    </w:p>
    <w:p>
      <w:r>
        <w:rPr>
          <w:b/>
        </w:rPr>
        <w:t xml:space="preserve">Tax (VAT) on CHS fees. </w:t>
      </w:r>
      <w:r>
        <w:t>Admin, Financial, "VAT on CHS fees" has a switch that is OFF until CHS is registered and the accountant confirms the rate. When it is on, VAT is treated as included in CHS's own fee (guests and hosts pay the same amounts), each fee collected is recorded with its VAT part, a refund reverses its entry, and a monthly report with CSV shows the VAT to remit. Only a super admin can change it and a tax ID is required first.</w:t>
      </w:r>
    </w:p>
    <w:p>
      <w:r>
        <w:t>Only the owner or manager of a property can change its venue profile, seating capacities, ground details and discounts. Staff cannot.</w:t>
      </w:r>
    </w:p>
    <w:p>
      <w:r>
        <w:t>Open the Users Guide, section 19C, for the same text with the screens each feature lives on.</w:t>
      </w:r>
    </w:p>
    <w:p>
      <w:r>
        <w:t>This guide reflects the real, current system — not a planned future version. Every feature described here has been built and tested with real data.</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2026-08-31T08:15:28.441Z</dcterms:created>
  <dcterms:modified xsi:type="dcterms:W3CDTF">2026-08-31T08:15:28.456Z</dcterms:modified>
</cp:coreProperties>
</file>

<file path=docProps/custom.xml><?xml version="1.0" encoding="utf-8"?>
<Properties xmlns="http://schemas.openxmlformats.org/officeDocument/2006/custom-properties" xmlns:vt="http://schemas.openxmlformats.org/officeDocument/2006/docPropsVTypes"/>
</file>