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937"/>
          <w:sz w:val="44"/>
          <w:szCs w:val="44"/>
        </w:rPr>
        <w:t xml:space="preserve">Source Log &amp; Research Analysis</w:t>
      </w:r>
    </w:p>
    <w:p>
      <w:pPr>
        <w:spacing w:after="200"/>
      </w:pPr>
      <w:r>
        <w:rPr>
          <w:b/>
          <w:bCs/>
          <w:color w:val="4B5563"/>
          <w:sz w:val="26"/>
          <w:szCs w:val="26"/>
        </w:rPr>
        <w:t xml:space="preserve">Osman I and the Founding of the Ottoman Beylik — History vs. the Kuruluş: Osman Legend</w:t>
      </w:r>
    </w:p>
    <w:p>
      <w:pPr>
        <w:spacing w:after="40"/>
      </w:pPr>
      <w:r>
        <w:rPr>
          <w:i/>
          <w:iCs/>
          <w:color w:val="6B7280"/>
          <w:sz w:val="20"/>
          <w:szCs w:val="20"/>
        </w:rPr>
        <w:t xml:space="preserve">Prepared for: PMW Coursework — Research Sprint  |  Track: Story / Heritage History</w:t>
      </w:r>
    </w:p>
    <w:p>
      <w:pPr>
        <w:spacing w:after="400"/>
      </w:pPr>
      <w:r>
        <w:rPr>
          <w:i/>
          <w:iCs/>
          <w:color w:val="6B7280"/>
          <w:sz w:val="20"/>
          <w:szCs w:val="20"/>
        </w:rPr>
        <w:t xml:space="preserve">Deliverable type: Source log + blog-style research analysis</w:t>
      </w:r>
    </w:p>
    <w:p>
      <w:pPr>
        <w:pBdr>
          <w:bottom w:val="single" w:color="999999" w:sz="6" w:space="4"/>
        </w:pBdr>
        <w:spacing w:after="200"/>
      </w:pPr>
    </w:p>
    <w:p>
      <w:pPr>
        <w:pStyle w:val="Heading1"/>
        <w:spacing w:after="150" w:before="300"/>
      </w:pPr>
      <w:r>
        <w:t xml:space="preserve">1. Research Question</w:t>
      </w:r>
    </w:p>
    <w:p>
      <w:pPr>
        <w:spacing w:after="160"/>
      </w:pPr>
      <w:r>
        <w:rPr>
          <w:b w:val="false"/>
          <w:bCs w:val="false"/>
        </w:rPr>
        <w:t xml:space="preserve">What do the earliest surviving historical accounts actually tell us about Osman I, the founder of the Ottoman beylik (c. 1299) — and how, where, and why does the popular narrative (best represented by the hit Turkish TV series Kuruluş: Osman) depart from that record?</w:t>
      </w:r>
    </w:p>
    <w:p>
      <w:pPr>
        <w:spacing w:after="160"/>
      </w:pPr>
      <w:r>
        <w:t xml:space="preserve">This is a narrow oral-history / heritage-narrative question: it isolates one figure (Osman I), one historiographical problem (source scarcity and legend-formation), and one modern cultural artifact (a TV series watched by hundreds of millions) so the comparison stays concrete and checkable against named sources rather than general impressions.</w:t>
      </w:r>
    </w:p>
    <w:p>
      <w:pPr>
        <w:pStyle w:val="Heading1"/>
        <w:spacing w:after="150" w:before="300"/>
      </w:pPr>
      <w:r>
        <w:t xml:space="preserve">2. What This Log Achieves</w:t>
      </w:r>
    </w:p>
    <w:p>
      <w:pPr>
        <w:pStyle w:val="ListParagraph"/>
        <w:numPr>
          <w:ilvl w:val="0"/>
          <w:numId w:val="1"/>
        </w:numPr>
        <w:spacing w:after="80"/>
      </w:pPr>
      <w:r>
        <w:t xml:space="preserve">Collects credible sources — encyclopedic, academic, and popular-culture — on Osman I and the Kuruluş: Osman TV series.</w:t>
      </w:r>
    </w:p>
    <w:p>
      <w:pPr>
        <w:pStyle w:val="ListParagraph"/>
        <w:numPr>
          <w:ilvl w:val="0"/>
          <w:numId w:val="1"/>
        </w:numPr>
        <w:spacing w:after="80"/>
      </w:pPr>
      <w:r>
        <w:t xml:space="preserve">Summarizes each source in my own words, with a credibility note explaining why it can (or can't) be trusted for which kind of claim.</w:t>
      </w:r>
    </w:p>
    <w:p>
      <w:pPr>
        <w:pStyle w:val="ListParagraph"/>
        <w:numPr>
          <w:ilvl w:val="0"/>
          <w:numId w:val="1"/>
        </w:numPr>
        <w:spacing w:after="80"/>
      </w:pPr>
      <w:r>
        <w:t xml:space="preserve">Connects the sources to a PMW deliverable: a short blog-style comparison piece (Section 4) suitable for a heritage/history-track publication.</w:t>
      </w:r>
    </w:p>
    <w:p>
      <w:pPr>
        <w:pStyle w:val="Heading1"/>
        <w:spacing w:after="150" w:before="300"/>
      </w:pPr>
      <w:r>
        <w:t xml:space="preserve">3. Source Log</w:t>
      </w:r>
    </w:p>
    <w:p>
      <w:pPr>
        <w:spacing w:after="160"/>
      </w:pPr>
      <w:r>
        <w:t xml:space="preserve">At least five sources, annotated with title, link, date, a credibility note, and a summary in my own words (see table). A sixth, lower-credibility popular source is included deliberately and labeled as such, since the research question requires comparing scholarship against popular narrative.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700"/>
        <w:gridCol w:w="1750"/>
        <w:gridCol w:w="2500"/>
        <w:gridCol w:w="1500"/>
      </w:tblGrid>
      <w:tr>
        <w:trPr>
          <w:tblHeader/>
        </w:trPr>
        <w:tc>
          <w:tcPr>
            <w:tcW w:type="dxa" w:w="1500"/>
            <w:shd w:fill="1F2937" w:color="auto" w:val="clear"/>
            <w:tcMar>
              <w:top w:type="dxa" w:w="100"/>
              <w:left w:type="dxa" w:w="100"/>
              <w:bottom w:type="dxa" w:w="100"/>
              <w:right w:type="dxa" w:w="100"/>
            </w:tcMar>
          </w:tcPr>
          <w:p>
            <w:r>
              <w:rPr>
                <w:b/>
                <w:bCs/>
                <w:color w:val="FFFFFF"/>
                <w:sz w:val="18"/>
                <w:szCs w:val="18"/>
              </w:rPr>
              <w:t xml:space="preserve">Source (title)</w:t>
            </w:r>
          </w:p>
        </w:tc>
        <w:tc>
          <w:tcPr>
            <w:tcW w:type="dxa" w:w="1400"/>
            <w:shd w:fill="1F2937" w:color="auto" w:val="clear"/>
            <w:tcMar>
              <w:top w:type="dxa" w:w="100"/>
              <w:left w:type="dxa" w:w="100"/>
              <w:bottom w:type="dxa" w:w="100"/>
              <w:right w:type="dxa" w:w="100"/>
            </w:tcMar>
          </w:tcPr>
          <w:p>
            <w:r>
              <w:rPr>
                <w:b/>
                <w:bCs/>
                <w:color w:val="FFFFFF"/>
                <w:sz w:val="18"/>
                <w:szCs w:val="18"/>
              </w:rPr>
              <w:t xml:space="preserve">Link</w:t>
            </w:r>
          </w:p>
        </w:tc>
        <w:tc>
          <w:tcPr>
            <w:tcW w:type="dxa" w:w="700"/>
            <w:shd w:fill="1F2937" w:color="auto" w:val="clear"/>
            <w:tcMar>
              <w:top w:type="dxa" w:w="100"/>
              <w:left w:type="dxa" w:w="100"/>
              <w:bottom w:type="dxa" w:w="100"/>
              <w:right w:type="dxa" w:w="100"/>
            </w:tcMar>
          </w:tcPr>
          <w:p>
            <w:r>
              <w:rPr>
                <w:b/>
                <w:bCs/>
                <w:color w:val="FFFFFF"/>
                <w:sz w:val="18"/>
                <w:szCs w:val="18"/>
              </w:rPr>
              <w:t xml:space="preserve">Date</w:t>
            </w:r>
          </w:p>
        </w:tc>
        <w:tc>
          <w:tcPr>
            <w:tcW w:type="dxa" w:w="1750"/>
            <w:shd w:fill="1F2937" w:color="auto" w:val="clear"/>
            <w:tcMar>
              <w:top w:type="dxa" w:w="100"/>
              <w:left w:type="dxa" w:w="100"/>
              <w:bottom w:type="dxa" w:w="100"/>
              <w:right w:type="dxa" w:w="100"/>
            </w:tcMar>
          </w:tcPr>
          <w:p>
            <w:r>
              <w:rPr>
                <w:b/>
                <w:bCs/>
                <w:color w:val="FFFFFF"/>
                <w:sz w:val="18"/>
                <w:szCs w:val="18"/>
              </w:rPr>
              <w:t xml:space="preserve">Credibility note</w:t>
            </w:r>
          </w:p>
        </w:tc>
        <w:tc>
          <w:tcPr>
            <w:tcW w:type="dxa" w:w="2500"/>
            <w:shd w:fill="1F2937" w:color="auto" w:val="clear"/>
            <w:tcMar>
              <w:top w:type="dxa" w:w="100"/>
              <w:left w:type="dxa" w:w="100"/>
              <w:bottom w:type="dxa" w:w="100"/>
              <w:right w:type="dxa" w:w="100"/>
            </w:tcMar>
          </w:tcPr>
          <w:p>
            <w:r>
              <w:rPr>
                <w:b/>
                <w:bCs/>
                <w:color w:val="FFFFFF"/>
                <w:sz w:val="18"/>
                <w:szCs w:val="18"/>
              </w:rPr>
              <w:t xml:space="preserve">Summary (my own words)</w:t>
            </w:r>
          </w:p>
        </w:tc>
        <w:tc>
          <w:tcPr>
            <w:tcW w:type="dxa" w:w="1500"/>
            <w:shd w:fill="1F2937" w:color="auto" w:val="clear"/>
            <w:tcMar>
              <w:top w:type="dxa" w:w="100"/>
              <w:left w:type="dxa" w:w="100"/>
              <w:bottom w:type="dxa" w:w="100"/>
              <w:right w:type="dxa" w:w="100"/>
            </w:tcMar>
          </w:tcPr>
          <w:p>
            <w:r>
              <w:rPr>
                <w:b/>
                <w:bCs/>
                <w:color w:val="FFFFFF"/>
                <w:sz w:val="18"/>
                <w:szCs w:val="18"/>
              </w:rPr>
              <w:t xml:space="preserve">Why it matters to this project</w:t>
            </w:r>
          </w:p>
        </w:tc>
      </w:tr>
      <w:tr>
        <w:tc>
          <w:tcPr>
            <w:tcW w:type="dxa" w:w="1500"/>
            <w:tcMar>
              <w:top w:type="dxa" w:w="100"/>
              <w:left w:type="dxa" w:w="100"/>
              <w:bottom w:type="dxa" w:w="100"/>
              <w:right w:type="dxa" w:w="100"/>
            </w:tcMar>
          </w:tcPr>
          <w:p>
            <w:r>
              <w:rPr>
                <w:b/>
                <w:bCs/>
                <w:sz w:val="18"/>
                <w:szCs w:val="18"/>
              </w:rPr>
              <w:t xml:space="preserve">Osman I — Britannica</w:t>
            </w:r>
          </w:p>
        </w:tc>
        <w:tc>
          <w:tcPr>
            <w:tcW w:type="dxa" w:w="1400"/>
            <w:tcMar>
              <w:top w:type="dxa" w:w="100"/>
              <w:left w:type="dxa" w:w="100"/>
              <w:bottom w:type="dxa" w:w="100"/>
              <w:right w:type="dxa" w:w="100"/>
            </w:tcMar>
          </w:tcPr>
          <w:p>
            <w:r>
              <w:rPr>
                <w:b w:val="false"/>
                <w:bCs w:val="false"/>
                <w:sz w:val="18"/>
                <w:szCs w:val="18"/>
              </w:rPr>
              <w:t xml:space="preserve">britannica.com/biography/Osman-I</w:t>
            </w:r>
          </w:p>
        </w:tc>
        <w:tc>
          <w:tcPr>
            <w:tcW w:type="dxa" w:w="700"/>
            <w:tcMar>
              <w:top w:type="dxa" w:w="100"/>
              <w:left w:type="dxa" w:w="100"/>
              <w:bottom w:type="dxa" w:w="100"/>
              <w:right w:type="dxa" w:w="100"/>
            </w:tcMar>
          </w:tcPr>
          <w:p>
            <w:r>
              <w:rPr>
                <w:b w:val="false"/>
                <w:bCs w:val="false"/>
                <w:sz w:val="18"/>
                <w:szCs w:val="18"/>
              </w:rPr>
              <w:t xml:space="preserve">2026 (rev.)</w:t>
            </w:r>
          </w:p>
        </w:tc>
        <w:tc>
          <w:tcPr>
            <w:tcW w:type="dxa" w:w="1750"/>
            <w:tcMar>
              <w:top w:type="dxa" w:w="100"/>
              <w:left w:type="dxa" w:w="100"/>
              <w:bottom w:type="dxa" w:w="100"/>
              <w:right w:type="dxa" w:w="100"/>
            </w:tcMar>
          </w:tcPr>
          <w:p>
            <w:r>
              <w:rPr>
                <w:b w:val="false"/>
                <w:bCs w:val="false"/>
                <w:sz w:val="18"/>
                <w:szCs w:val="18"/>
              </w:rPr>
              <w:t xml:space="preserve">High. Tertiary but professionally edited and fact-checked; good for anchoring uncontested facts (dates, title, dynasty name).</w:t>
            </w:r>
          </w:p>
        </w:tc>
        <w:tc>
          <w:tcPr>
            <w:tcW w:type="dxa" w:w="2500"/>
            <w:tcMar>
              <w:top w:type="dxa" w:w="100"/>
              <w:left w:type="dxa" w:w="100"/>
              <w:bottom w:type="dxa" w:w="100"/>
              <w:right w:type="dxa" w:w="100"/>
            </w:tcMar>
          </w:tcPr>
          <w:p>
            <w:r>
              <w:rPr>
                <w:b w:val="false"/>
                <w:bCs w:val="false"/>
                <w:sz w:val="18"/>
                <w:szCs w:val="18"/>
              </w:rPr>
              <w:t xml:space="preserve">Confirms Osman I (c. 1258 – 1324/1326) as the Turkmen chieftain regarded as founder of the Ottoman state, and notes that both 'Ottoman' and 'Osmanlı' derive from the Arabic form of his name, ʿUthmān.</w:t>
            </w:r>
          </w:p>
        </w:tc>
        <w:tc>
          <w:tcPr>
            <w:tcW w:type="dxa" w:w="1500"/>
            <w:tcMar>
              <w:top w:type="dxa" w:w="100"/>
              <w:left w:type="dxa" w:w="100"/>
              <w:bottom w:type="dxa" w:w="100"/>
              <w:right w:type="dxa" w:w="100"/>
            </w:tcMar>
          </w:tcPr>
          <w:p>
            <w:r>
              <w:rPr>
                <w:b w:val="false"/>
                <w:bCs w:val="false"/>
                <w:sz w:val="18"/>
                <w:szCs w:val="18"/>
              </w:rPr>
              <w:t xml:space="preserve">Baseline facts I can state with confidence without a citation caveat.</w:t>
            </w:r>
          </w:p>
        </w:tc>
      </w:tr>
      <w:tr>
        <w:tc>
          <w:tcPr>
            <w:tcW w:type="dxa" w:w="1500"/>
            <w:shd w:fill="F3F4F6" w:color="auto" w:val="clear"/>
            <w:tcMar>
              <w:top w:type="dxa" w:w="100"/>
              <w:left w:type="dxa" w:w="100"/>
              <w:bottom w:type="dxa" w:w="100"/>
              <w:right w:type="dxa" w:w="100"/>
            </w:tcMar>
          </w:tcPr>
          <w:p>
            <w:r>
              <w:rPr>
                <w:b/>
                <w:bCs/>
                <w:sz w:val="18"/>
                <w:szCs w:val="18"/>
              </w:rPr>
              <w:t xml:space="preserve">Osman I — Wikipedia</w:t>
            </w:r>
          </w:p>
        </w:tc>
        <w:tc>
          <w:tcPr>
            <w:tcW w:type="dxa" w:w="1400"/>
            <w:shd w:fill="F3F4F6" w:color="auto" w:val="clear"/>
            <w:tcMar>
              <w:top w:type="dxa" w:w="100"/>
              <w:left w:type="dxa" w:w="100"/>
              <w:bottom w:type="dxa" w:w="100"/>
              <w:right w:type="dxa" w:w="100"/>
            </w:tcMar>
          </w:tcPr>
          <w:p>
            <w:r>
              <w:rPr>
                <w:b w:val="false"/>
                <w:bCs w:val="false"/>
                <w:sz w:val="18"/>
                <w:szCs w:val="18"/>
              </w:rPr>
              <w:t xml:space="preserve">en.wikipedia.org/wiki/Osman_I</w:t>
            </w:r>
          </w:p>
        </w:tc>
        <w:tc>
          <w:tcPr>
            <w:tcW w:type="dxa" w:w="700"/>
            <w:shd w:fill="F3F4F6" w:color="auto" w:val="clear"/>
            <w:tcMar>
              <w:top w:type="dxa" w:w="100"/>
              <w:left w:type="dxa" w:w="100"/>
              <w:bottom w:type="dxa" w:w="100"/>
              <w:right w:type="dxa" w:w="100"/>
            </w:tcMar>
          </w:tcPr>
          <w:p>
            <w:r>
              <w:rPr>
                <w:b w:val="false"/>
                <w:bCs w:val="false"/>
                <w:sz w:val="18"/>
                <w:szCs w:val="18"/>
              </w:rPr>
              <w:t xml:space="preserve">accessed 2026</w:t>
            </w:r>
          </w:p>
        </w:tc>
        <w:tc>
          <w:tcPr>
            <w:tcW w:type="dxa" w:w="1750"/>
            <w:shd w:fill="F3F4F6" w:color="auto" w:val="clear"/>
            <w:tcMar>
              <w:top w:type="dxa" w:w="100"/>
              <w:left w:type="dxa" w:w="100"/>
              <w:bottom w:type="dxa" w:w="100"/>
              <w:right w:type="dxa" w:w="100"/>
            </w:tcMar>
          </w:tcPr>
          <w:p>
            <w:r>
              <w:rPr>
                <w:b w:val="false"/>
                <w:bCs w:val="false"/>
                <w:sz w:val="18"/>
                <w:szCs w:val="18"/>
              </w:rPr>
              <w:t xml:space="preserve">Medium. Not a primary source, but this article is unusually explicit about the evidentiary gap, and its citations point to the academic literature I use below.</w:t>
            </w:r>
          </w:p>
        </w:tc>
        <w:tc>
          <w:tcPr>
            <w:tcW w:type="dxa" w:w="2500"/>
            <w:shd w:fill="F3F4F6" w:color="auto" w:val="clear"/>
            <w:tcMar>
              <w:top w:type="dxa" w:w="100"/>
              <w:left w:type="dxa" w:w="100"/>
              <w:bottom w:type="dxa" w:w="100"/>
              <w:right w:type="dxa" w:w="100"/>
            </w:tcMar>
          </w:tcPr>
          <w:p>
            <w:r>
              <w:rPr>
                <w:b w:val="false"/>
                <w:bCs w:val="false"/>
                <w:sz w:val="18"/>
                <w:szCs w:val="18"/>
              </w:rPr>
              <w:t xml:space="preserve">States plainly that owing to the scarcity of sources from his lifetime, very little factual information about Osman survives, and that not a single written source survives from his own reign.</w:t>
            </w:r>
          </w:p>
        </w:tc>
        <w:tc>
          <w:tcPr>
            <w:tcW w:type="dxa" w:w="1500"/>
            <w:shd w:fill="F3F4F6" w:color="auto" w:val="clear"/>
            <w:tcMar>
              <w:top w:type="dxa" w:w="100"/>
              <w:left w:type="dxa" w:w="100"/>
              <w:bottom w:type="dxa" w:w="100"/>
              <w:right w:type="dxa" w:w="100"/>
            </w:tcMar>
          </w:tcPr>
          <w:p>
            <w:r>
              <w:rPr>
                <w:b w:val="false"/>
                <w:bCs w:val="false"/>
                <w:sz w:val="18"/>
                <w:szCs w:val="18"/>
              </w:rPr>
              <w:t xml:space="preserve">Gives me the single most important caveat for the whole piece: almost everything popularly 'known' about Osman was written after his death.</w:t>
            </w:r>
          </w:p>
        </w:tc>
      </w:tr>
      <w:tr>
        <w:tc>
          <w:tcPr>
            <w:tcW w:type="dxa" w:w="1500"/>
            <w:tcMar>
              <w:top w:type="dxa" w:w="100"/>
              <w:left w:type="dxa" w:w="100"/>
              <w:bottom w:type="dxa" w:w="100"/>
              <w:right w:type="dxa" w:w="100"/>
            </w:tcMar>
          </w:tcPr>
          <w:p>
            <w:r>
              <w:rPr>
                <w:b/>
                <w:bCs/>
                <w:sz w:val="18"/>
                <w:szCs w:val="18"/>
              </w:rPr>
              <w:t xml:space="preserve">Osman I — World History Encyclopedia</w:t>
            </w:r>
          </w:p>
        </w:tc>
        <w:tc>
          <w:tcPr>
            <w:tcW w:type="dxa" w:w="1400"/>
            <w:tcMar>
              <w:top w:type="dxa" w:w="100"/>
              <w:left w:type="dxa" w:w="100"/>
              <w:bottom w:type="dxa" w:w="100"/>
              <w:right w:type="dxa" w:w="100"/>
            </w:tcMar>
          </w:tcPr>
          <w:p>
            <w:r>
              <w:rPr>
                <w:b w:val="false"/>
                <w:bCs w:val="false"/>
                <w:sz w:val="18"/>
                <w:szCs w:val="18"/>
              </w:rPr>
              <w:t xml:space="preserve">worldhistory.org/Osman_I/</w:t>
            </w:r>
          </w:p>
        </w:tc>
        <w:tc>
          <w:tcPr>
            <w:tcW w:type="dxa" w:w="700"/>
            <w:tcMar>
              <w:top w:type="dxa" w:w="100"/>
              <w:left w:type="dxa" w:w="100"/>
              <w:bottom w:type="dxa" w:w="100"/>
              <w:right w:type="dxa" w:w="100"/>
            </w:tcMar>
          </w:tcPr>
          <w:p>
            <w:r>
              <w:rPr>
                <w:b w:val="false"/>
                <w:bCs w:val="false"/>
                <w:sz w:val="18"/>
                <w:szCs w:val="18"/>
              </w:rPr>
              <w:t xml:space="preserve">2020 (article)</w:t>
            </w:r>
          </w:p>
        </w:tc>
        <w:tc>
          <w:tcPr>
            <w:tcW w:type="dxa" w:w="1750"/>
            <w:tcMar>
              <w:top w:type="dxa" w:w="100"/>
              <w:left w:type="dxa" w:w="100"/>
              <w:bottom w:type="dxa" w:w="100"/>
              <w:right w:type="dxa" w:w="100"/>
            </w:tcMar>
          </w:tcPr>
          <w:p>
            <w:r>
              <w:rPr>
                <w:b w:val="false"/>
                <w:bCs w:val="false"/>
                <w:sz w:val="18"/>
                <w:szCs w:val="18"/>
              </w:rPr>
              <w:t xml:space="preserve">High. Peer-reviewed-style public history site with named historian authors and source lists; good for narrative context (Manzikert, the Seljuk collapse).</w:t>
            </w:r>
          </w:p>
        </w:tc>
        <w:tc>
          <w:tcPr>
            <w:tcW w:type="dxa" w:w="2500"/>
            <w:tcMar>
              <w:top w:type="dxa" w:w="100"/>
              <w:left w:type="dxa" w:w="100"/>
              <w:bottom w:type="dxa" w:w="100"/>
              <w:right w:type="dxa" w:w="100"/>
            </w:tcMar>
          </w:tcPr>
          <w:p>
            <w:r>
              <w:rPr>
                <w:b w:val="false"/>
                <w:bCs w:val="false"/>
                <w:sz w:val="18"/>
                <w:szCs w:val="18"/>
              </w:rPr>
              <w:t xml:space="preserve">Frames Osman as ruler of one small Turkic principality among many in Bithynia, whose victories against Byzantium — enabled by the Seljuk collapse after the 1071 Battle of Manzikert — let his successors build a three-continent empire.</w:t>
            </w:r>
          </w:p>
        </w:tc>
        <w:tc>
          <w:tcPr>
            <w:tcW w:type="dxa" w:w="1500"/>
            <w:tcMar>
              <w:top w:type="dxa" w:w="100"/>
              <w:left w:type="dxa" w:w="100"/>
              <w:bottom w:type="dxa" w:w="100"/>
              <w:right w:type="dxa" w:w="100"/>
            </w:tcMar>
          </w:tcPr>
          <w:p>
            <w:r>
              <w:rPr>
                <w:b w:val="false"/>
                <w:bCs w:val="false"/>
                <w:sz w:val="18"/>
                <w:szCs w:val="18"/>
              </w:rPr>
              <w:t xml:space="preserve">Supplies the geopolitical backdrop (Seljuk decline, Byzantine frontier) that both real history and the TV drama build on.</w:t>
            </w:r>
          </w:p>
        </w:tc>
      </w:tr>
      <w:tr>
        <w:tc>
          <w:tcPr>
            <w:tcW w:type="dxa" w:w="1500"/>
            <w:shd w:fill="F3F4F6" w:color="auto" w:val="clear"/>
            <w:tcMar>
              <w:top w:type="dxa" w:w="100"/>
              <w:left w:type="dxa" w:w="100"/>
              <w:bottom w:type="dxa" w:w="100"/>
              <w:right w:type="dxa" w:w="100"/>
            </w:tcMar>
          </w:tcPr>
          <w:p>
            <w:r>
              <w:rPr>
                <w:b/>
                <w:bCs/>
                <w:sz w:val="18"/>
                <w:szCs w:val="18"/>
              </w:rPr>
              <w:t xml:space="preserve">Cemal Kafadar, Between Two Worlds: The Construction of the Ottoman State</w:t>
            </w:r>
          </w:p>
        </w:tc>
        <w:tc>
          <w:tcPr>
            <w:tcW w:type="dxa" w:w="1400"/>
            <w:shd w:fill="F3F4F6" w:color="auto" w:val="clear"/>
            <w:tcMar>
              <w:top w:type="dxa" w:w="100"/>
              <w:left w:type="dxa" w:w="100"/>
              <w:bottom w:type="dxa" w:w="100"/>
              <w:right w:type="dxa" w:w="100"/>
            </w:tcMar>
          </w:tcPr>
          <w:p>
            <w:r>
              <w:rPr>
                <w:b w:val="false"/>
                <w:bCs w:val="false"/>
                <w:sz w:val="18"/>
                <w:szCs w:val="18"/>
              </w:rPr>
              <w:t xml:space="preserve">ucpress.edu/books/between-two-worlds</w:t>
            </w:r>
          </w:p>
        </w:tc>
        <w:tc>
          <w:tcPr>
            <w:tcW w:type="dxa" w:w="700"/>
            <w:shd w:fill="F3F4F6" w:color="auto" w:val="clear"/>
            <w:tcMar>
              <w:top w:type="dxa" w:w="100"/>
              <w:left w:type="dxa" w:w="100"/>
              <w:bottom w:type="dxa" w:w="100"/>
              <w:right w:type="dxa" w:w="100"/>
            </w:tcMar>
          </w:tcPr>
          <w:p>
            <w:r>
              <w:rPr>
                <w:b w:val="false"/>
                <w:bCs w:val="false"/>
                <w:sz w:val="18"/>
                <w:szCs w:val="18"/>
              </w:rPr>
              <w:t xml:space="preserve">1995 (Univ. of California Press)</w:t>
            </w:r>
          </w:p>
        </w:tc>
        <w:tc>
          <w:tcPr>
            <w:tcW w:type="dxa" w:w="1750"/>
            <w:shd w:fill="F3F4F6" w:color="auto" w:val="clear"/>
            <w:tcMar>
              <w:top w:type="dxa" w:w="100"/>
              <w:left w:type="dxa" w:w="100"/>
              <w:bottom w:type="dxa" w:w="100"/>
              <w:right w:type="dxa" w:w="100"/>
            </w:tcMar>
          </w:tcPr>
          <w:p>
            <w:r>
              <w:rPr>
                <w:b w:val="false"/>
                <w:bCs w:val="false"/>
                <w:sz w:val="18"/>
                <w:szCs w:val="18"/>
              </w:rPr>
              <w:t xml:space="preserve">Highest. Peer-reviewed academic monograph by a Harvard historian; the standard scholarly reference on how the Osman legend was constructed.</w:t>
            </w:r>
          </w:p>
        </w:tc>
        <w:tc>
          <w:tcPr>
            <w:tcW w:type="dxa" w:w="2500"/>
            <w:shd w:fill="F3F4F6" w:color="auto" w:val="clear"/>
            <w:tcMar>
              <w:top w:type="dxa" w:w="100"/>
              <w:left w:type="dxa" w:w="100"/>
              <w:bottom w:type="dxa" w:w="100"/>
              <w:right w:type="dxa" w:w="100"/>
            </w:tcMar>
          </w:tcPr>
          <w:p>
            <w:r>
              <w:rPr>
                <w:b w:val="false"/>
                <w:bCs w:val="false"/>
                <w:sz w:val="18"/>
                <w:szCs w:val="18"/>
              </w:rPr>
              <w:t xml:space="preserve">Argues that the 'gaza thesis' (Osman as holy warrior) championed by earlier historian Paul Wittek is too simple; the earliest Ottomans operated in a religiously and ethnically mixed frontier society, and the surviving chronicles about Osman were written generations later by writers serving his descendants, which shaped the story to legitimize the dynasty.</w:t>
            </w:r>
          </w:p>
        </w:tc>
        <w:tc>
          <w:tcPr>
            <w:tcW w:type="dxa" w:w="1500"/>
            <w:shd w:fill="F3F4F6" w:color="auto" w:val="clear"/>
            <w:tcMar>
              <w:top w:type="dxa" w:w="100"/>
              <w:left w:type="dxa" w:w="100"/>
              <w:bottom w:type="dxa" w:w="100"/>
              <w:right w:type="dxa" w:w="100"/>
            </w:tcMar>
          </w:tcPr>
          <w:p>
            <w:r>
              <w:rPr>
                <w:b w:val="false"/>
                <w:bCs w:val="false"/>
                <w:sz w:val="18"/>
                <w:szCs w:val="18"/>
              </w:rPr>
              <w:t xml:space="preserve">This is the scholarly backbone of my 'legend vs. record' argument — it explains *why* the record is unreliable, not just *that* it is.</w:t>
            </w:r>
          </w:p>
        </w:tc>
      </w:tr>
      <w:tr>
        <w:tc>
          <w:tcPr>
            <w:tcW w:type="dxa" w:w="1500"/>
            <w:tcMar>
              <w:top w:type="dxa" w:w="100"/>
              <w:left w:type="dxa" w:w="100"/>
              <w:bottom w:type="dxa" w:w="100"/>
              <w:right w:type="dxa" w:w="100"/>
            </w:tcMar>
          </w:tcPr>
          <w:p>
            <w:r>
              <w:rPr>
                <w:b/>
                <w:bCs/>
                <w:sz w:val="18"/>
                <w:szCs w:val="18"/>
              </w:rPr>
              <w:t xml:space="preserve">Kuruluş: Osman — Wikipedia</w:t>
            </w:r>
          </w:p>
        </w:tc>
        <w:tc>
          <w:tcPr>
            <w:tcW w:type="dxa" w:w="1400"/>
            <w:tcMar>
              <w:top w:type="dxa" w:w="100"/>
              <w:left w:type="dxa" w:w="100"/>
              <w:bottom w:type="dxa" w:w="100"/>
              <w:right w:type="dxa" w:w="100"/>
            </w:tcMar>
          </w:tcPr>
          <w:p>
            <w:r>
              <w:rPr>
                <w:b w:val="false"/>
                <w:bCs w:val="false"/>
                <w:sz w:val="18"/>
                <w:szCs w:val="18"/>
              </w:rPr>
              <w:t xml:space="preserve">en.wikipedia.org/wiki/Kuruluş:_Osman</w:t>
            </w:r>
          </w:p>
        </w:tc>
        <w:tc>
          <w:tcPr>
            <w:tcW w:type="dxa" w:w="700"/>
            <w:tcMar>
              <w:top w:type="dxa" w:w="100"/>
              <w:left w:type="dxa" w:w="100"/>
              <w:bottom w:type="dxa" w:w="100"/>
              <w:right w:type="dxa" w:w="100"/>
            </w:tcMar>
          </w:tcPr>
          <w:p>
            <w:r>
              <w:rPr>
                <w:b w:val="false"/>
                <w:bCs w:val="false"/>
                <w:sz w:val="18"/>
                <w:szCs w:val="18"/>
              </w:rPr>
              <w:t xml:space="preserve">accessed 2026</w:t>
            </w:r>
          </w:p>
        </w:tc>
        <w:tc>
          <w:tcPr>
            <w:tcW w:type="dxa" w:w="1750"/>
            <w:tcMar>
              <w:top w:type="dxa" w:w="100"/>
              <w:left w:type="dxa" w:w="100"/>
              <w:bottom w:type="dxa" w:w="100"/>
              <w:right w:type="dxa" w:w="100"/>
            </w:tcMar>
          </w:tcPr>
          <w:p>
            <w:r>
              <w:rPr>
                <w:b w:val="false"/>
                <w:bCs w:val="false"/>
                <w:sz w:val="18"/>
                <w:szCs w:val="18"/>
              </w:rPr>
              <w:t xml:space="preserve">Medium. Reliable for production facts (dates, network, creators); not a history source.</w:t>
            </w:r>
          </w:p>
        </w:tc>
        <w:tc>
          <w:tcPr>
            <w:tcW w:type="dxa" w:w="2500"/>
            <w:tcMar>
              <w:top w:type="dxa" w:w="100"/>
              <w:left w:type="dxa" w:w="100"/>
              <w:bottom w:type="dxa" w:w="100"/>
              <w:right w:type="dxa" w:w="100"/>
            </w:tcMar>
          </w:tcPr>
          <w:p>
            <w:r>
              <w:rPr>
                <w:b w:val="false"/>
                <w:bCs w:val="false"/>
                <w:sz w:val="18"/>
                <w:szCs w:val="18"/>
              </w:rPr>
              <w:t xml:space="preserve">Confirms Kuruluş: Osman is explicitly labeled historical fiction, produced by Mehmet Bozdağ, airing on ATV from November 2019 to June 2025 as the sequel to Diriliş: Ertuğrul.</w:t>
            </w:r>
          </w:p>
        </w:tc>
        <w:tc>
          <w:tcPr>
            <w:tcW w:type="dxa" w:w="1500"/>
            <w:tcMar>
              <w:top w:type="dxa" w:w="100"/>
              <w:left w:type="dxa" w:w="100"/>
              <w:bottom w:type="dxa" w:w="100"/>
              <w:right w:type="dxa" w:w="100"/>
            </w:tcMar>
          </w:tcPr>
          <w:p>
            <w:r>
              <w:rPr>
                <w:b w:val="false"/>
                <w:bCs w:val="false"/>
                <w:sz w:val="18"/>
                <w:szCs w:val="18"/>
              </w:rPr>
              <w:t xml:space="preserve">Establishes the show's own genre label — 'historical fiction' — which matters for the fairness of comparing it to academic history.</w:t>
            </w:r>
          </w:p>
        </w:tc>
      </w:tr>
      <w:tr>
        <w:tc>
          <w:tcPr>
            <w:tcW w:type="dxa" w:w="1500"/>
            <w:shd w:fill="F3F4F6" w:color="auto" w:val="clear"/>
            <w:tcMar>
              <w:top w:type="dxa" w:w="100"/>
              <w:left w:type="dxa" w:w="100"/>
              <w:bottom w:type="dxa" w:w="100"/>
              <w:right w:type="dxa" w:w="100"/>
            </w:tcMar>
          </w:tcPr>
          <w:p>
            <w:r>
              <w:rPr>
                <w:b/>
                <w:bCs/>
                <w:sz w:val="18"/>
                <w:szCs w:val="18"/>
              </w:rPr>
              <w:t xml:space="preserve">"Kuruluş Osman Real History vs Drama" (fan/reference site)</w:t>
            </w:r>
          </w:p>
        </w:tc>
        <w:tc>
          <w:tcPr>
            <w:tcW w:type="dxa" w:w="1400"/>
            <w:shd w:fill="F3F4F6" w:color="auto" w:val="clear"/>
            <w:tcMar>
              <w:top w:type="dxa" w:w="100"/>
              <w:left w:type="dxa" w:w="100"/>
              <w:bottom w:type="dxa" w:w="100"/>
              <w:right w:type="dxa" w:w="100"/>
            </w:tcMar>
          </w:tcPr>
          <w:p>
            <w:r>
              <w:rPr>
                <w:b w:val="false"/>
                <w:bCs w:val="false"/>
                <w:sz w:val="18"/>
                <w:szCs w:val="18"/>
              </w:rPr>
              <w:t xml:space="preserve">kuruluşosman.com (real-history-vs-drama article)</w:t>
            </w:r>
          </w:p>
        </w:tc>
        <w:tc>
          <w:tcPr>
            <w:tcW w:type="dxa" w:w="700"/>
            <w:shd w:fill="F3F4F6" w:color="auto" w:val="clear"/>
            <w:tcMar>
              <w:top w:type="dxa" w:w="100"/>
              <w:left w:type="dxa" w:w="100"/>
              <w:bottom w:type="dxa" w:w="100"/>
              <w:right w:type="dxa" w:w="100"/>
            </w:tcMar>
          </w:tcPr>
          <w:p>
            <w:r>
              <w:rPr>
                <w:b w:val="false"/>
                <w:bCs w:val="false"/>
                <w:sz w:val="18"/>
                <w:szCs w:val="18"/>
              </w:rPr>
              <w:t xml:space="preserve">2025</w:t>
            </w:r>
          </w:p>
        </w:tc>
        <w:tc>
          <w:tcPr>
            <w:tcW w:type="dxa" w:w="1750"/>
            <w:shd w:fill="F3F4F6" w:color="auto" w:val="clear"/>
            <w:tcMar>
              <w:top w:type="dxa" w:w="100"/>
              <w:left w:type="dxa" w:w="100"/>
              <w:bottom w:type="dxa" w:w="100"/>
              <w:right w:type="dxa" w:w="100"/>
            </w:tcMar>
          </w:tcPr>
          <w:p>
            <w:r>
              <w:rPr>
                <w:b w:val="false"/>
                <w:bCs w:val="false"/>
                <w:sz w:val="18"/>
                <w:szCs w:val="18"/>
              </w:rPr>
              <w:t xml:space="preserve">Low–medium. Not academic and unsourced in places, but useful as a case-by-case tally of specific divergences (e.g., the Dündar Bey subplot, Malhun Hatun's timeline) that would take much longer to compile from primary chronicles myself.</w:t>
            </w:r>
          </w:p>
        </w:tc>
        <w:tc>
          <w:tcPr>
            <w:tcW w:type="dxa" w:w="2500"/>
            <w:shd w:fill="F3F4F6" w:color="auto" w:val="clear"/>
            <w:tcMar>
              <w:top w:type="dxa" w:w="100"/>
              <w:left w:type="dxa" w:w="100"/>
              <w:bottom w:type="dxa" w:w="100"/>
              <w:right w:type="dxa" w:w="100"/>
            </w:tcMar>
          </w:tcPr>
          <w:p>
            <w:r>
              <w:rPr>
                <w:b w:val="false"/>
                <w:bCs w:val="false"/>
                <w:sz w:val="18"/>
                <w:szCs w:val="18"/>
              </w:rPr>
              <w:t xml:space="preserve">Catalogs specific plot points — e.g., the show's dramatized 'betrayal' arc for Osman's uncle Dündar Bey — against competing historical accounts, some of which say Dündar died in battle rather than being executed by Osman.</w:t>
            </w:r>
          </w:p>
        </w:tc>
        <w:tc>
          <w:tcPr>
            <w:tcW w:type="dxa" w:w="1500"/>
            <w:shd w:fill="F3F4F6" w:color="auto" w:val="clear"/>
            <w:tcMar>
              <w:top w:type="dxa" w:w="100"/>
              <w:left w:type="dxa" w:w="100"/>
              <w:bottom w:type="dxa" w:w="100"/>
              <w:right w:type="dxa" w:w="100"/>
            </w:tcMar>
          </w:tcPr>
          <w:p>
            <w:r>
              <w:rPr>
                <w:b w:val="false"/>
                <w:bCs w:val="false"/>
                <w:sz w:val="18"/>
                <w:szCs w:val="18"/>
              </w:rPr>
              <w:t xml:space="preserve">Gives me concrete, checkable examples of dramatization for the analysis section, flagged clearly as a lower-credibility source.</w:t>
            </w:r>
          </w:p>
        </w:tc>
      </w:tr>
    </w:tbl>
    <w:p>
      <w:pPr>
        <w:spacing w:after="200"/>
      </w:pPr>
    </w:p>
    <w:p>
      <w:pPr>
        <w:pStyle w:val="Heading1"/>
        <w:spacing w:after="150" w:before="300"/>
      </w:pPr>
      <w:r>
        <w:t xml:space="preserve">4. Research Output — Blog Section Draft</w:t>
      </w:r>
    </w:p>
    <w:p>
      <w:pPr>
        <w:spacing w:after="160"/>
      </w:pPr>
      <w:r>
        <w:t xml:space="preserve">Below is the research converted into a short blog-style piece, the PMW deliverable this source log supports.</w:t>
      </w:r>
    </w:p>
    <w:p>
      <w:pPr>
        <w:pStyle w:val="Heading2"/>
        <w:spacing w:after="120" w:before="240"/>
      </w:pPr>
      <w:r>
        <w:t xml:space="preserve">The Man Behind the Legend</w:t>
      </w:r>
    </w:p>
    <w:p>
      <w:pPr>
        <w:spacing w:after="160"/>
      </w:pPr>
      <w:r>
        <w:t xml:space="preserve">Ask a global audience today who Osman I was, and many will describe scenes from Kuruluş: Osman: a righteous alp battling treacherous Byzantine tekfurs and Mongol proxies on the Anatolian frontier. Ask a historian the same question, and the answer gets much shorter — and much more honest about what we don't know.</w:t>
      </w:r>
    </w:p>
    <w:p>
      <w:pPr>
        <w:spacing w:after="160"/>
      </w:pPr>
      <w:r>
        <w:t xml:space="preserve">The uncomfortable fact, repeated across every serious source consulted for this log, is that no written document survives from Osman's own lifetime. The Wikipedia summary states this bluntly, and Britannica's careful biography is built almost entirely on later material. Osman I (c. 1258 – 1324/1326) is a case where the historical footprint is thin and the legendary footprint is enormous — and the gap between the two is itself the story.</w:t>
      </w:r>
    </w:p>
    <w:p>
      <w:pPr>
        <w:pStyle w:val="Heading2"/>
        <w:spacing w:after="120" w:before="240"/>
      </w:pPr>
      <w:r>
        <w:t xml:space="preserve">What the Record Actually Supports</w:t>
      </w:r>
    </w:p>
    <w:p>
      <w:pPr>
        <w:spacing w:after="160"/>
      </w:pPr>
      <w:r>
        <w:t xml:space="preserve">Stripped to what multiple credible sources agree on, the verifiable outline is modest: Osman was a Turkmen chieftain of the Kayı group, son of Ertuğrul, operating in Bithynia in northwestern Anatolia in the closing years of the 13th century. The Seljuk sultanate's authority in the region was collapsing in the decades after its 1071 defeat at Manzikert, leaving a mosaic of small Turkic principalities (beyliks) competing and cooperating along the Byzantine frontier. Osman's beylik was one of these — not obviously more important than its neighbors at the time — and it grew through a mix of raiding, alliance-building, and the capture of Byzantine towns such as Bilecik and Yarhisar. His son Orhan continued this expansion, eventually taking Bursa. On the underlying facts of geography, chronology, and outcome, the encyclopedic sources are in agreement.</w:t>
      </w:r>
    </w:p>
    <w:p>
      <w:pPr>
        <w:pStyle w:val="Heading2"/>
        <w:spacing w:after="120" w:before="240"/>
      </w:pPr>
      <w:r>
        <w:t xml:space="preserve">Why the Story Got Bigger Than the Man</w:t>
      </w:r>
    </w:p>
    <w:p>
      <w:pPr>
        <w:spacing w:after="160"/>
      </w:pPr>
      <w:r>
        <w:t xml:space="preserve">The interesting historical question isn't 'what did Osman do' but 'who decided how to tell us, and why.' This is where Cemal Kafadar's Between Two Worlds does the real work. Kafadar traces how the surviving chronicles about Osman were written generations after his death, commissioned by his descendants once the Ottoman dynasty needed a legitimizing origin story. Earlier 20th-century scholarship, led by Paul Wittek, read Osman as a holy warrior (ghazi) single-mindedly waging religious war on Byzantium — a clean, ideologically satisfying narrative. Kafadar's revisionist argument is that the frontier world Osman actually operated in was far messier: religiously mixed, tactically pragmatic, and just as willing to ally with Christians as to fight them. The 'gaza thesis' wasn't fabricated from nothing, but it was simplified and sharpened by later writers with a dynasty to justify.</w:t>
      </w:r>
    </w:p>
    <w:p>
      <w:pPr>
        <w:spacing w:after="160"/>
      </w:pPr>
      <w:r>
        <w:t xml:space="preserve">That is precisely the mechanism by which legend accretes onto a thin factual core — and it is also, centuries later, the mechanism behind Kuruluş: Osman.</w:t>
      </w:r>
    </w:p>
    <w:p>
      <w:pPr>
        <w:pStyle w:val="Heading2"/>
        <w:spacing w:after="120" w:before="240"/>
      </w:pPr>
      <w:r>
        <w:t xml:space="preserve">The TV Series as a Modern Chronicle</w:t>
      </w:r>
    </w:p>
    <w:p>
      <w:pPr>
        <w:spacing w:after="160"/>
      </w:pPr>
      <w:r>
        <w:t xml:space="preserve">Kuruluş: Osman (2019–2025), Mehmet Bozdağ's sequel to Diriliş: Ertuğrul, is explicitly billed as historical fiction, not documentary — an important distinction the show's own Wikipedia entry makes clear. That label matters for fairness: the series isn't lying about being drama. But it functions, for a mass audience, exactly the way the earliest Ottoman chronicles once did for their audience — turning a sparsely documented frontier leader into a clear moral hero with clear villains.</w:t>
      </w:r>
    </w:p>
    <w:p>
      <w:pPr>
        <w:spacing w:after="160"/>
      </w:pPr>
      <w:r>
        <w:t xml:space="preserve">A few concrete examples, compiled from a fan-run history-vs-drama comparison (used here cautiously, as a lower-credibility source, and cross-checked against the pattern Kafadar describes rather than trusted on its own): the show dramatizes Osman's uncle Dündar Bey as an ambitious schemer executed for betrayal, where several historians instead believe Dündar simply died in battle. It also compresses and rearranges the timeline of Osman's marriage to Malhun Hatun, mother of his successor Orhan, for narrative tension, even though her role as Orhan's mother is itself well supported. In both cases the underlying skeleton fact survives — a rival relative, a politically important marriage — but the flesh added around it is dramatic invention, not documented history.</w:t>
      </w:r>
    </w:p>
    <w:p>
      <w:pPr>
        <w:pStyle w:val="Heading2"/>
        <w:spacing w:after="120" w:before="240"/>
      </w:pPr>
      <w:r>
        <w:t xml:space="preserve">The Takeaway</w:t>
      </w:r>
    </w:p>
    <w:p>
      <w:pPr>
        <w:spacing w:after="160"/>
      </w:pPr>
      <w:r>
        <w:t xml:space="preserve">The comparison isn't a case of 'the show got it wrong.' It's a case of history repeating its own methods: just as 14th- and 15th-century chroniclers filled the gaps around a real but under-documented frontier chieftain with a clean gazi narrative that served the dynasty's needs, 21st-century screenwriters filled the same gaps with a clean hero narrative that serves a modern audience's appetite for a founding myth. Reading Osman I through Kafadar's more skeptical, source-critical lens doesn't strip the story of meaning — it relocates the meaning from 'here is what Osman did' to 'here is what successive audiences, seven centuries apart, have needed Osman to represent.'</w:t>
      </w:r>
    </w:p>
    <w:p>
      <w:pPr>
        <w:pStyle w:val="Heading1"/>
        <w:spacing w:after="150" w:before="300"/>
      </w:pPr>
      <w:r>
        <w:t xml:space="preserve">5. Connection to PMW Deliverable</w:t>
      </w:r>
    </w:p>
    <w:p>
      <w:pPr>
        <w:pStyle w:val="ListParagraph"/>
        <w:numPr>
          <w:ilvl w:val="0"/>
          <w:numId w:val="1"/>
        </w:numPr>
        <w:spacing w:after="80"/>
      </w:pPr>
      <w:r>
        <w:t xml:space="preserve">Deliverable produced: a ~700-word blog section (Section 4 above) comparing documented history of Osman I against the Kuruluş: Osman TV narrative, suitable for a heritage/history-track publication or team blog.</w:t>
      </w:r>
    </w:p>
    <w:p>
      <w:pPr>
        <w:pStyle w:val="ListParagraph"/>
        <w:numPr>
          <w:ilvl w:val="0"/>
          <w:numId w:val="1"/>
        </w:numPr>
        <w:spacing w:after="80"/>
      </w:pPr>
      <w:r>
        <w:t xml:space="preserve">Every specific claim in the blog section traces back to a logged source (Section 3), so an editor or admin can verify each statement against its citation.</w:t>
      </w:r>
    </w:p>
    <w:p>
      <w:pPr>
        <w:pStyle w:val="ListParagraph"/>
        <w:numPr>
          <w:ilvl w:val="0"/>
          <w:numId w:val="1"/>
        </w:numPr>
        <w:spacing w:after="80"/>
      </w:pPr>
      <w:r>
        <w:t xml:space="preserve">The piece stays inside the 2–3 sentence-per-source-summary discipline the source log enforces, then synthesizes those summaries into original analysis in Section 4, rather than restating any one source at length.</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2026-07-25T16:42:06.801Z</dcterms:created>
  <dcterms:modified xsi:type="dcterms:W3CDTF">2026-07-25T16:42:06.813Z</dcterms:modified>
</cp:coreProperties>
</file>

<file path=docProps/custom.xml><?xml version="1.0" encoding="utf-8"?>
<Properties xmlns="http://schemas.openxmlformats.org/officeDocument/2006/custom-properties" xmlns:vt="http://schemas.openxmlformats.org/officeDocument/2006/docPropsVTypes"/>
</file>