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Predictors, Outcomes, and Primary Causes of 30-Day Readmission Following Acute Kidney Injury in Cardiogenic Shock: Insights from the Nationwide Readmissions Database</w:t>
      </w:r>
    </w:p>
    <w:p>
      <w:pPr>
        <w:pStyle w:val="Subtitle"/>
      </w:pPr>
      <w:r>
        <w:t xml:space="preserve">RCOP NRD A18</w:t>
      </w:r>
    </w:p>
    <w:p>
      <w:pPr>
        <w:pStyle w:val="Author"/>
      </w:pPr>
      <w:r>
        <w:t xml:space="preserve">Muhammad Umer Sohail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Singh et al., 2021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Tarvasmakhi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the risk of 30-day all-cause hospital readmission in patients with Acute kidney injury (AKI) and Cardiogenic shock (CS) . The study also characterizes index hospitalization outcomes and readmission stay features. A secondary objective is to identify risk factors associated with 30-day readmission in this high-risk population using a logistic regression model.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admissions were selected based on the following inclusion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All diagnoses of CS and AKI , identified using ICD-10-CM codes for CS (isCS pattern, including R57) and AKI (isAKI pattern, including N170, N171, N172, N178, N179)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0"/>
        </w:numPr>
      </w:pPr>
      <w:r>
        <w:t xml:space="preserve">Readmissions were defined as:</w:t>
      </w:r>
    </w:p>
    <w:p>
      <w:pPr>
        <w:pStyle w:val="Compact"/>
        <w:numPr>
          <w:ilvl w:val="1"/>
          <w:numId w:val="1004"/>
        </w:numPr>
      </w:pPr>
      <w:r>
        <w:t xml:space="preserve">Any non-trauma hospitalization within 30 days of discharge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5"/>
        </w:numPr>
      </w:pPr>
      <w:r>
        <w:t xml:space="preserve">Primary Outcome:</w:t>
      </w:r>
    </w:p>
    <w:p>
      <w:pPr>
        <w:pStyle w:val="Compact"/>
        <w:numPr>
          <w:ilvl w:val="2"/>
          <w:numId w:val="1006"/>
        </w:numPr>
      </w:pPr>
      <w:r>
        <w:t xml:space="preserve">30-day all-cause readmission (Yes/No), flagged using NRD linkage variables</w:t>
      </w:r>
    </w:p>
    <w:p>
      <w:pPr>
        <w:numPr>
          <w:ilvl w:val="1"/>
          <w:numId w:val="1005"/>
        </w:numPr>
      </w:pPr>
      <w:r>
        <w:t xml:space="preserve">Secondary Outcomes (index admission):</w:t>
      </w:r>
    </w:p>
    <w:p>
      <w:pPr>
        <w:numPr>
          <w:ilvl w:val="2"/>
          <w:numId w:val="1007"/>
        </w:numPr>
      </w:pPr>
      <w:r>
        <w:t xml:space="preserve">In-hospital mortality (DIED)</w:t>
      </w:r>
    </w:p>
    <w:p>
      <w:pPr>
        <w:numPr>
          <w:ilvl w:val="2"/>
          <w:numId w:val="1007"/>
        </w:numPr>
      </w:pPr>
      <w:r>
        <w:t xml:space="preserve">Length of stay (LOS, continuous in days and also categorized as ≤4 vs &gt;4 days)</w:t>
      </w:r>
    </w:p>
    <w:p>
      <w:pPr>
        <w:numPr>
          <w:ilvl w:val="2"/>
          <w:numId w:val="1007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7"/>
        </w:numPr>
      </w:pPr>
      <w:r>
        <w:t xml:space="preserve">Non-home discharge</w:t>
      </w:r>
    </w:p>
    <w:p>
      <w:pPr>
        <w:numPr>
          <w:ilvl w:val="1"/>
          <w:numId w:val="1005"/>
        </w:numPr>
      </w:pPr>
      <w:r>
        <w:t xml:space="preserve">Outcomes during readmission:</w:t>
      </w:r>
    </w:p>
    <w:p>
      <w:pPr>
        <w:numPr>
          <w:ilvl w:val="2"/>
          <w:numId w:val="1008"/>
        </w:numPr>
      </w:pPr>
      <w:r>
        <w:t xml:space="preserve">In-hospital mortality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9"/>
        </w:numPr>
      </w:pPr>
      <w:r>
        <w:t xml:space="preserve">Readmission:</w:t>
      </w:r>
    </w:p>
    <w:p>
      <w:pPr>
        <w:numPr>
          <w:ilvl w:val="2"/>
          <w:numId w:val="1010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0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9"/>
        </w:numPr>
      </w:pPr>
      <w:r>
        <w:t xml:space="preserve">Mortality:</w:t>
      </w:r>
    </w:p>
    <w:p>
      <w:pPr>
        <w:pStyle w:val="Compact"/>
        <w:numPr>
          <w:ilvl w:val="2"/>
          <w:numId w:val="1011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9"/>
        </w:numPr>
      </w:pPr>
      <w:r>
        <w:t xml:space="preserve">LOS:</w:t>
      </w:r>
    </w:p>
    <w:p>
      <w:pPr>
        <w:pStyle w:val="Compact"/>
        <w:numPr>
          <w:ilvl w:val="2"/>
          <w:numId w:val="1012"/>
        </w:numPr>
      </w:pPr>
      <w:r>
        <w:t xml:space="preserve">Reported in days; modeled as count outcome</w:t>
      </w:r>
    </w:p>
    <w:p>
      <w:pPr>
        <w:numPr>
          <w:ilvl w:val="1"/>
          <w:numId w:val="1009"/>
        </w:numPr>
      </w:pPr>
      <w:r>
        <w:t xml:space="preserve">Charge:</w:t>
      </w:r>
    </w:p>
    <w:p>
      <w:pPr>
        <w:pStyle w:val="Compact"/>
        <w:numPr>
          <w:ilvl w:val="2"/>
          <w:numId w:val="1013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9"/>
        </w:numPr>
      </w:pPr>
      <w:r>
        <w:t xml:space="preserve">Non-Home Discharge:</w:t>
      </w:r>
    </w:p>
    <w:p>
      <w:pPr>
        <w:numPr>
          <w:ilvl w:val="2"/>
          <w:numId w:val="1014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5"/>
        </w:numPr>
      </w:pPr>
      <w:r>
        <w:t xml:space="preserve">Transfer to another short-term hospital</w:t>
      </w:r>
    </w:p>
    <w:p>
      <w:pPr>
        <w:numPr>
          <w:ilvl w:val="3"/>
          <w:numId w:val="1015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5"/>
        </w:numPr>
      </w:pPr>
      <w:r>
        <w:t xml:space="preserve">Left against medical advice</w:t>
      </w:r>
    </w:p>
    <w:p>
      <w:pPr>
        <w:numPr>
          <w:ilvl w:val="3"/>
          <w:numId w:val="1015"/>
        </w:numPr>
      </w:pPr>
      <w:r>
        <w:t xml:space="preserve">Died in hospital</w:t>
      </w:r>
    </w:p>
    <w:p>
      <w:pPr>
        <w:numPr>
          <w:ilvl w:val="3"/>
          <w:numId w:val="1015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6"/>
        </w:numPr>
      </w:pPr>
      <w:r>
        <w:t xml:space="preserve">Demographic &amp; Socioeconomic Factors:</w:t>
      </w:r>
    </w:p>
    <w:p>
      <w:pPr>
        <w:numPr>
          <w:ilvl w:val="2"/>
          <w:numId w:val="1017"/>
        </w:numPr>
      </w:pPr>
      <w:r>
        <w:t xml:space="preserve">Age (continuous)</w:t>
      </w:r>
    </w:p>
    <w:p>
      <w:pPr>
        <w:numPr>
          <w:ilvl w:val="2"/>
          <w:numId w:val="1017"/>
        </w:numPr>
      </w:pPr>
      <w:r>
        <w:t xml:space="preserve">Sex (FEMALE; ref = Male)</w:t>
      </w:r>
    </w:p>
    <w:p>
      <w:pPr>
        <w:numPr>
          <w:ilvl w:val="2"/>
          <w:numId w:val="1017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7"/>
        </w:numPr>
      </w:pPr>
      <w:r>
        <w:t xml:space="preserve">ZIP-based median income quartile (ZIPINC_QRTL)</w:t>
      </w:r>
    </w:p>
    <w:p>
      <w:pPr>
        <w:numPr>
          <w:ilvl w:val="2"/>
          <w:numId w:val="1017"/>
        </w:numPr>
      </w:pPr>
      <w:r>
        <w:t xml:space="preserve">Weekend admission (AWEEKEND)</w:t>
      </w:r>
    </w:p>
    <w:p>
      <w:pPr>
        <w:numPr>
          <w:ilvl w:val="1"/>
          <w:numId w:val="1016"/>
        </w:numPr>
      </w:pPr>
      <w:r>
        <w:t xml:space="preserve">Clinical Comorbidities:</w:t>
      </w:r>
    </w:p>
    <w:p>
      <w:pPr>
        <w:numPr>
          <w:ilvl w:val="2"/>
          <w:numId w:val="1018"/>
        </w:numPr>
      </w:pPr>
      <w:r>
        <w:t xml:space="preserve">Elixhauser comorbidity variables:</w:t>
      </w:r>
    </w:p>
    <w:p>
      <w:pPr>
        <w:numPr>
          <w:ilvl w:val="3"/>
          <w:numId w:val="1019"/>
        </w:numPr>
      </w:pPr>
      <w:r>
        <w:t xml:space="preserve">Diabetes</w:t>
      </w:r>
    </w:p>
    <w:p>
      <w:pPr>
        <w:numPr>
          <w:ilvl w:val="3"/>
          <w:numId w:val="1019"/>
        </w:numPr>
      </w:pPr>
      <w:r>
        <w:t xml:space="preserve">Peripheral vascular disease</w:t>
      </w:r>
    </w:p>
    <w:p>
      <w:pPr>
        <w:numPr>
          <w:ilvl w:val="3"/>
          <w:numId w:val="1019"/>
        </w:numPr>
      </w:pPr>
      <w:r>
        <w:t xml:space="preserve">Chronic pulmonary disease</w:t>
      </w:r>
    </w:p>
    <w:p>
      <w:pPr>
        <w:numPr>
          <w:ilvl w:val="3"/>
          <w:numId w:val="1019"/>
        </w:numPr>
      </w:pPr>
      <w:r>
        <w:t xml:space="preserve">Hypertension</w:t>
      </w:r>
    </w:p>
    <w:p>
      <w:pPr>
        <w:numPr>
          <w:ilvl w:val="3"/>
          <w:numId w:val="1019"/>
        </w:numPr>
      </w:pPr>
      <w:r>
        <w:t xml:space="preserve">Congestive heart failure</w:t>
      </w:r>
    </w:p>
    <w:p>
      <w:pPr>
        <w:numPr>
          <w:ilvl w:val="3"/>
          <w:numId w:val="1019"/>
        </w:numPr>
      </w:pPr>
      <w:r>
        <w:t xml:space="preserve">Alcohol abuse</w:t>
      </w:r>
    </w:p>
    <w:p>
      <w:pPr>
        <w:numPr>
          <w:ilvl w:val="3"/>
          <w:numId w:val="1019"/>
        </w:numPr>
      </w:pPr>
      <w:r>
        <w:t xml:space="preserve">Obesity</w:t>
      </w:r>
    </w:p>
    <w:p>
      <w:pPr>
        <w:numPr>
          <w:ilvl w:val="3"/>
          <w:numId w:val="1019"/>
        </w:numPr>
      </w:pPr>
      <w:r>
        <w:t xml:space="preserve">Anemia</w:t>
      </w:r>
    </w:p>
    <w:p>
      <w:pPr>
        <w:numPr>
          <w:ilvl w:val="3"/>
          <w:numId w:val="1019"/>
        </w:numPr>
      </w:pPr>
      <w:r>
        <w:t xml:space="preserve">Liver disease</w:t>
      </w:r>
    </w:p>
    <w:p>
      <w:pPr>
        <w:numPr>
          <w:ilvl w:val="1"/>
          <w:numId w:val="1016"/>
        </w:numPr>
      </w:pPr>
      <w:r>
        <w:t xml:space="preserve">Additional clinical risk factors (non-Elixhauser)</w:t>
      </w:r>
    </w:p>
    <w:p>
      <w:pPr>
        <w:numPr>
          <w:ilvl w:val="2"/>
          <w:numId w:val="1020"/>
        </w:numPr>
      </w:pPr>
      <w:r>
        <w:t xml:space="preserve">Smoking</w:t>
      </w:r>
    </w:p>
    <w:p>
      <w:pPr>
        <w:numPr>
          <w:ilvl w:val="2"/>
          <w:numId w:val="1020"/>
        </w:numPr>
      </w:pPr>
      <w:r>
        <w:t xml:space="preserve">Previous stroke or transient ischemic attack</w:t>
      </w:r>
    </w:p>
    <w:p>
      <w:pPr>
        <w:numPr>
          <w:ilvl w:val="2"/>
          <w:numId w:val="1020"/>
        </w:numPr>
      </w:pPr>
      <w:r>
        <w:t xml:space="preserve">Atrial fibrillation</w:t>
      </w:r>
    </w:p>
    <w:p>
      <w:pPr>
        <w:numPr>
          <w:ilvl w:val="2"/>
          <w:numId w:val="1020"/>
        </w:numPr>
      </w:pPr>
      <w:r>
        <w:t xml:space="preserve">Acute myocardial infarction</w:t>
      </w:r>
    </w:p>
    <w:p>
      <w:pPr>
        <w:numPr>
          <w:ilvl w:val="1"/>
          <w:numId w:val="1016"/>
        </w:numPr>
      </w:pPr>
      <w:r>
        <w:t xml:space="preserve">Hospital Characteristics:</w:t>
      </w:r>
    </w:p>
    <w:p>
      <w:pPr>
        <w:numPr>
          <w:ilvl w:val="2"/>
          <w:numId w:val="1021"/>
        </w:numPr>
      </w:pPr>
      <w:r>
        <w:t xml:space="preserve">Hospital bed size (Small, Medium, Large)</w:t>
      </w:r>
    </w:p>
    <w:p>
      <w:pPr>
        <w:numPr>
          <w:ilvl w:val="2"/>
          <w:numId w:val="1021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6"/>
        </w:numPr>
      </w:pPr>
      <w:r>
        <w:t xml:space="preserve">Disposition and Severity:</w:t>
      </w:r>
    </w:p>
    <w:p>
      <w:pPr>
        <w:numPr>
          <w:ilvl w:val="2"/>
          <w:numId w:val="1022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2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3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4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3"/>
        </w:numPr>
      </w:pPr>
      <w:r>
        <w:t xml:space="preserve">Descriptive Analyses:</w:t>
      </w:r>
    </w:p>
    <w:p>
      <w:pPr>
        <w:numPr>
          <w:ilvl w:val="2"/>
          <w:numId w:val="1025"/>
        </w:numPr>
      </w:pPr>
      <w:r>
        <w:t xml:space="preserve">Baseline characteristics were stratified based on whether the patients were readmitted or not during index admissions.</w:t>
      </w:r>
    </w:p>
    <w:p>
      <w:pPr>
        <w:numPr>
          <w:ilvl w:val="2"/>
          <w:numId w:val="1025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3"/>
        </w:numPr>
      </w:pPr>
      <w:r>
        <w:t xml:space="preserve">Multivariable Analysis:</w:t>
      </w:r>
    </w:p>
    <w:p>
      <w:pPr>
        <w:numPr>
          <w:ilvl w:val="2"/>
          <w:numId w:val="1026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6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6"/>
        </w:numPr>
      </w:pPr>
      <w:r>
        <w:t xml:space="preserve">Reference levels were explicitly set (e.g., Male, LOS ≤4 days).</w:t>
      </w:r>
    </w:p>
    <w:p>
      <w:pPr>
        <w:numPr>
          <w:ilvl w:val="2"/>
          <w:numId w:val="1026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3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7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5" w:name="descriptive-analyses"/>
    <w:p>
      <w:pPr>
        <w:pStyle w:val="Heading2"/>
      </w:pPr>
      <w:r>
        <w:t xml:space="preserve">Descriptive Analyses:</w:t>
      </w:r>
    </w:p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136,748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123,078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87,808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78,720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48,940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44,358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4,582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21,614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13,837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88,478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79,671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7,741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42,137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36,804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33,183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28,561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101,612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91,328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10,284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35,137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31,750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12,801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11,518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92,993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83,514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30,954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22,479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107,302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96,299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11,003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17,792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106,637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94,753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11,884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4,381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35,553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61,332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54,673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55,783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6,363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15,124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41,291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12,867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7,917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7,032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25,801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24,781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of-index-hospitalization"/>
    <w:p>
      <w:pPr>
        <w:pStyle w:val="Heading3"/>
      </w:pPr>
      <w:r>
        <w:t xml:space="preserve">Outcomes of Index Hospitalization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136,748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123,078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56,972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56,972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145,810 (68,968, 307,667)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142,535 (66,933, 302,833)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176,502 (88,643, 348,549)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91,369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85,481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30" w:name="multivariable-analyses"/>
    <w:p>
      <w:pPr>
        <w:pStyle w:val="Heading2"/>
      </w:pPr>
      <w:r>
        <w:t xml:space="preserve">Multivariable Analyses</w:t>
      </w:r>
    </w:p>
    <w:bookmarkStart w:id="26" w:name="risk-factors-for-30-day-readmission"/>
    <w:p>
      <w:pPr>
        <w:pStyle w:val="Heading3"/>
      </w:pPr>
      <w:r>
        <w:t xml:space="preserve">Risk Factors for 30-Day Readmission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Non_Home_Discharge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used   (Mb) gc trigger   (Mb)   max used   (Mb)</w:t>
      </w:r>
      <w:r>
        <w:br/>
      </w:r>
      <w:r>
        <w:rPr>
          <w:rStyle w:val="VerbatimChar"/>
        </w:rPr>
        <w:t xml:space="preserve">Ncells  38434275 2052.7  105220756 5619.4  105220756 5619.4</w:t>
      </w:r>
      <w:r>
        <w:br/>
      </w:r>
      <w:r>
        <w:rPr>
          <w:rStyle w:val="VerbatimChar"/>
        </w:rPr>
        <w:t xml:space="preserve">Vcells 657112060 5013.4 1026256031 7829.8 1026255924 7829.8</w:t>
      </w:r>
    </w:p>
    <w:bookmarkEnd w:id="26"/>
    <w:bookmarkStart w:id="27" w:name="top-10-causes-for-readmissions"/>
    <w:p>
      <w:pPr>
        <w:pStyle w:val="Heading3"/>
      </w:pPr>
      <w:r>
        <w:t xml:space="preserve">Top 10 causes for readmissions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Top Causes of Readmission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ICD-10 Description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Hypertensive heart and 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I5023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Sepsis, unspecified organism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I5043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failure, other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J9601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Hypertensive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Paroxysmal tachycardia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I2699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 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Aspiration pneumonitis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</w:tbl>
    <w:bookmarkEnd w:id="27"/>
    <w:bookmarkStart w:id="28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Readmission Hospitalizations resulted in</w:t>
      </w:r>
    </w:p>
    <w:p>
      <w:pPr>
        <w:numPr>
          <w:ilvl w:val="0"/>
          <w:numId w:val="1028"/>
        </w:numPr>
      </w:pPr>
      <w:r>
        <w:t xml:space="preserve">Median Length of Stay (IQR), days: 5 (IQR: 3–9)</w:t>
      </w:r>
    </w:p>
    <w:p>
      <w:pPr>
        <w:numPr>
          <w:ilvl w:val="0"/>
          <w:numId w:val="1028"/>
        </w:numPr>
      </w:pPr>
      <w:r>
        <w:t xml:space="preserve">Median Total Charges (IQR): $41,252 (IQR: $21,473–$89,479)</w:t>
      </w:r>
    </w:p>
    <w:bookmarkEnd w:id="28"/>
    <w:bookmarkStart w:id="29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pStyle w:val="Compact"/>
        <w:numPr>
          <w:ilvl w:val="0"/>
          <w:numId w:val="1029"/>
        </w:numPr>
      </w:pPr>
      <w:r>
        <w:t xml:space="preserve">Deaths (n): 1378</w:t>
      </w:r>
    </w:p>
    <w:p>
      <w:pPr>
        <w:pStyle w:val="Compact"/>
        <w:numPr>
          <w:ilvl w:val="0"/>
          <w:numId w:val="1029"/>
        </w:numPr>
      </w:pPr>
      <w:r>
        <w:t xml:space="preserve">Death Rate (%): 10.09%</w:t>
      </w:r>
    </w:p>
    <w:p>
      <w:pPr>
        <w:pStyle w:val="Compact"/>
        <w:numPr>
          <w:ilvl w:val="0"/>
          <w:numId w:val="1029"/>
        </w:numPr>
      </w:pPr>
      <w:r>
        <w:t xml:space="preserve">Death Rate (95% CI): 9.32% to 10.86%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onlinelibrary.wiley.com/doi/full/10.1002/ejhf.958" TargetMode="External" /><Relationship Type="http://schemas.openxmlformats.org/officeDocument/2006/relationships/hyperlink" Id="rId20" Target="https://pmc.ncbi.nlm.nih.gov/articles/PMC839697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onlinelibrary.wiley.com/doi/full/10.1002/ejhf.958" TargetMode="External" /><Relationship Type="http://schemas.openxmlformats.org/officeDocument/2006/relationships/hyperlink" Id="rId20" Target="https://pmc.ncbi.nlm.nih.gov/articles/PMC839697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Predictors, Outcomes, and Primary Causes of 30-Day Readmission Following Acute Kidney Injury in Cardiogenic Shock: Insights from the Nationwide Readmissions Database</dc:title>
  <dc:creator>Muhammad Umer Sohail</dc:creator>
  <cp:keywords/>
  <dcterms:created xsi:type="dcterms:W3CDTF">2025-07-25T23:50:43Z</dcterms:created>
  <dcterms:modified xsi:type="dcterms:W3CDTF">2025-07-25T23:50:43Z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A18</vt:lpwstr>
  </property>
  <property fmtid="{D5CDD505-2E9C-101B-9397-08002B2CF9AE}" pid="12" name="toc-title">
    <vt:lpwstr>Table of contents</vt:lpwstr>
  </property>
</Properties>
</file>