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 Failure Readmissions in Patients With Iron Deficiency Anemia: Insights From the 2016–2017 Nationwide Readmissions Database</w:t>
      </w:r>
    </w:p>
    <w:p>
      <w:pPr>
        <w:pStyle w:val="Subtitle"/>
      </w:pPr>
      <w:r>
        <w:t xml:space="preserve">Analysis for NRD June A7</w:t>
      </w:r>
    </w:p>
    <w:p>
      <w:pPr>
        <w:pStyle w:val="Author"/>
      </w:pPr>
      <w:r>
        <w:t xml:space="preserve">Muhammad Umer Sohail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Alharbi et al., 2024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Khan et al., 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heart failure and iron deficiency anemia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Heart failure (HF), identified using ICD-10-CM codes for HF (isHF pattern, including I501, I5021, I5023, I5031, I5033, I5041, I5043</w:t>
      </w:r>
      <w:r>
        <w:t xml:space="preserve"> 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Evidence of Iron deficiency anemia (IDA), derived from secondary diagnosis fields using ICD-10-CM patterns D500, D501, D508, D509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planned or injury-related returns unrelated to HF hospitalizations.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Cost: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 (ZIPINC_QRTL)</w:t>
      </w:r>
    </w:p>
    <w:p>
      <w:pPr>
        <w:numPr>
          <w:ilvl w:val="2"/>
          <w:numId w:val="1013"/>
        </w:numPr>
      </w:pPr>
      <w:r>
        <w:t xml:space="preserve">Weekend admission (AWEEKEND)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Standard comorbidities (from Elixhauser Index), using binary indicators: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Diabetes mellitus</w:t>
      </w:r>
    </w:p>
    <w:p>
      <w:pPr>
        <w:numPr>
          <w:ilvl w:val="2"/>
          <w:numId w:val="1014"/>
        </w:numPr>
      </w:pPr>
      <w:r>
        <w:t xml:space="preserve">Hypertension</w:t>
      </w:r>
    </w:p>
    <w:p>
      <w:pPr>
        <w:numPr>
          <w:ilvl w:val="2"/>
          <w:numId w:val="1014"/>
        </w:numPr>
      </w:pPr>
      <w:r>
        <w:t xml:space="preserve">Renal failure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Alcohol abuse</w:t>
      </w:r>
    </w:p>
    <w:p>
      <w:pPr>
        <w:numPr>
          <w:ilvl w:val="1"/>
          <w:numId w:val="1012"/>
        </w:numPr>
      </w:pPr>
      <w:r>
        <w:t xml:space="preserve">Additional clinical risk factors (non-Elixhauser)</w:t>
      </w:r>
    </w:p>
    <w:p>
      <w:pPr>
        <w:numPr>
          <w:ilvl w:val="2"/>
          <w:numId w:val="1015"/>
        </w:numPr>
      </w:pPr>
      <w:r>
        <w:t xml:space="preserve">Smoking</w:t>
      </w:r>
    </w:p>
    <w:p>
      <w:pPr>
        <w:numPr>
          <w:ilvl w:val="2"/>
          <w:numId w:val="1015"/>
        </w:numPr>
      </w:pPr>
      <w:r>
        <w:t xml:space="preserve">HIV</w:t>
      </w:r>
    </w:p>
    <w:p>
      <w:pPr>
        <w:numPr>
          <w:ilvl w:val="2"/>
          <w:numId w:val="1015"/>
        </w:numPr>
      </w:pPr>
      <w:r>
        <w:t xml:space="preserve">Previous Myocardial Infarction</w:t>
      </w:r>
    </w:p>
    <w:p>
      <w:pPr>
        <w:numPr>
          <w:ilvl w:val="2"/>
          <w:numId w:val="1015"/>
        </w:numPr>
      </w:pPr>
      <w:r>
        <w:t xml:space="preserve">Atrial fibrillation</w:t>
      </w:r>
    </w:p>
    <w:p>
      <w:pPr>
        <w:numPr>
          <w:ilvl w:val="2"/>
          <w:numId w:val="1015"/>
        </w:numPr>
      </w:pPr>
      <w:r>
        <w:t xml:space="preserve">Hyperlipidemia</w:t>
      </w:r>
    </w:p>
    <w:p>
      <w:pPr>
        <w:numPr>
          <w:ilvl w:val="2"/>
          <w:numId w:val="1015"/>
        </w:numPr>
      </w:pPr>
      <w:r>
        <w:t xml:space="preserve">Previous stroke</w:t>
      </w:r>
    </w:p>
    <w:p>
      <w:pPr>
        <w:numPr>
          <w:ilvl w:val="1"/>
          <w:numId w:val="1012"/>
        </w:numPr>
      </w:pPr>
      <w:r>
        <w:t xml:space="preserve">Acute complications identified via ICD-10 code matching:</w:t>
      </w:r>
    </w:p>
    <w:p>
      <w:pPr>
        <w:numPr>
          <w:ilvl w:val="2"/>
          <w:numId w:val="1016"/>
        </w:numPr>
      </w:pPr>
      <w:r>
        <w:t xml:space="preserve">Acute Kidney Injury (AKI)</w:t>
      </w:r>
    </w:p>
    <w:p>
      <w:pPr>
        <w:numPr>
          <w:ilvl w:val="2"/>
          <w:numId w:val="1016"/>
        </w:numPr>
      </w:pPr>
      <w:r>
        <w:t xml:space="preserve">Cardiogenic Shock (CS)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7"/>
        </w:numPr>
      </w:pPr>
      <w:r>
        <w:t xml:space="preserve">Hospital bed size (Small, Medium, Large)</w:t>
      </w:r>
    </w:p>
    <w:p>
      <w:pPr>
        <w:numPr>
          <w:ilvl w:val="2"/>
          <w:numId w:val="1017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8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8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9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0"/>
        </w:numPr>
      </w:pPr>
      <w:r>
        <w:t xml:space="preserve">All analyses incorporated NRD’s complex sampling design using discharge weights (DISCWT), strata (NRD_STRATUM), and clustering (HOSP_NRD) via the survey and srvyr packages.</w:t>
      </w:r>
    </w:p>
    <w:p>
      <w:pPr>
        <w:numPr>
          <w:ilvl w:val="1"/>
          <w:numId w:val="1019"/>
        </w:numPr>
      </w:pPr>
      <w:r>
        <w:t xml:space="preserve">Descriptive Statistics:</w:t>
      </w:r>
    </w:p>
    <w:p>
      <w:pPr>
        <w:numPr>
          <w:ilvl w:val="2"/>
          <w:numId w:val="1021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21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2"/>
        </w:numPr>
      </w:pPr>
      <w:r>
        <w:t xml:space="preserve">With 30-day readmission</w:t>
      </w:r>
    </w:p>
    <w:p>
      <w:pPr>
        <w:numPr>
          <w:ilvl w:val="3"/>
          <w:numId w:val="1022"/>
        </w:numPr>
      </w:pPr>
      <w:r>
        <w:t xml:space="preserve">Without readmission</w:t>
      </w:r>
    </w:p>
    <w:p>
      <w:pPr>
        <w:numPr>
          <w:ilvl w:val="2"/>
          <w:numId w:val="1021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9"/>
        </w:numPr>
      </w:pPr>
      <w:r>
        <w:t xml:space="preserve">Multivariable Regression:</w:t>
      </w:r>
    </w:p>
    <w:p>
      <w:pPr>
        <w:numPr>
          <w:ilvl w:val="2"/>
          <w:numId w:val="1023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3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3"/>
        </w:numPr>
      </w:pPr>
      <w:r>
        <w:t xml:space="preserve">Reference levels were explicitly set (e.g., Male, LOS ≤4 days).</w:t>
      </w:r>
    </w:p>
    <w:p>
      <w:pPr>
        <w:numPr>
          <w:ilvl w:val="2"/>
          <w:numId w:val="1023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2"/>
    <w:bookmarkStart w:id="26" w:name="descriptive-statistics"/>
    <w:p>
      <w:pPr>
        <w:pStyle w:val="Heading2"/>
      </w:pPr>
      <w:r>
        <w:t xml:space="preserve">Descriptive Statistics:</w:t>
      </w:r>
    </w:p>
    <w:bookmarkStart w:id="23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4"/>
        </w:numPr>
      </w:pPr>
      <w:r>
        <w:t xml:space="preserve">Readmission (n): 11990</w:t>
      </w:r>
    </w:p>
    <w:p>
      <w:pPr>
        <w:numPr>
          <w:ilvl w:val="0"/>
          <w:numId w:val="1024"/>
        </w:numPr>
      </w:pPr>
      <w:r>
        <w:t xml:space="preserve">Readmission Rate (%): 20.25%</w:t>
      </w:r>
    </w:p>
    <w:p>
      <w:pPr>
        <w:numPr>
          <w:ilvl w:val="0"/>
          <w:numId w:val="1024"/>
        </w:numPr>
      </w:pPr>
      <w:r>
        <w:t xml:space="preserve">Readmission Rate (95% CI): 19.71% to 20.8%</w:t>
      </w:r>
    </w:p>
    <w:bookmarkEnd w:id="23"/>
    <w:bookmarkStart w:id="24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Deaths (n): 1564</w:t>
      </w:r>
    </w:p>
    <w:p>
      <w:pPr>
        <w:numPr>
          <w:ilvl w:val="0"/>
          <w:numId w:val="1025"/>
        </w:numPr>
      </w:pPr>
      <w:r>
        <w:t xml:space="preserve">Death Rate (%): 2.64%</w:t>
      </w:r>
    </w:p>
    <w:p>
      <w:pPr>
        <w:numPr>
          <w:ilvl w:val="0"/>
          <w:numId w:val="1025"/>
        </w:numPr>
      </w:pPr>
      <w:r>
        <w:t xml:space="preserve">Death Rate (95% CI): 2.42% to 2.87%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Deaths (n): 772</w:t>
      </w:r>
    </w:p>
    <w:p>
      <w:pPr>
        <w:numPr>
          <w:ilvl w:val="0"/>
          <w:numId w:val="1026"/>
        </w:numPr>
      </w:pPr>
      <w:r>
        <w:t xml:space="preserve">Death Rate (%): 6.46%</w:t>
      </w:r>
    </w:p>
    <w:p>
      <w:pPr>
        <w:numPr>
          <w:ilvl w:val="0"/>
          <w:numId w:val="1026"/>
        </w:numPr>
      </w:pPr>
      <w:r>
        <w:t xml:space="preserve">Death Rate (95% CI): 5.75% to 7.18%</w:t>
      </w:r>
    </w:p>
    <w:bookmarkEnd w:id="24"/>
    <w:bookmarkStart w:id="25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7"/>
        </w:numPr>
      </w:pPr>
      <w:r>
        <w:t xml:space="preserve">Mean Length of Stay (days): 6.54</w:t>
      </w:r>
    </w:p>
    <w:p>
      <w:pPr>
        <w:numPr>
          <w:ilvl w:val="0"/>
          <w:numId w:val="1027"/>
        </w:numPr>
      </w:pPr>
      <w:r>
        <w:t xml:space="preserve">Mean Length of Stay (95% CI): 6.41 to 6.67</w:t>
      </w:r>
    </w:p>
    <w:p>
      <w:pPr>
        <w:numPr>
          <w:ilvl w:val="0"/>
          <w:numId w:val="1027"/>
        </w:numPr>
      </w:pPr>
      <w:r>
        <w:t xml:space="preserve">Mean Charge ($): 57435</w:t>
      </w:r>
    </w:p>
    <w:p>
      <w:pPr>
        <w:numPr>
          <w:ilvl w:val="0"/>
          <w:numId w:val="1027"/>
        </w:numPr>
      </w:pPr>
      <w:r>
        <w:t xml:space="preserve">Mean Charge (95% CI): 54975 to 59894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8"/>
        </w:numPr>
      </w:pPr>
      <w:r>
        <w:t xml:space="preserve">Mean Length of Stay (days): 6.38</w:t>
      </w:r>
    </w:p>
    <w:p>
      <w:pPr>
        <w:numPr>
          <w:ilvl w:val="0"/>
          <w:numId w:val="1028"/>
        </w:numPr>
      </w:pPr>
      <w:r>
        <w:t xml:space="preserve">Mean Length of Stay (95% CI): 6.19 to 6.58</w:t>
      </w:r>
    </w:p>
    <w:p>
      <w:pPr>
        <w:numPr>
          <w:ilvl w:val="0"/>
          <w:numId w:val="1028"/>
        </w:numPr>
      </w:pPr>
      <w:r>
        <w:t xml:space="preserve">Mean Charge ($): 62899</w:t>
      </w:r>
    </w:p>
    <w:p>
      <w:pPr>
        <w:numPr>
          <w:ilvl w:val="0"/>
          <w:numId w:val="1028"/>
        </w:numPr>
      </w:pPr>
      <w:r>
        <w:t xml:space="preserve">Mean Charge (95% CI): 58434 to 67365</w:t>
      </w:r>
    </w:p>
    <w:bookmarkEnd w:id="25"/>
    <w:bookmarkEnd w:id="26"/>
    <w:bookmarkStart w:id="27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47,213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11,991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20,824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26,387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26,389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6,428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32,817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15,088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19,244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12,296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15,513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11,077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13,729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9,916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36,170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9,100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45,269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11,044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13,935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8,413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10,385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26,088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32,938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15,881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11,743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14,796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30,874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38,664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4,596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5,743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12,329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22,904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29,222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4,814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16,224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19,664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24,576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6,308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30,884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Transient ischemic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7,699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24,398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7,041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31,439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End-stage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1,614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2,156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1,529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22,427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28,264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15,120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19,696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25,296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3,826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1,238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1,502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16,621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4,706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21,327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22,326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27,691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24,887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31,513 (53%)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7"/>
    <w:bookmarkStart w:id="29" w:name="multivariable-regression"/>
    <w:p>
      <w:pPr>
        <w:pStyle w:val="Heading2"/>
      </w:pPr>
      <w:r>
        <w:t xml:space="preserve">Multivariable Regression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 or Transient ischemic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End-stage 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8563807/" TargetMode="External" /><Relationship Type="http://schemas.openxmlformats.org/officeDocument/2006/relationships/hyperlink" Id="rId21" Target="https://www.ahajournals.org/doi/10.1161/CIRCHEARTFAILURE.121.0083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8563807/" TargetMode="External" /><Relationship Type="http://schemas.openxmlformats.org/officeDocument/2006/relationships/hyperlink" Id="rId21" Target="https://www.ahajournals.org/doi/10.1161/CIRCHEARTFAILURE.121.0083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Failure Readmissions in Patients With Iron Deficiency Anemia: Insights From the 2016–2017 Nationwide Readmissions Database</dc:title>
  <dc:creator>Muhammad Umer Sohail</dc:creator>
  <cp:keywords/>
  <dcterms:created xsi:type="dcterms:W3CDTF">2025-07-13T14:44:21Z</dcterms:created>
  <dcterms:modified xsi:type="dcterms:W3CDTF">2025-07-13T14:44:21Z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NRD June A7</vt:lpwstr>
  </property>
  <property fmtid="{D5CDD505-2E9C-101B-9397-08002B2CF9AE}" pid="12" name="toc-title">
    <vt:lpwstr>Table of contents</vt:lpwstr>
  </property>
</Properties>
</file>