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Left Ventricular Assist Device Use and Risk of Gastrointestinal Bleeding Readmission After Heart Failure Hospitalization</w:t>
      </w:r>
    </w:p>
    <w:p>
      <w:pPr>
        <w:pStyle w:val="Subtitle"/>
      </w:pPr>
      <w:r>
        <w:t xml:space="preserve">An Analysis of the Nationwide Readmissions Database, 2016-2017</w:t>
      </w:r>
    </w:p>
    <w:p>
      <w:pPr>
        <w:pStyle w:val="Author"/>
      </w:pPr>
      <w:r>
        <w:t xml:space="preserve">Muhammad Umer Sohail</w:t>
      </w:r>
    </w:p>
    <w:bookmarkStart w:id="20" w:name="preamble"/>
    <w:p>
      <w:pPr>
        <w:pStyle w:val="Heading2"/>
      </w:pPr>
      <w:r>
        <w:t xml:space="preserve">Preamble:</w:t>
      </w:r>
    </w:p>
    <w:p>
      <w:pPr>
        <w:pStyle w:val="FirstParagraph"/>
      </w:pPr>
      <w:r>
        <w:rPr>
          <w:b/>
          <w:bCs/>
        </w:rPr>
        <w:t xml:space="preserve">Objective:</w:t>
      </w:r>
    </w:p>
    <w:p>
      <w:pPr>
        <w:pStyle w:val="BodyText"/>
      </w:pPr>
      <w:r>
        <w:t xml:space="preserve">Gastrointestinal bleeding (GIB) is a common and potentially life-threatening complication among patients with heart failure (HF) and represents a major cause of morbidity and hospital readmission. Patients supported with left ventricular assist devices (LVADs) are particularly vulnerable to GIB due to chronic anticoagulation, acquired von Willebrand factor deficiency, and gastrointestinal angiodysplasia, making bleeding one of the most frequent non-cardiac causes of rehospitalization in this population.</w:t>
      </w:r>
    </w:p>
    <w:p>
      <w:pPr>
        <w:pStyle w:val="BodyText"/>
      </w:pPr>
      <w:r>
        <w:t xml:space="preserve">Although the association between LVAD support and gastrointestinal bleeding is well recognized, the impact of LVAD status on GIB-related readmission following a heart failure hospitalization has not been well defined at a national level. The primary objective of this study was to evaluate the association between LVAD use and 30-day gastrointestinal bleeding readmission among adults hospitalized with a principal diagnosis of heart failure.</w:t>
      </w:r>
    </w:p>
    <w:p>
      <w:pPr>
        <w:pStyle w:val="BodyText"/>
      </w:pPr>
      <w:r>
        <w:rPr>
          <w:b/>
          <w:bCs/>
        </w:rPr>
        <w:t xml:space="preserve">Data Source:</w:t>
      </w:r>
    </w:p>
    <w:p>
      <w:pPr>
        <w:pStyle w:val="BodyText"/>
      </w:pPr>
      <w:r>
        <w:t xml:space="preserve">We used the Nationwide Readmissions Database (NRD) for years 2016–2017, an all-payer dataset representing approximately half of all U.S. hospitalizations and specifically designed for readmission analyses. Survey strata, hospital-level clustering, and discharge weights were incorporated to generate nationally representative estimates. To address measured confounding between LVAD and non-LVAD, we estimated stabilized propensity score weights and multiplied these with NRD discharge weights to construct a final analysis weight.</w:t>
      </w:r>
    </w:p>
    <w:p>
      <w:pPr>
        <w:pStyle w:val="BodyText"/>
      </w:pPr>
      <w:r>
        <w:rPr>
          <w:b/>
          <w:bCs/>
        </w:rPr>
        <w:t xml:space="preserve">Cohort Definition:</w:t>
      </w:r>
    </w:p>
    <w:p>
      <w:pPr>
        <w:pStyle w:val="BodyText"/>
      </w:pPr>
      <w:r>
        <w:t xml:space="preserve">We built a cohort of adult hospitalizations with index Heart failure hospitalizations stratified by LVAD use, identified as follows:</w:t>
      </w:r>
    </w:p>
    <w:p>
      <w:pPr>
        <w:numPr>
          <w:ilvl w:val="0"/>
          <w:numId w:val="1001"/>
        </w:numPr>
      </w:pPr>
      <w:r>
        <w:rPr>
          <w:b/>
          <w:bCs/>
        </w:rPr>
        <w:t xml:space="preserve">Adult hospitalizations</w:t>
      </w:r>
      <w:r>
        <w:br/>
      </w:r>
      <w:r>
        <w:t xml:space="preserve">All encounters for patients aged ≥18 years were included.</w:t>
      </w:r>
    </w:p>
    <w:p>
      <w:pPr>
        <w:numPr>
          <w:ilvl w:val="0"/>
          <w:numId w:val="1001"/>
        </w:numPr>
      </w:pPr>
      <w:r>
        <w:rPr>
          <w:b/>
          <w:bCs/>
        </w:rPr>
        <w:t xml:space="preserve">Heart Failure (index event) and LVAD</w:t>
      </w:r>
      <w:r>
        <w:br/>
      </w:r>
      <w:r>
        <w:t xml:space="preserve">Index hospitalizations with a principal diagnosis of HF were identified using ICD-10-CM codes I50.1, I50.20, I50.21, I50.22, I50.23, I50.30, I50.31, I50.32, I50.33, I50.40, I50.41, I50.42, I50.43, I50.810, I50.811, I50.812, I50.813, I50.814, I50.82, I50.83, I50.84, I50.89, I50.9. LVAD’s were identified using the ICD-10 code Z95811.</w:t>
      </w:r>
    </w:p>
    <w:p>
      <w:pPr>
        <w:numPr>
          <w:ilvl w:val="0"/>
          <w:numId w:val="1001"/>
        </w:numPr>
      </w:pPr>
      <w:r>
        <w:rPr>
          <w:b/>
          <w:bCs/>
        </w:rPr>
        <w:t xml:space="preserve">GI bleeding</w:t>
      </w:r>
      <w:r>
        <w:br/>
      </w:r>
      <w:r>
        <w:t xml:space="preserve">GI bleeding was identified using ICD-10-CM codes for upper and lower gastrointestinal hemorrhage, including variceal bleeding, peptic ulcer disease, angiodysplasia, inflammatory bowel disease–related bleeding, diverticular bleeding, ischemic colitis, and unspecified GI hemorrhage (I85.01–I85.11, K20.81–K28.6, K29.x1, K31.811–K31.82, K50.x11–K51.x11, K55.21, K57.x1/x3, K62.5, K92.0–K92.2).</w:t>
      </w:r>
    </w:p>
    <w:p>
      <w:pPr>
        <w:numPr>
          <w:ilvl w:val="0"/>
          <w:numId w:val="1001"/>
        </w:numPr>
      </w:pPr>
      <w:r>
        <w:rPr>
          <w:b/>
          <w:bCs/>
        </w:rPr>
        <w:t xml:space="preserve">Exclusion Criteria</w:t>
      </w:r>
      <w:r>
        <w:br/>
      </w:r>
      <w:r>
        <w:t xml:space="preserve">Patients with a diagnosis of gastrointestinal bleeding during the index heart failure hospitalization were excluded to ensure that 30-day readmissions represented new clinical events rather than the continuation of index pathologies.</w:t>
      </w:r>
    </w:p>
    <w:p>
      <w:pPr>
        <w:numPr>
          <w:ilvl w:val="0"/>
          <w:numId w:val="1001"/>
        </w:numPr>
      </w:pPr>
      <w:r>
        <w:rPr>
          <w:b/>
          <w:bCs/>
        </w:rPr>
        <w:t xml:space="preserve">Readmission tracking</w:t>
      </w:r>
      <w:r>
        <w:br/>
      </w:r>
      <w:r>
        <w:t xml:space="preserve">NRD-designated rules were used to identify index discharges eligible for 30-day follow-up. Patients discharged in December were excluded, as mandated by the NRD readmission methodology.</w:t>
      </w:r>
    </w:p>
    <w:p>
      <w:pPr>
        <w:pStyle w:val="FirstParagraph"/>
      </w:pPr>
      <w:r>
        <w:rPr>
          <w:b/>
          <w:bCs/>
        </w:rPr>
        <w:t xml:space="preserve">Exposure:</w:t>
      </w:r>
    </w:p>
    <w:p>
      <w:pPr>
        <w:pStyle w:val="BodyText"/>
      </w:pPr>
      <w:r>
        <w:t xml:space="preserve">The primary exposure was</w:t>
      </w:r>
      <w:r>
        <w:t xml:space="preserve"> </w:t>
      </w:r>
      <w:r>
        <w:rPr>
          <w:b/>
          <w:bCs/>
        </w:rPr>
        <w:t xml:space="preserve">LVAD</w:t>
      </w:r>
      <w:r>
        <w:t xml:space="preserve"> </w:t>
      </w:r>
      <w:r>
        <w:t xml:space="preserve">during the index HF hospitalization, identified using ICD-10 Diagnosis code Z95811.</w:t>
      </w:r>
    </w:p>
    <w:p>
      <w:pPr>
        <w:pStyle w:val="BodyText"/>
      </w:pPr>
      <w:r>
        <w:rPr>
          <w:b/>
          <w:bCs/>
        </w:rPr>
        <w:t xml:space="preserve">Outcomes:</w:t>
      </w:r>
    </w:p>
    <w:p>
      <w:pPr>
        <w:pStyle w:val="BodyText"/>
      </w:pPr>
      <w:r>
        <w:t xml:space="preserve">The primary outcome was</w:t>
      </w:r>
      <w:r>
        <w:t xml:space="preserve"> </w:t>
      </w:r>
      <w:r>
        <w:rPr>
          <w:b/>
          <w:bCs/>
        </w:rPr>
        <w:t xml:space="preserve">30-day Gastrointestinal bleeding readmission</w:t>
      </w:r>
      <w:r>
        <w:t xml:space="preserve">, defined using ICD-10-CM GIB codes in the principal diagnosis field of the readmission encounter. Secondary outcomes included:</w:t>
      </w:r>
    </w:p>
    <w:p>
      <w:pPr>
        <w:pStyle w:val="Compact"/>
        <w:numPr>
          <w:ilvl w:val="0"/>
          <w:numId w:val="1002"/>
        </w:numPr>
      </w:pPr>
      <w:r>
        <w:rPr>
          <w:b/>
          <w:bCs/>
        </w:rPr>
        <w:t xml:space="preserve">In-hospital mortality during the index hospitalization</w:t>
      </w:r>
    </w:p>
    <w:p>
      <w:pPr>
        <w:pStyle w:val="Compact"/>
        <w:numPr>
          <w:ilvl w:val="0"/>
          <w:numId w:val="1002"/>
        </w:numPr>
      </w:pPr>
      <w:r>
        <w:rPr>
          <w:b/>
          <w:bCs/>
        </w:rPr>
        <w:t xml:space="preserve">Length of stay (LOS)</w:t>
      </w:r>
      <w:r>
        <w:t xml:space="preserve">, measured in days</w:t>
      </w:r>
    </w:p>
    <w:p>
      <w:pPr>
        <w:pStyle w:val="Compact"/>
        <w:numPr>
          <w:ilvl w:val="0"/>
          <w:numId w:val="1002"/>
        </w:numPr>
      </w:pPr>
      <w:r>
        <w:rPr>
          <w:b/>
          <w:bCs/>
        </w:rPr>
        <w:t xml:space="preserve">Inflation-adjusted total hospital charges</w:t>
      </w:r>
      <w:r>
        <w:t xml:space="preserve">, expressed in 2017 U.S. dollars</w:t>
      </w:r>
    </w:p>
    <w:p>
      <w:pPr>
        <w:pStyle w:val="Compact"/>
        <w:numPr>
          <w:ilvl w:val="0"/>
          <w:numId w:val="1002"/>
        </w:numPr>
      </w:pPr>
      <w:r>
        <w:rPr>
          <w:b/>
          <w:bCs/>
        </w:rPr>
        <w:t xml:space="preserve">Non-home discharge disposition</w:t>
      </w:r>
      <w:r>
        <w:t xml:space="preserve"> </w:t>
      </w:r>
      <w:r>
        <w:t xml:space="preserve">(transfer, skilled nursing/intermediate facility, AMA, unknown destination, or in-hospital death)</w:t>
      </w:r>
    </w:p>
    <w:bookmarkEnd w:id="20"/>
    <w:bookmarkStart w:id="21" w:name="covariates"/>
    <w:p>
      <w:pPr>
        <w:pStyle w:val="Heading2"/>
      </w:pPr>
      <w:r>
        <w:t xml:space="preserve">Covariates</w:t>
      </w:r>
    </w:p>
    <w:p>
      <w:pPr>
        <w:pStyle w:val="FirstParagraph"/>
      </w:pPr>
      <w:r>
        <w:t xml:space="preserve">We accounted for demographic, clinical, and hospital characteristics hypothesized to influence GIB readmission risk. These variables were included in both propensity score estimation and multivariable outcome modeling:</w:t>
      </w:r>
    </w:p>
    <w:p>
      <w:pPr>
        <w:pStyle w:val="Compact"/>
        <w:numPr>
          <w:ilvl w:val="0"/>
          <w:numId w:val="1003"/>
        </w:numPr>
      </w:pPr>
      <w:r>
        <w:rPr>
          <w:b/>
          <w:bCs/>
        </w:rPr>
        <w:t xml:space="preserve">Demographics</w:t>
      </w:r>
      <w:r>
        <w:t xml:space="preserve">: age, sex, primary expected payer and median household income quartile by ZIP code.</w:t>
      </w:r>
    </w:p>
    <w:p>
      <w:pPr>
        <w:pStyle w:val="Compact"/>
        <w:numPr>
          <w:ilvl w:val="0"/>
          <w:numId w:val="1003"/>
        </w:numPr>
      </w:pPr>
      <w:r>
        <w:rPr>
          <w:b/>
          <w:bCs/>
        </w:rPr>
        <w:t xml:space="preserve">Clinical characteristics</w:t>
      </w:r>
      <w:r>
        <w:t xml:space="preserve">: Elixhauser comorbidity index, Cardiogenic shock, and mechanical ventilation.</w:t>
      </w:r>
    </w:p>
    <w:p>
      <w:pPr>
        <w:pStyle w:val="Compact"/>
        <w:numPr>
          <w:ilvl w:val="0"/>
          <w:numId w:val="1003"/>
        </w:numPr>
      </w:pPr>
      <w:r>
        <w:rPr>
          <w:b/>
          <w:bCs/>
        </w:rPr>
        <w:t xml:space="preserve">Hospital characteristics</w:t>
      </w:r>
      <w:r>
        <w:t xml:space="preserve">: hospital bed size, hospital location/teaching status, weekend admission, elective vs. non-elective admission.</w:t>
      </w:r>
    </w:p>
    <w:bookmarkEnd w:id="21"/>
    <w:bookmarkStart w:id="22" w:name="statistical-analysis"/>
    <w:p>
      <w:pPr>
        <w:pStyle w:val="Heading2"/>
      </w:pPr>
      <w:r>
        <w:t xml:space="preserve">Statistical Analysis</w:t>
      </w:r>
    </w:p>
    <w:p>
      <w:pPr>
        <w:pStyle w:val="FirstParagraph"/>
      </w:pPr>
      <w:r>
        <w:t xml:space="preserve">All analyses accounted for NRD’s complex survey design, incorporating stratification, clustering, and discharge weights. Descriptive comparisons of baseline characteristics and outcomes by LVAD status were conducted using survey-weighted summary statistics.</w:t>
      </w:r>
    </w:p>
    <w:p>
      <w:pPr>
        <w:pStyle w:val="BodyText"/>
      </w:pPr>
      <w:r>
        <w:t xml:space="preserve">To mitigate confounding, we estimated propensity scores for LVAD using a main-effects model that included all covariates listed above. We then constructed inverse probability of treatment weights (IPTW) targeting the average treatment effect (ATE). Covariate balance was evaluated using standardized mean differences (SMDs) and variance ratios, with all values &lt;0.1 indicating adequate balance.</w:t>
      </w:r>
    </w:p>
    <w:p>
      <w:pPr>
        <w:pStyle w:val="BodyText"/>
      </w:pPr>
      <w:r>
        <w:t xml:space="preserve">The association between LVAD and the primary outcome,</w:t>
      </w:r>
      <w:r>
        <w:t xml:space="preserve"> </w:t>
      </w:r>
      <w:r>
        <w:rPr>
          <w:b/>
          <w:bCs/>
        </w:rPr>
        <w:t xml:space="preserve">30-day Gastrointestinal bleeding readmission</w:t>
      </w:r>
      <w:r>
        <w:t xml:space="preserve">, was assessed using a survey-weighted Cox proportional hazards model. The model incorporated all covariates included in the propensity score estimation. Hazard ratios (HRs) with 95% confidence intervals (CIs) were reported.</w:t>
      </w:r>
    </w:p>
    <w:p>
      <w:pPr>
        <w:pStyle w:val="BodyText"/>
      </w:pPr>
      <w:r>
        <w:t xml:space="preserve">Secondary outcomes were evaluated using IPTW-adjusted multivariable regression models.</w:t>
      </w:r>
      <w:r>
        <w:t xml:space="preserve"> </w:t>
      </w:r>
      <w:r>
        <w:rPr>
          <w:b/>
          <w:bCs/>
        </w:rPr>
        <w:t xml:space="preserve">In-hospital mortality</w:t>
      </w:r>
      <w:r>
        <w:t xml:space="preserve"> </w:t>
      </w:r>
      <w:r>
        <w:t xml:space="preserve">and</w:t>
      </w:r>
      <w:r>
        <w:t xml:space="preserve"> </w:t>
      </w:r>
      <w:r>
        <w:rPr>
          <w:b/>
          <w:bCs/>
        </w:rPr>
        <w:t xml:space="preserve">non-home discharge</w:t>
      </w:r>
      <w:r>
        <w:t xml:space="preserve"> </w:t>
      </w:r>
      <w:r>
        <w:t xml:space="preserve">were modeled using survey-weighted logistic regression.</w:t>
      </w:r>
      <w:r>
        <w:t xml:space="preserve"> </w:t>
      </w:r>
      <w:r>
        <w:rPr>
          <w:b/>
          <w:bCs/>
        </w:rPr>
        <w:t xml:space="preserve">Length of stay</w:t>
      </w:r>
      <w:r>
        <w:t xml:space="preserve"> </w:t>
      </w:r>
      <w:r>
        <w:t xml:space="preserve">and</w:t>
      </w:r>
      <w:r>
        <w:t xml:space="preserve"> </w:t>
      </w:r>
      <w:r>
        <w:rPr>
          <w:b/>
          <w:bCs/>
        </w:rPr>
        <w:t xml:space="preserve">inflation-adjusted total charges</w:t>
      </w:r>
      <w:r>
        <w:t xml:space="preserve"> </w:t>
      </w:r>
      <w:r>
        <w:t xml:space="preserve">were modeled using survey-weighted linear. Results for categorical outcomes were expressed as odds ratios (ORs) with 95% CIs, and continuous outcomes were reported as adjusted mean differences with corresponding CIs.</w:t>
      </w:r>
    </w:p>
    <w:bookmarkEnd w:id="22"/>
    <w:bookmarkStart w:id="25" w:name="descriptive-analyses"/>
    <w:p>
      <w:pPr>
        <w:pStyle w:val="Heading2"/>
      </w:pPr>
      <w:r>
        <w:t xml:space="preserve">Descriptive Analyses</w:t>
      </w:r>
    </w:p>
    <w:bookmarkStart w:id="23" w:name="baseline-characteristics"/>
    <w:p>
      <w:pPr>
        <w:pStyle w:val="Heading3"/>
      </w:pPr>
      <w:r>
        <w:t xml:space="preserve">Baseline Characteristics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959,575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LVAD supported Heart Failure hospitalizations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2,036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Non LVAD supported Heart failure hospitalizations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957,539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494,626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1,523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493,103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464,949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512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464,436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100,929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499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100,430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101,507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101,277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713,391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1,205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712,187 (74%)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42,649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42,569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320,168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319,613 (34%)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255,674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255,152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218,906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551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218,355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151,152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150,762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734,749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1,725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733,024 (77%)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224,826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310 (15%)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224,515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51,075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277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50,798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906,842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1,754 (86%)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905,088 (95%)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184,547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184,497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509,721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1,833 (90%)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507,888 (53%)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265,306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 (7.5%)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265,154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260,313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 (3.9%)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260,234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568,341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1,946 (96%)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566,395 (59%)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130,921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130,911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Atrial fibrillation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425,543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965 (47%)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424,578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Renal failure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413,474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1,034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412,440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Liver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44,179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 (6.3%)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44,050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Chronic pulmonary disease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390,499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390,074 (41%)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Myocardial infarction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167,033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374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166,658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Coagulopathy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66,595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338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66,257 (6.9%)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19,280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18,958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18,048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174 (8.5%)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17,875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bookmarkEnd w:id="23"/>
    <w:bookmarkStart w:id="24" w:name="outcomes-of-index-hospitalizations"/>
    <w:p>
      <w:pPr>
        <w:pStyle w:val="Heading3"/>
      </w:pPr>
      <w:r>
        <w:t xml:space="preserve">Outcomes of Index Hospitalizations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959,575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LVAD supported Heart Failure hospitalizations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2,036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Non LVAD supported Heart failure hospitalizations</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957,539</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30-day GI bleeding readmission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3,913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3,870 (0.4%)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In-Hospital Mortality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28,161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28,072 (2.9%)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Length of Stay (days)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 (4.0, 14.0)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 (2.0, 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Inflation-Adjusted Total Charges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27,168 (15,706, 49,337)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54,561 (26,436, 211,075)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27,137 (15,694, 49,242)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Discharged to Non-Home Setting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231,677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232 (11%)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231,445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5"/>
          </w:tcPr>
          <w:p>
            <w:pPr>
              <w:spacing w:before="0" w:after="60"/>
              <w:keepNext/>
            </w:pPr>
            <w:r>
              <w:rPr>
                <w:vertAlign w:val="superscript"/>
                <w:i/>
                <w:rFonts w:ascii="Calibri" w:hAnsi="Calibri"/>
                <w:sz w:val="20"/>
              </w:rPr>
              <w:t xml:space="default">1</w:t>
            </w:r>
            <w:r>
              <w:rPr>
                <w:rFonts w:ascii="Calibri" w:hAnsi="Calibri"/>
                <w:sz w:val="20"/>
              </w:rPr>
              <w:t xml:space="preserve">n (%); Median (Q1, Q3)</w:t>
            </w:r>
          </w:p>
        </w:tc>
      </w:tr>
      <w:tr>
        <w:trPr>
          <w:cantSplit/>
        </w:trPr>
        <w:tc>
          <w:tcPr>
            <w:gridSpan w:val="5"/>
          </w:tcPr>
          <w:p>
            <w:pPr>
              <w:spacing w:before="0" w:after="60"/>
              <w:keepNext/>
            </w:pPr>
            <w:r>
              <w:rPr>
                <w:vertAlign w:val="superscript"/>
                <w:i/>
                <w:rFonts w:ascii="Calibri" w:hAnsi="Calibri"/>
                <w:sz w:val="20"/>
              </w:rPr>
              <w:t xml:space="default">2</w:t>
            </w:r>
            <w:r>
              <w:rPr>
                <w:rFonts w:ascii="Calibri" w:hAnsi="Calibri"/>
                <w:sz w:val="20"/>
              </w:rPr>
              <w:t xml:space="preserve">Pearson's X^2: Rao &amp; Scott adjustment; Design-based KruskalWallis test</w:t>
            </w:r>
          </w:p>
        </w:tc>
      </w:tr>
    </w:tbl>
    <w:bookmarkEnd w:id="24"/>
    <w:bookmarkEnd w:id="25"/>
    <w:bookmarkStart w:id="28" w:name="multivariable-analyses"/>
    <w:p>
      <w:pPr>
        <w:pStyle w:val="Heading2"/>
      </w:pPr>
      <w:r>
        <w:t xml:space="preserve">Multivariable Analyses</w:t>
      </w:r>
    </w:p>
    <w:bookmarkStart w:id="26" w:name="day-gib-readmission"/>
    <w:p>
      <w:pPr>
        <w:pStyle w:val="Heading3"/>
      </w:pPr>
      <w:r>
        <w:t xml:space="preserve">30-Day GIB Readmission</w:t>
      </w:r>
    </w:p>
    <w:p>
      <w:pPr>
        <w:pStyle w:val="SourceCode"/>
      </w:pPr>
      <w:r>
        <w:rPr>
          <w:rStyle w:val="VerbatimChar"/>
        </w:rPr>
        <w:t xml:space="preserve">Stratified 1 - level Cluster Sampling design (with replacement)</w:t>
      </w:r>
      <w:r>
        <w:br/>
      </w:r>
      <w:r>
        <w:rPr>
          <w:rStyle w:val="VerbatimChar"/>
        </w:rPr>
        <w:t xml:space="preserve">With (1136) clusters.</w:t>
      </w:r>
      <w:r>
        <w:br/>
      </w:r>
      <w:r>
        <w:rPr>
          <w:rStyle w:val="VerbatimChar"/>
        </w:rPr>
        <w:t xml:space="preserve">subset(dsgn_iptw, !is.na(DaysToReadmit))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HR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LVAD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LVAD supported Heart Failure hospitalizations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 LVAD supported Heart failure hospitalizations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0.22, 0.52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0.28, 1.21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0.81, 2.57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0.81, 2.95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0.47, 1.96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0.59, 3.11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1.09, 1.91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0.95, 1.82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0.58, 1.62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0.35, 0.60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0.29, 0.56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0.39, 0.77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0.83, 1.00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0.23, 1.04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0.064</w:t>
            </w:r>
          </w:p>
        </w:tc>
      </w:tr>
      <w:tr>
        <w:trPr>
          <w:cantSplit/>
        </w:trPr>
        <w:tc>
          <w:tcPr>
            <w:gridSpan w:val="4"/>
          </w:tcPr>
          <w:p>
            <w:pPr>
              <w:spacing w:before="0" w:after="60"/>
              <w:keepNext/>
            </w:pPr>
            <w:r>
              <w:rPr>
                <w:rFonts w:ascii="Calibri" w:hAnsi="Calibri"/>
                <w:sz w:val="20"/>
              </w:rPr>
              <w:t xml:space="preserve">Abbreviations: CI = Confidence Interval, HR = Hazard Ratio</w:t>
            </w:r>
          </w:p>
        </w:tc>
      </w:tr>
    </w:tbl>
    <w:bookmarkEnd w:id="26"/>
    <w:bookmarkStart w:id="27" w:name="in-hospital-mortality"/>
    <w:p>
      <w:pPr>
        <w:pStyle w:val="Heading3"/>
      </w:pPr>
      <w:r>
        <w:t xml:space="preserve">In-Hospital Mortality: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OR</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LVAD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LVAD supported Heart Failure hospitalizations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 LVAD supported Heart failure hospitalizations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0.84, 5.35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0.36, 1.19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0.58, 2.31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1.49, 9.74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0.65, 1.49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0.96, 5.83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0.98, 3.73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0.56, 3.86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0.70, 3.85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1.55, 15.1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0.94, 18.8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0.24, 3.02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5.12, 16.6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0.91, 1.88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1.88, 9.59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Abbreviations: CI = Confidence Interval, OR = Odds Ratio</w:t>
            </w:r>
          </w:p>
        </w:tc>
      </w:tr>
    </w:tbl>
    <w:bookmarkEnd w:id="27"/>
    <w:bookmarkEnd w:id="28"/>
    <w:bookmarkStart w:id="31" w:name="multivariable-linear-regression"/>
    <w:p>
      <w:pPr>
        <w:pStyle w:val="Heading2"/>
      </w:pPr>
      <w:r>
        <w:t xml:space="preserve">Multivariable Linear Regression:</w:t>
      </w:r>
    </w:p>
    <w:bookmarkStart w:id="29" w:name="length-of-stay"/>
    <w:p>
      <w:pPr>
        <w:pStyle w:val="Heading3"/>
      </w:pPr>
      <w:r>
        <w:t xml:space="preserve">Length of Stay: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LVAD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LVAD supported Heart Failure hospitalizations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 LVAD supported Heart failure hospitalizations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-0.30, 0.02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0.078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-2.4, 0.85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-5.8, 0.95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 -2.1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-1.6, 0.49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 -0.53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-8.3, -1.3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0.96, 4.0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13, 40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29"/>
    <w:bookmarkStart w:id="30" w:name="inflation-adjusted-total-charge"/>
    <w:p>
      <w:pPr>
        <w:pStyle w:val="Heading3"/>
      </w:pPr>
      <w:r>
        <w:t xml:space="preserve">Inflation-adjusted Total Charge: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LVAD categories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LVAD supported Heart Failure hospitalizations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 LVAD supported Heart failure hospitalizations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-63,969, -23,089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 years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-5,008, 1,237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-24,669, 18,089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Primary expected payer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Private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Medicaid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-49,037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-115,144, 17,069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Medicare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-132,890, 20,319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-111,733, -6,476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Median household income quartile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0-25th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26th to 50th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-72,479, 16,207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51st to 75th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-48,120, 49,929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76th to 100th percentile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-63,743, 74,839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Monday-Friday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Saturday-Sunday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-52,621, -12,304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Admission Type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Non-elective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-34,331, 6,412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bed size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Small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Large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-67,459, 16,533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Medium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-108,015, -13,628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Hospital location and teaching status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non-teaching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Metropolitan, teaching</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-55,465, 15,299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Non-metropolitan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-40,084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-81,906, 1,738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Mechanical ventilation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137,625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-54,569, 329,820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Elixhauser Comorbidity Index</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29,604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7,466, 51,741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Cardiogenic Shock</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Yes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567,502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312,425, 822,580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gridSpan w:val="4"/>
          </w:tcPr>
          <w:p>
            <w:pPr>
              <w:spacing w:before="0" w:after="60"/>
              <w:keepNext/>
            </w:pPr>
            <w:r>
              <w:rPr>
                <w:rFonts w:ascii="Calibri" w:hAnsi="Calibri"/>
                <w:sz w:val="20"/>
              </w:rPr>
              <w:t xml:space="preserve">Abbreviation: CI = Confidence Interval</w:t>
            </w:r>
          </w:p>
        </w:tc>
      </w:tr>
    </w:tbl>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Left Ventricular Assist Device Use and Risk of Gastrointestinal Bleeding Readmission After Heart Failure Hospitalization</dc:title>
  <dc:creator>Muhammad Umer Sohail</dc:creator>
  <cp:keywords/>
  <dcterms:created xsi:type="dcterms:W3CDTF">2026-03-01T00:07:18Z</dcterms:created>
  <dcterms:modified xsi:type="dcterms:W3CDTF">2026-03-01T00:07:18Z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An Analysis of the Nationwide Readmissions Database, 2016-2017</vt:lpwstr>
  </property>
  <property fmtid="{D5CDD505-2E9C-101B-9397-08002B2CF9AE}" pid="12" name="toc-title">
    <vt:lpwstr>Table of contents</vt:lpwstr>
  </property>
</Properties>
</file>