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30-Day Readmission in Patients with Pericarditis and Chronic Kidney Disease: Insights From the 2016–2017 Nationwide Readmissions Database</w:t>
      </w:r>
    </w:p>
    <w:p>
      <w:pPr>
        <w:pStyle w:val="Subtitle"/>
      </w:pPr>
      <w:r>
        <w:t xml:space="preserve">RCOP NRD B2</w:t>
      </w:r>
    </w:p>
    <w:p>
      <w:pPr>
        <w:pStyle w:val="Author"/>
      </w:pPr>
      <w:r>
        <w:t xml:space="preserve">Muhammad Umer Sohail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Sreenivasan et al., 2020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evaluate the risk of 30-day all-cause hospital readmission in patients with Pericarditis and Chronic Kidney Disease. The study also characterizes index hospitalization outcomes and readmission stay features. A secondary objective is to identify risk factors associated with 30-day readmission in this high-risk population using a logistic regression model.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This retrospective cohort study used data from the 2016–2017 Nationwide Readmissions Database (NRD), developed by the Healthcare Cost and Utilization Project (HCUP). The NRD is a nationally representative, all-payer database of U.S. hospitalizations that allows linkage of patients across hospital stays within a calendar year. Survey weights, stratification, and clustering variables support complex sampling design for national estimates.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admissions were selected based on the following inclusion criteria:</w:t>
      </w:r>
    </w:p>
    <w:p>
      <w:pPr>
        <w:numPr>
          <w:ilvl w:val="1"/>
          <w:numId w:val="1003"/>
        </w:numPr>
      </w:pPr>
      <w:r>
        <w:t xml:space="preserve">Adults aged ≥18 years</w:t>
      </w:r>
    </w:p>
    <w:p>
      <w:pPr>
        <w:numPr>
          <w:ilvl w:val="1"/>
          <w:numId w:val="1003"/>
        </w:numPr>
      </w:pPr>
      <w:r>
        <w:t xml:space="preserve">Patients with Pericarditis</w:t>
      </w:r>
    </w:p>
    <w:p>
      <w:pPr>
        <w:numPr>
          <w:ilvl w:val="1"/>
          <w:numId w:val="1003"/>
        </w:numPr>
      </w:pPr>
      <w:r>
        <w:t xml:space="preserve">Non-elective admission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0"/>
        </w:numPr>
      </w:pPr>
      <w:r>
        <w:t xml:space="preserve">Readmissions were defined as:</w:t>
      </w:r>
    </w:p>
    <w:p>
      <w:pPr>
        <w:pStyle w:val="Compact"/>
        <w:numPr>
          <w:ilvl w:val="1"/>
          <w:numId w:val="1004"/>
        </w:numPr>
      </w:pPr>
      <w:r>
        <w:t xml:space="preserve">Any non-trauma hospitalization within 30 days of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5"/>
        </w:numPr>
      </w:pPr>
      <w:r>
        <w:t xml:space="preserve">Primary Outcome:</w:t>
      </w:r>
    </w:p>
    <w:p>
      <w:pPr>
        <w:pStyle w:val="Compact"/>
        <w:numPr>
          <w:ilvl w:val="2"/>
          <w:numId w:val="1006"/>
        </w:numPr>
      </w:pPr>
      <w:r>
        <w:t xml:space="preserve">30-day all-cause readmission (Yes/No), flagged using NRD linkage variables</w:t>
      </w:r>
    </w:p>
    <w:p>
      <w:pPr>
        <w:numPr>
          <w:ilvl w:val="1"/>
          <w:numId w:val="1005"/>
        </w:numPr>
      </w:pPr>
      <w:r>
        <w:t xml:space="preserve">Secondary Outcomes (index admission):</w:t>
      </w:r>
    </w:p>
    <w:p>
      <w:pPr>
        <w:numPr>
          <w:ilvl w:val="2"/>
          <w:numId w:val="1007"/>
        </w:numPr>
      </w:pPr>
      <w:r>
        <w:t xml:space="preserve">In-hospital mortality (DIED)</w:t>
      </w:r>
    </w:p>
    <w:p>
      <w:pPr>
        <w:numPr>
          <w:ilvl w:val="2"/>
          <w:numId w:val="1007"/>
        </w:numPr>
      </w:pPr>
      <w:r>
        <w:t xml:space="preserve">Length of stay (LOS, continuous in days and also categorized as ≤4 vs &gt;4 days)</w:t>
      </w:r>
    </w:p>
    <w:p>
      <w:pPr>
        <w:numPr>
          <w:ilvl w:val="2"/>
          <w:numId w:val="1007"/>
        </w:numPr>
      </w:pPr>
      <w:r>
        <w:t xml:space="preserve">Total hospitalization charges (TOTCHG), inflation-adjusted to 2017 USD</w:t>
      </w:r>
    </w:p>
    <w:p>
      <w:pPr>
        <w:numPr>
          <w:ilvl w:val="2"/>
          <w:numId w:val="1007"/>
        </w:numPr>
      </w:pPr>
      <w:r>
        <w:t xml:space="preserve">Non-home discharge</w:t>
      </w:r>
    </w:p>
    <w:p>
      <w:pPr>
        <w:numPr>
          <w:ilvl w:val="2"/>
          <w:numId w:val="1007"/>
        </w:numPr>
      </w:pPr>
      <w:r>
        <w:t xml:space="preserve">Acute myocardial infarction</w:t>
      </w:r>
    </w:p>
    <w:p>
      <w:pPr>
        <w:numPr>
          <w:ilvl w:val="2"/>
          <w:numId w:val="1007"/>
        </w:numPr>
      </w:pPr>
      <w:r>
        <w:t xml:space="preserve">Cardiac Tamponade</w:t>
      </w:r>
    </w:p>
    <w:p>
      <w:pPr>
        <w:numPr>
          <w:ilvl w:val="2"/>
          <w:numId w:val="1007"/>
        </w:numPr>
      </w:pPr>
      <w:r>
        <w:t xml:space="preserve">Stroke</w:t>
      </w:r>
    </w:p>
    <w:p>
      <w:pPr>
        <w:numPr>
          <w:ilvl w:val="1"/>
          <w:numId w:val="1005"/>
        </w:numPr>
      </w:pPr>
      <w:r>
        <w:t xml:space="preserve">Outcomes during readmission:</w:t>
      </w:r>
    </w:p>
    <w:p>
      <w:pPr>
        <w:numPr>
          <w:ilvl w:val="2"/>
          <w:numId w:val="1008"/>
        </w:numPr>
      </w:pPr>
      <w:r>
        <w:t xml:space="preserve">In-hospital mortality</w:t>
      </w:r>
    </w:p>
    <w:p>
      <w:pPr>
        <w:numPr>
          <w:ilvl w:val="2"/>
          <w:numId w:val="1008"/>
        </w:numPr>
      </w:pPr>
      <w:r>
        <w:t xml:space="preserve">Length of stay (LOS, in days)</w:t>
      </w:r>
    </w:p>
    <w:p>
      <w:pPr>
        <w:numPr>
          <w:ilvl w:val="2"/>
          <w:numId w:val="1008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9"/>
        </w:numPr>
      </w:pPr>
      <w:r>
        <w:t xml:space="preserve">Readmission:</w:t>
      </w:r>
    </w:p>
    <w:p>
      <w:pPr>
        <w:numPr>
          <w:ilvl w:val="2"/>
          <w:numId w:val="1010"/>
        </w:numPr>
      </w:pPr>
      <w:r>
        <w:t xml:space="preserve">Defined using HCUP NRD’s methodology. Readmissions were identified only among patients with qualifying index events.</w:t>
      </w:r>
    </w:p>
    <w:p>
      <w:pPr>
        <w:numPr>
          <w:ilvl w:val="2"/>
          <w:numId w:val="1010"/>
        </w:numPr>
      </w:pPr>
      <w:r>
        <w:t xml:space="preserve">Trauma-related hospitalizations were excluded only from the readmission pool to avoid unrelated admissions.</w:t>
      </w:r>
    </w:p>
    <w:p>
      <w:pPr>
        <w:numPr>
          <w:ilvl w:val="1"/>
          <w:numId w:val="1009"/>
        </w:numPr>
      </w:pPr>
      <w:r>
        <w:t xml:space="preserve">Mortality:</w:t>
      </w:r>
    </w:p>
    <w:p>
      <w:pPr>
        <w:pStyle w:val="Compact"/>
        <w:numPr>
          <w:ilvl w:val="2"/>
          <w:numId w:val="1011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09"/>
        </w:numPr>
      </w:pPr>
      <w:r>
        <w:t xml:space="preserve">LOS:</w:t>
      </w:r>
    </w:p>
    <w:p>
      <w:pPr>
        <w:pStyle w:val="Compact"/>
        <w:numPr>
          <w:ilvl w:val="2"/>
          <w:numId w:val="1012"/>
        </w:numPr>
      </w:pPr>
      <w:r>
        <w:t xml:space="preserve">Reported in days; modeled as count outcome</w:t>
      </w:r>
    </w:p>
    <w:p>
      <w:pPr>
        <w:numPr>
          <w:ilvl w:val="1"/>
          <w:numId w:val="1009"/>
        </w:numPr>
      </w:pPr>
      <w:r>
        <w:t xml:space="preserve">Charge:</w:t>
      </w:r>
    </w:p>
    <w:p>
      <w:pPr>
        <w:pStyle w:val="Compact"/>
        <w:numPr>
          <w:ilvl w:val="2"/>
          <w:numId w:val="1013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1"/>
          <w:numId w:val="1009"/>
        </w:numPr>
      </w:pPr>
      <w:r>
        <w:t xml:space="preserve">Non-Home Discharge:</w:t>
      </w:r>
    </w:p>
    <w:p>
      <w:pPr>
        <w:numPr>
          <w:ilvl w:val="2"/>
          <w:numId w:val="1014"/>
        </w:numPr>
      </w:pPr>
      <w:r>
        <w:t xml:space="preserve">Defined as any disposition other than home/self-care, specifically:</w:t>
      </w:r>
    </w:p>
    <w:p>
      <w:pPr>
        <w:numPr>
          <w:ilvl w:val="3"/>
          <w:numId w:val="1015"/>
        </w:numPr>
      </w:pPr>
      <w:r>
        <w:t xml:space="preserve">Transfer to another short-term hospital</w:t>
      </w:r>
    </w:p>
    <w:p>
      <w:pPr>
        <w:numPr>
          <w:ilvl w:val="3"/>
          <w:numId w:val="1015"/>
        </w:numPr>
      </w:pPr>
      <w:r>
        <w:t xml:space="preserve">Transfer to skilled nursing facility (SNF), intermediate, or other facility</w:t>
      </w:r>
    </w:p>
    <w:p>
      <w:pPr>
        <w:numPr>
          <w:ilvl w:val="3"/>
          <w:numId w:val="1015"/>
        </w:numPr>
      </w:pPr>
      <w:r>
        <w:t xml:space="preserve">Left against medical advice</w:t>
      </w:r>
    </w:p>
    <w:p>
      <w:pPr>
        <w:numPr>
          <w:ilvl w:val="3"/>
          <w:numId w:val="1015"/>
        </w:numPr>
      </w:pPr>
      <w:r>
        <w:t xml:space="preserve">Died in hospital</w:t>
      </w:r>
    </w:p>
    <w:p>
      <w:pPr>
        <w:numPr>
          <w:ilvl w:val="3"/>
          <w:numId w:val="1015"/>
        </w:numPr>
      </w:pPr>
      <w:r>
        <w:t xml:space="preserve">Alive, destination unknown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and Variable Construction:</w:t>
      </w:r>
    </w:p>
    <w:p>
      <w:pPr>
        <w:numPr>
          <w:ilvl w:val="1"/>
          <w:numId w:val="1016"/>
        </w:numPr>
      </w:pPr>
      <w:r>
        <w:t xml:space="preserve">Demographic &amp; Socioeconomic Factors:</w:t>
      </w:r>
    </w:p>
    <w:p>
      <w:pPr>
        <w:numPr>
          <w:ilvl w:val="2"/>
          <w:numId w:val="1017"/>
        </w:numPr>
      </w:pPr>
      <w:r>
        <w:t xml:space="preserve">Age (continuous)</w:t>
      </w:r>
    </w:p>
    <w:p>
      <w:pPr>
        <w:numPr>
          <w:ilvl w:val="2"/>
          <w:numId w:val="1017"/>
        </w:numPr>
      </w:pPr>
      <w:r>
        <w:t xml:space="preserve">Sex (FEMALE; ref = Male)</w:t>
      </w:r>
    </w:p>
    <w:p>
      <w:pPr>
        <w:numPr>
          <w:ilvl w:val="2"/>
          <w:numId w:val="1017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7"/>
        </w:numPr>
      </w:pPr>
      <w:r>
        <w:t xml:space="preserve">ZIP-based median income quartile (ZIPINC_QRTL)</w:t>
      </w:r>
    </w:p>
    <w:p>
      <w:pPr>
        <w:numPr>
          <w:ilvl w:val="2"/>
          <w:numId w:val="1017"/>
        </w:numPr>
      </w:pPr>
      <w:r>
        <w:t xml:space="preserve">Weekend admission (AWEEKEND)</w:t>
      </w:r>
    </w:p>
    <w:p>
      <w:pPr>
        <w:numPr>
          <w:ilvl w:val="1"/>
          <w:numId w:val="1016"/>
        </w:numPr>
      </w:pPr>
      <w:r>
        <w:t xml:space="preserve">Clinical Comorbidities:</w:t>
      </w:r>
    </w:p>
    <w:p>
      <w:pPr>
        <w:numPr>
          <w:ilvl w:val="2"/>
          <w:numId w:val="1018"/>
        </w:numPr>
      </w:pPr>
      <w:r>
        <w:t xml:space="preserve">Peripheral vascular disease</w:t>
      </w:r>
    </w:p>
    <w:p>
      <w:pPr>
        <w:numPr>
          <w:ilvl w:val="2"/>
          <w:numId w:val="1018"/>
        </w:numPr>
      </w:pPr>
      <w:r>
        <w:t xml:space="preserve">Congestive heart failure</w:t>
      </w:r>
    </w:p>
    <w:p>
      <w:pPr>
        <w:numPr>
          <w:ilvl w:val="2"/>
          <w:numId w:val="1018"/>
        </w:numPr>
      </w:pPr>
      <w:r>
        <w:t xml:space="preserve">Chronic pulmonary disease</w:t>
      </w:r>
    </w:p>
    <w:p>
      <w:pPr>
        <w:numPr>
          <w:ilvl w:val="2"/>
          <w:numId w:val="1018"/>
        </w:numPr>
      </w:pPr>
      <w:r>
        <w:t xml:space="preserve">Liver disease</w:t>
      </w:r>
    </w:p>
    <w:p>
      <w:pPr>
        <w:numPr>
          <w:ilvl w:val="2"/>
          <w:numId w:val="1018"/>
        </w:numPr>
      </w:pPr>
      <w:r>
        <w:t xml:space="preserve">Obesity</w:t>
      </w:r>
    </w:p>
    <w:p>
      <w:pPr>
        <w:numPr>
          <w:ilvl w:val="2"/>
          <w:numId w:val="1018"/>
        </w:numPr>
      </w:pPr>
      <w:r>
        <w:t xml:space="preserve">Alcohol abuse</w:t>
      </w:r>
    </w:p>
    <w:p>
      <w:pPr>
        <w:numPr>
          <w:ilvl w:val="2"/>
          <w:numId w:val="1018"/>
        </w:numPr>
      </w:pPr>
      <w:r>
        <w:t xml:space="preserve">Anemia</w:t>
      </w:r>
    </w:p>
    <w:p>
      <w:pPr>
        <w:numPr>
          <w:ilvl w:val="2"/>
          <w:numId w:val="1018"/>
        </w:numPr>
      </w:pPr>
      <w:r>
        <w:t xml:space="preserve">Hypertension</w:t>
      </w:r>
    </w:p>
    <w:p>
      <w:pPr>
        <w:numPr>
          <w:ilvl w:val="2"/>
          <w:numId w:val="1018"/>
        </w:numPr>
      </w:pPr>
      <w:r>
        <w:t xml:space="preserve">Smoking</w:t>
      </w:r>
    </w:p>
    <w:p>
      <w:pPr>
        <w:numPr>
          <w:ilvl w:val="2"/>
          <w:numId w:val="1018"/>
        </w:numPr>
      </w:pPr>
      <w:r>
        <w:t xml:space="preserve">Atrial Fibrillation</w:t>
      </w:r>
    </w:p>
    <w:p>
      <w:pPr>
        <w:numPr>
          <w:ilvl w:val="2"/>
          <w:numId w:val="1018"/>
        </w:numPr>
      </w:pPr>
      <w:r>
        <w:t xml:space="preserve">Human Immunodeficiency Virus</w:t>
      </w:r>
    </w:p>
    <w:p>
      <w:pPr>
        <w:numPr>
          <w:ilvl w:val="2"/>
          <w:numId w:val="1018"/>
        </w:numPr>
      </w:pPr>
      <w:r>
        <w:t xml:space="preserve">Hyperlipidemia</w:t>
      </w:r>
    </w:p>
    <w:p>
      <w:pPr>
        <w:numPr>
          <w:ilvl w:val="2"/>
          <w:numId w:val="1018"/>
        </w:numPr>
      </w:pPr>
      <w:r>
        <w:t xml:space="preserve">Prior stroke/Transient Ischemic attack</w:t>
      </w:r>
    </w:p>
    <w:p>
      <w:pPr>
        <w:numPr>
          <w:ilvl w:val="2"/>
          <w:numId w:val="1018"/>
        </w:numPr>
      </w:pPr>
      <w:r>
        <w:t xml:space="preserve">Prior Myocardial Infarction</w:t>
      </w:r>
    </w:p>
    <w:p>
      <w:pPr>
        <w:numPr>
          <w:ilvl w:val="1"/>
          <w:numId w:val="1016"/>
        </w:numPr>
      </w:pPr>
      <w:r>
        <w:t xml:space="preserve">Acute complications and resource utilization identified via ICD-10 code matching:</w:t>
      </w:r>
    </w:p>
    <w:p>
      <w:pPr>
        <w:numPr>
          <w:ilvl w:val="2"/>
          <w:numId w:val="1019"/>
        </w:numPr>
      </w:pPr>
      <w:r>
        <w:t xml:space="preserve">Acute myocardial infarction</w:t>
      </w:r>
    </w:p>
    <w:p>
      <w:pPr>
        <w:numPr>
          <w:ilvl w:val="2"/>
          <w:numId w:val="1019"/>
        </w:numPr>
      </w:pPr>
      <w:r>
        <w:t xml:space="preserve">Cardiac Tamponade</w:t>
      </w:r>
    </w:p>
    <w:p>
      <w:pPr>
        <w:numPr>
          <w:ilvl w:val="2"/>
          <w:numId w:val="1019"/>
        </w:numPr>
      </w:pPr>
      <w:r>
        <w:t xml:space="preserve">Stroke</w:t>
      </w:r>
    </w:p>
    <w:p>
      <w:pPr>
        <w:numPr>
          <w:ilvl w:val="1"/>
          <w:numId w:val="1016"/>
        </w:numPr>
      </w:pPr>
      <w:r>
        <w:t xml:space="preserve">Hospital Characteristics:</w:t>
      </w:r>
    </w:p>
    <w:p>
      <w:pPr>
        <w:numPr>
          <w:ilvl w:val="2"/>
          <w:numId w:val="1020"/>
        </w:numPr>
      </w:pPr>
      <w:r>
        <w:t xml:space="preserve">Hospital bed size (Small, Medium, Large)</w:t>
      </w:r>
    </w:p>
    <w:p>
      <w:pPr>
        <w:numPr>
          <w:ilvl w:val="2"/>
          <w:numId w:val="1020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6"/>
        </w:numPr>
      </w:pPr>
      <w:r>
        <w:t xml:space="preserve">Disposition and Severity:</w:t>
      </w:r>
    </w:p>
    <w:p>
      <w:pPr>
        <w:numPr>
          <w:ilvl w:val="2"/>
          <w:numId w:val="1021"/>
        </w:numPr>
      </w:pPr>
      <w:r>
        <w:t xml:space="preserve">Non-home discharge (e.g., SNF, hospice, other facilities, or death)</w:t>
      </w:r>
    </w:p>
    <w:p>
      <w:pPr>
        <w:numPr>
          <w:ilvl w:val="2"/>
          <w:numId w:val="1021"/>
        </w:numPr>
      </w:pPr>
      <w:r>
        <w:t xml:space="preserve">Length of stay (categorized as above)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22"/>
        </w:numPr>
      </w:pPr>
      <w:r>
        <w:t xml:space="preserve">Survey Design and Weighting:</w:t>
      </w:r>
    </w:p>
    <w:p>
      <w:pPr>
        <w:pStyle w:val="Compact"/>
        <w:numPr>
          <w:ilvl w:val="2"/>
          <w:numId w:val="1023"/>
        </w:numPr>
      </w:pPr>
      <w:r>
        <w:t xml:space="preserve">All analyses accounted for NRD’s complex survey design using weights (DISCWT), strata (NRD_STRATUM), and clustering (HOSP_NRD). Survey-adjusted methods were implemented via survey and srvyr packages.</w:t>
      </w:r>
    </w:p>
    <w:p>
      <w:pPr>
        <w:numPr>
          <w:ilvl w:val="1"/>
          <w:numId w:val="1022"/>
        </w:numPr>
      </w:pPr>
      <w:r>
        <w:t xml:space="preserve">Descriptive Analyses:</w:t>
      </w:r>
    </w:p>
    <w:p>
      <w:pPr>
        <w:numPr>
          <w:ilvl w:val="2"/>
          <w:numId w:val="1024"/>
        </w:numPr>
      </w:pPr>
      <w:r>
        <w:t xml:space="preserve">Baseline characteristics were stratified based on readmission status</w:t>
      </w:r>
    </w:p>
    <w:p>
      <w:pPr>
        <w:numPr>
          <w:ilvl w:val="2"/>
          <w:numId w:val="1024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22"/>
        </w:numPr>
      </w:pPr>
      <w:r>
        <w:t xml:space="preserve">Multivariable Analysis:</w:t>
      </w:r>
    </w:p>
    <w:p>
      <w:pPr>
        <w:numPr>
          <w:ilvl w:val="2"/>
          <w:numId w:val="1025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5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5"/>
        </w:numPr>
      </w:pPr>
      <w:r>
        <w:t xml:space="preserve">Reference levels were explicitly set (e.g., Male, LOS ≤4 days).</w:t>
      </w:r>
    </w:p>
    <w:p>
      <w:pPr>
        <w:numPr>
          <w:ilvl w:val="2"/>
          <w:numId w:val="1025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22"/>
        </w:numPr>
      </w:pPr>
      <w:r>
        <w:t xml:space="preserve">Readmission Characteristics:</w:t>
      </w:r>
    </w:p>
    <w:p>
      <w:pPr>
        <w:pStyle w:val="Compact"/>
        <w:numPr>
          <w:ilvl w:val="2"/>
          <w:numId w:val="1026"/>
        </w:numPr>
      </w:pPr>
      <w:r>
        <w:t xml:space="preserve">A sub-analysis among patients with 30-day readmissions summarized readmission hospitalization characteristics descriptively using weighted survey statistics.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Analyses: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3,156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2,547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(53, 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(54,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(51,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1,881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1,515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1,792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2,358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1,836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1,859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452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Immunodeficiency 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331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Transient Ischemic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234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2"/>
    <w:bookmarkStart w:id="23" w:name="outcomes-of-index-hospitalization"/>
    <w:p>
      <w:pPr>
        <w:pStyle w:val="Heading3"/>
      </w:pPr>
      <w:r>
        <w:t xml:space="preserve">Outcomes of Index Hospitalization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3,156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2,547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38,684 (22,064, 74,050)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37,291 (21,265, 70,343)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43,964 (23,872, 87,105)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Tamponade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adjustment; Design-based KruskalWallis test</w:t>
            </w:r>
          </w:p>
        </w:tc>
      </w:tr>
    </w:tbl>
    <w:bookmarkEnd w:id="23"/>
    <w:bookmarkEnd w:id="24"/>
    <w:bookmarkStart w:id="26" w:name="multivariable-analyses"/>
    <w:p>
      <w:pPr>
        <w:pStyle w:val="Heading2"/>
      </w:pPr>
      <w:r>
        <w:t xml:space="preserve">Multivariable Analyses</w:t>
      </w:r>
    </w:p>
    <w:bookmarkStart w:id="25" w:name="risk-factors-for-30-day-readmission"/>
    <w:p>
      <w:pPr>
        <w:pStyle w:val="Heading3"/>
      </w:pPr>
      <w:r>
        <w:t xml:space="preserve">Risk Factors for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0.70, 3.29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Immunodeficiency 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0.50, 3.86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Transient Ischemic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End w:id="26"/>
    <w:bookmarkStart w:id="29" w:name="X7d0a1c2a05e84965e19936ca624ae03f9f9afcd"/>
    <w:p>
      <w:pPr>
        <w:pStyle w:val="Heading2"/>
      </w:pPr>
      <w:r>
        <w:t xml:space="preserve">Readmission Hospitalization Characteristics</w:t>
      </w:r>
    </w:p>
    <w:bookmarkStart w:id="27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7"/>
        </w:numPr>
      </w:pPr>
      <w:r>
        <w:t xml:space="preserve">Deaths (n): 26</w:t>
      </w:r>
    </w:p>
    <w:p>
      <w:pPr>
        <w:numPr>
          <w:ilvl w:val="0"/>
          <w:numId w:val="1027"/>
        </w:numPr>
      </w:pPr>
      <w:r>
        <w:t xml:space="preserve">Death Rate (%): 4.35%</w:t>
      </w:r>
    </w:p>
    <w:p>
      <w:pPr>
        <w:numPr>
          <w:ilvl w:val="0"/>
          <w:numId w:val="1027"/>
        </w:numPr>
      </w:pPr>
      <w:r>
        <w:t xml:space="preserve">Death Rate (95% CI): 2.08% to 6.62%</w:t>
      </w:r>
    </w:p>
    <w:bookmarkEnd w:id="27"/>
    <w:bookmarkStart w:id="28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8"/>
        </w:numPr>
      </w:pPr>
      <w:r>
        <w:t xml:space="preserve">Median Length of Stay (IQR), days: 4 (IQR: 2–6)</w:t>
      </w:r>
    </w:p>
    <w:p>
      <w:pPr>
        <w:numPr>
          <w:ilvl w:val="0"/>
          <w:numId w:val="1028"/>
        </w:numPr>
      </w:pPr>
      <w:r>
        <w:t xml:space="preserve">Median Total Charges (IQR): $38,891 (IQR: $19,453–$66,002)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amjmed.com/article/S0002-9343(20)30525-8/abstra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amjmed.com/article/S0002-9343(20)30525-8/abstra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30-Day Readmission in Patients with Pericarditis and Chronic Kidney Disease: Insights From the 2016–2017 Nationwide Readmissions Database</dc:title>
  <dc:creator>Muhammad Umer Sohail</dc:creator>
  <cp:keywords/>
  <dcterms:created xsi:type="dcterms:W3CDTF">2025-12-24T17:49:20Z</dcterms:created>
  <dcterms:modified xsi:type="dcterms:W3CDTF">2025-12-24T17:49:20Z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B2</vt:lpwstr>
  </property>
  <property fmtid="{D5CDD505-2E9C-101B-9397-08002B2CF9AE}" pid="12" name="toc-title">
    <vt:lpwstr>Table of contents</vt:lpwstr>
  </property>
</Properties>
</file>