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National 30-Day Readmission Rates, Predictors, and Costs after Hospitalization for Ischemic Colitis: A Pooled NRD Analysis (2016-2017)</w:t>
      </w:r>
    </w:p>
    <w:p>
      <w:pPr>
        <w:pStyle w:val="Subtitle"/>
      </w:pPr>
      <w:r>
        <w:t xml:space="preserve">RCOP NRD B4</w:t>
      </w:r>
    </w:p>
    <w:p>
      <w:pPr>
        <w:pStyle w:val="Author"/>
      </w:pPr>
      <w:r>
        <w:t xml:space="preserve">Muhammad Umer Sohail</w:t>
      </w:r>
    </w:p>
    <w:bookmarkStart w:id="21" w:name="preamble"/>
    <w:p>
      <w:pPr>
        <w:pStyle w:val="Heading2"/>
      </w:pPr>
      <w:r>
        <w:t xml:space="preserve">Preamble: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Reference Studies:</w:t>
      </w:r>
    </w:p>
    <w:p>
      <w:pPr>
        <w:pStyle w:val="Compact"/>
        <w:numPr>
          <w:ilvl w:val="1"/>
          <w:numId w:val="1002"/>
        </w:numPr>
      </w:pPr>
      <w:hyperlink r:id="rId20">
        <w:r>
          <w:rPr>
            <w:rStyle w:val="Hyperlink"/>
          </w:rPr>
          <w:t xml:space="preserve">Parikh et al., 2021</w:t>
        </w:r>
      </w:hyperlink>
    </w:p>
    <w:p>
      <w:pPr>
        <w:numPr>
          <w:ilvl w:val="0"/>
          <w:numId w:val="1001"/>
        </w:numPr>
      </w:pPr>
      <w:r>
        <w:rPr>
          <w:b/>
          <w:bCs/>
        </w:rPr>
        <w:t xml:space="preserve">Study Objective:</w:t>
      </w:r>
    </w:p>
    <w:p>
      <w:pPr>
        <w:numPr>
          <w:ilvl w:val="0"/>
          <w:numId w:val="1000"/>
        </w:numPr>
      </w:pPr>
      <w:r>
        <w:t xml:space="preserve">To evaluate the risk of 30-day all-cause hospital readmission in patients with Ischemic Colitis. The study also characterizes index hospitalization outcomes and readmission stay features. A secondary objective is to identify risk factors associated with 30-day readmission in this high-risk population using a logistic regression model.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Data Source:</w:t>
      </w:r>
    </w:p>
    <w:p>
      <w:pPr>
        <w:numPr>
          <w:ilvl w:val="0"/>
          <w:numId w:val="1000"/>
        </w:numPr>
      </w:pPr>
      <w:r>
        <w:t xml:space="preserve">This retrospective cohort study used data from the 2016–2017 Nationwide Readmissions Database (NRD), developed by the Healthcare Cost and Utilization Project (HCUP). The NRD is a nationally representative, all-payer database of U.S. hospitalizations that allows linkage of patients across hospital stays within a calendar year. Survey weights, stratification, and clustering variables support complex sampling design for national estimates.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Cohort Definition:</w:t>
      </w:r>
    </w:p>
    <w:p>
      <w:pPr>
        <w:numPr>
          <w:ilvl w:val="0"/>
          <w:numId w:val="1000"/>
        </w:numPr>
      </w:pPr>
      <w:r>
        <w:t xml:space="preserve">Index admissions were selected based on the following inclusion criteria:</w:t>
      </w:r>
    </w:p>
    <w:p>
      <w:pPr>
        <w:numPr>
          <w:ilvl w:val="1"/>
          <w:numId w:val="1003"/>
        </w:numPr>
      </w:pPr>
      <w:r>
        <w:t xml:space="preserve">Adults aged ≥18 years</w:t>
      </w:r>
    </w:p>
    <w:p>
      <w:pPr>
        <w:numPr>
          <w:ilvl w:val="1"/>
          <w:numId w:val="1003"/>
        </w:numPr>
      </w:pPr>
      <w:r>
        <w:t xml:space="preserve">Patients with Ischemic Colitis</w:t>
      </w:r>
    </w:p>
    <w:p>
      <w:pPr>
        <w:numPr>
          <w:ilvl w:val="1"/>
          <w:numId w:val="1003"/>
        </w:numPr>
      </w:pPr>
      <w:r>
        <w:t xml:space="preserve">Non-elective admission</w:t>
      </w:r>
    </w:p>
    <w:p>
      <w:pPr>
        <w:numPr>
          <w:ilvl w:val="1"/>
          <w:numId w:val="1003"/>
        </w:numPr>
      </w:pPr>
      <w:r>
        <w:t xml:space="preserve">Index discharge by the end of November to allow for a complete 30-day follow-up period</w:t>
      </w:r>
    </w:p>
    <w:p>
      <w:pPr>
        <w:numPr>
          <w:ilvl w:val="1"/>
          <w:numId w:val="1003"/>
        </w:numPr>
      </w:pPr>
      <w:r>
        <w:t xml:space="preserve">Complete data on LOS and NRD_DAYSTOEVENT, required to compute discharge dates</w:t>
      </w:r>
    </w:p>
    <w:p>
      <w:pPr>
        <w:numPr>
          <w:ilvl w:val="0"/>
          <w:numId w:val="1000"/>
        </w:numPr>
      </w:pPr>
      <w:r>
        <w:t xml:space="preserve">Readmissions were defined as:</w:t>
      </w:r>
    </w:p>
    <w:p>
      <w:pPr>
        <w:pStyle w:val="Compact"/>
        <w:numPr>
          <w:ilvl w:val="1"/>
          <w:numId w:val="1004"/>
        </w:numPr>
      </w:pPr>
      <w:r>
        <w:t xml:space="preserve">Any non-trauma hospitalization within 30 days of discharge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Outcomes of Interest:</w:t>
      </w:r>
    </w:p>
    <w:p>
      <w:pPr>
        <w:numPr>
          <w:ilvl w:val="1"/>
          <w:numId w:val="1005"/>
        </w:numPr>
      </w:pPr>
      <w:r>
        <w:t xml:space="preserve">Primary Outcome:</w:t>
      </w:r>
    </w:p>
    <w:p>
      <w:pPr>
        <w:pStyle w:val="Compact"/>
        <w:numPr>
          <w:ilvl w:val="2"/>
          <w:numId w:val="1006"/>
        </w:numPr>
      </w:pPr>
      <w:r>
        <w:t xml:space="preserve">30-day all-cause readmission (Yes/No), flagged using NRD linkage variables</w:t>
      </w:r>
    </w:p>
    <w:p>
      <w:pPr>
        <w:numPr>
          <w:ilvl w:val="1"/>
          <w:numId w:val="1005"/>
        </w:numPr>
      </w:pPr>
      <w:r>
        <w:t xml:space="preserve">Secondary Outcomes (index admission):</w:t>
      </w:r>
    </w:p>
    <w:p>
      <w:pPr>
        <w:numPr>
          <w:ilvl w:val="2"/>
          <w:numId w:val="1007"/>
        </w:numPr>
      </w:pPr>
      <w:r>
        <w:t xml:space="preserve">In-hospital mortality (DIED)</w:t>
      </w:r>
    </w:p>
    <w:p>
      <w:pPr>
        <w:numPr>
          <w:ilvl w:val="2"/>
          <w:numId w:val="1007"/>
        </w:numPr>
      </w:pPr>
      <w:r>
        <w:t xml:space="preserve">Length of stay (LOS, continuous in days and also categorized as ≤4 vs &gt;4 days)</w:t>
      </w:r>
    </w:p>
    <w:p>
      <w:pPr>
        <w:numPr>
          <w:ilvl w:val="2"/>
          <w:numId w:val="1007"/>
        </w:numPr>
      </w:pPr>
      <w:r>
        <w:t xml:space="preserve">Total hospitalization charges (TOTCHG), inflation-adjusted to 2017 USD</w:t>
      </w:r>
    </w:p>
    <w:p>
      <w:pPr>
        <w:numPr>
          <w:ilvl w:val="2"/>
          <w:numId w:val="1007"/>
        </w:numPr>
      </w:pPr>
      <w:r>
        <w:t xml:space="preserve">Non-home discharge</w:t>
      </w:r>
    </w:p>
    <w:p>
      <w:pPr>
        <w:numPr>
          <w:ilvl w:val="2"/>
          <w:numId w:val="1007"/>
        </w:numPr>
      </w:pPr>
      <w:r>
        <w:t xml:space="preserve">Acute myocardial infarction</w:t>
      </w:r>
    </w:p>
    <w:p>
      <w:pPr>
        <w:numPr>
          <w:ilvl w:val="2"/>
          <w:numId w:val="1007"/>
        </w:numPr>
      </w:pPr>
      <w:r>
        <w:t xml:space="preserve">Acute Kidney Injury</w:t>
      </w:r>
    </w:p>
    <w:p>
      <w:pPr>
        <w:numPr>
          <w:ilvl w:val="2"/>
          <w:numId w:val="1007"/>
        </w:numPr>
      </w:pPr>
      <w:r>
        <w:t xml:space="preserve">Stroke</w:t>
      </w:r>
    </w:p>
    <w:p>
      <w:pPr>
        <w:numPr>
          <w:ilvl w:val="2"/>
          <w:numId w:val="1007"/>
        </w:numPr>
      </w:pPr>
      <w:r>
        <w:t xml:space="preserve">Bowel Perforation</w:t>
      </w:r>
    </w:p>
    <w:p>
      <w:pPr>
        <w:numPr>
          <w:ilvl w:val="1"/>
          <w:numId w:val="1005"/>
        </w:numPr>
      </w:pPr>
      <w:r>
        <w:t xml:space="preserve">Outcomes during readmission:</w:t>
      </w:r>
    </w:p>
    <w:p>
      <w:pPr>
        <w:numPr>
          <w:ilvl w:val="2"/>
          <w:numId w:val="1008"/>
        </w:numPr>
      </w:pPr>
      <w:r>
        <w:t xml:space="preserve">In-hospital mortality</w:t>
      </w:r>
    </w:p>
    <w:p>
      <w:pPr>
        <w:numPr>
          <w:ilvl w:val="2"/>
          <w:numId w:val="1008"/>
        </w:numPr>
      </w:pPr>
      <w:r>
        <w:t xml:space="preserve">Length of stay (LOS, in days)</w:t>
      </w:r>
    </w:p>
    <w:p>
      <w:pPr>
        <w:numPr>
          <w:ilvl w:val="2"/>
          <w:numId w:val="1008"/>
        </w:numPr>
      </w:pPr>
      <w:r>
        <w:t xml:space="preserve">Total hospitalization charges (inflation-adjusted to 2017 USD)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Outcome Definitions:</w:t>
      </w:r>
    </w:p>
    <w:p>
      <w:pPr>
        <w:numPr>
          <w:ilvl w:val="1"/>
          <w:numId w:val="1009"/>
        </w:numPr>
      </w:pPr>
      <w:r>
        <w:t xml:space="preserve">Readmission:</w:t>
      </w:r>
    </w:p>
    <w:p>
      <w:pPr>
        <w:numPr>
          <w:ilvl w:val="2"/>
          <w:numId w:val="1010"/>
        </w:numPr>
      </w:pPr>
      <w:r>
        <w:t xml:space="preserve">Defined using HCUP NRD’s methodology. Readmissions were identified only among patients with qualifying index events.</w:t>
      </w:r>
    </w:p>
    <w:p>
      <w:pPr>
        <w:numPr>
          <w:ilvl w:val="2"/>
          <w:numId w:val="1010"/>
        </w:numPr>
      </w:pPr>
      <w:r>
        <w:t xml:space="preserve">Trauma-related hospitalizations were excluded only from the readmission pool to avoid unrelated admissions.</w:t>
      </w:r>
    </w:p>
    <w:p>
      <w:pPr>
        <w:numPr>
          <w:ilvl w:val="1"/>
          <w:numId w:val="1009"/>
        </w:numPr>
      </w:pPr>
      <w:r>
        <w:t xml:space="preserve">Mortality:</w:t>
      </w:r>
    </w:p>
    <w:p>
      <w:pPr>
        <w:pStyle w:val="Compact"/>
        <w:numPr>
          <w:ilvl w:val="2"/>
          <w:numId w:val="1011"/>
        </w:numPr>
      </w:pPr>
      <w:r>
        <w:t xml:space="preserve">In-hospital death recorded during index or readmission (DIED = 1)</w:t>
      </w:r>
    </w:p>
    <w:p>
      <w:pPr>
        <w:numPr>
          <w:ilvl w:val="1"/>
          <w:numId w:val="1009"/>
        </w:numPr>
      </w:pPr>
      <w:r>
        <w:t xml:space="preserve">LOS:</w:t>
      </w:r>
    </w:p>
    <w:p>
      <w:pPr>
        <w:pStyle w:val="Compact"/>
        <w:numPr>
          <w:ilvl w:val="2"/>
          <w:numId w:val="1012"/>
        </w:numPr>
      </w:pPr>
      <w:r>
        <w:t xml:space="preserve">Reported in days; modeled as count outcome</w:t>
      </w:r>
    </w:p>
    <w:p>
      <w:pPr>
        <w:numPr>
          <w:ilvl w:val="1"/>
          <w:numId w:val="1009"/>
        </w:numPr>
      </w:pPr>
      <w:r>
        <w:t xml:space="preserve">Charge:</w:t>
      </w:r>
    </w:p>
    <w:p>
      <w:pPr>
        <w:pStyle w:val="Compact"/>
        <w:numPr>
          <w:ilvl w:val="2"/>
          <w:numId w:val="1013"/>
        </w:numPr>
      </w:pPr>
      <w:r>
        <w:t xml:space="preserve">Derived from HCUP’s TOTCHG variable and adjusted to 2017 dollars using Consumer Price Index (CPI) data</w:t>
      </w:r>
    </w:p>
    <w:p>
      <w:pPr>
        <w:numPr>
          <w:ilvl w:val="1"/>
          <w:numId w:val="1009"/>
        </w:numPr>
      </w:pPr>
      <w:r>
        <w:t xml:space="preserve">Non-Home Discharge:</w:t>
      </w:r>
    </w:p>
    <w:p>
      <w:pPr>
        <w:numPr>
          <w:ilvl w:val="2"/>
          <w:numId w:val="1014"/>
        </w:numPr>
      </w:pPr>
      <w:r>
        <w:t xml:space="preserve">Defined as any disposition other than home/self-care, specifically:</w:t>
      </w:r>
    </w:p>
    <w:p>
      <w:pPr>
        <w:numPr>
          <w:ilvl w:val="3"/>
          <w:numId w:val="1015"/>
        </w:numPr>
      </w:pPr>
      <w:r>
        <w:t xml:space="preserve">Transfer to another short-term hospital</w:t>
      </w:r>
    </w:p>
    <w:p>
      <w:pPr>
        <w:numPr>
          <w:ilvl w:val="3"/>
          <w:numId w:val="1015"/>
        </w:numPr>
      </w:pPr>
      <w:r>
        <w:t xml:space="preserve">Transfer to skilled nursing facility (SNF), intermediate, or other facility</w:t>
      </w:r>
    </w:p>
    <w:p>
      <w:pPr>
        <w:numPr>
          <w:ilvl w:val="3"/>
          <w:numId w:val="1015"/>
        </w:numPr>
      </w:pPr>
      <w:r>
        <w:t xml:space="preserve">Left against medical advice</w:t>
      </w:r>
    </w:p>
    <w:p>
      <w:pPr>
        <w:numPr>
          <w:ilvl w:val="3"/>
          <w:numId w:val="1015"/>
        </w:numPr>
      </w:pPr>
      <w:r>
        <w:t xml:space="preserve">Died in hospital</w:t>
      </w:r>
    </w:p>
    <w:p>
      <w:pPr>
        <w:numPr>
          <w:ilvl w:val="3"/>
          <w:numId w:val="1015"/>
        </w:numPr>
      </w:pPr>
      <w:r>
        <w:t xml:space="preserve">Alive, destination unknown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Covariates and Variable Construction:</w:t>
      </w:r>
    </w:p>
    <w:p>
      <w:pPr>
        <w:numPr>
          <w:ilvl w:val="1"/>
          <w:numId w:val="1016"/>
        </w:numPr>
      </w:pPr>
      <w:r>
        <w:t xml:space="preserve">Demographic &amp; Socioeconomic Factors:</w:t>
      </w:r>
    </w:p>
    <w:p>
      <w:pPr>
        <w:numPr>
          <w:ilvl w:val="2"/>
          <w:numId w:val="1017"/>
        </w:numPr>
      </w:pPr>
      <w:r>
        <w:t xml:space="preserve">Age (continuous)</w:t>
      </w:r>
    </w:p>
    <w:p>
      <w:pPr>
        <w:numPr>
          <w:ilvl w:val="2"/>
          <w:numId w:val="1017"/>
        </w:numPr>
      </w:pPr>
      <w:r>
        <w:t xml:space="preserve">Sex (FEMALE; ref = Male)</w:t>
      </w:r>
    </w:p>
    <w:p>
      <w:pPr>
        <w:numPr>
          <w:ilvl w:val="2"/>
          <w:numId w:val="1017"/>
        </w:numPr>
      </w:pPr>
      <w:r>
        <w:t xml:space="preserve">Primary expected payer (Insurance; Medicare, Medicaid, Private, Other)</w:t>
      </w:r>
    </w:p>
    <w:p>
      <w:pPr>
        <w:numPr>
          <w:ilvl w:val="2"/>
          <w:numId w:val="1017"/>
        </w:numPr>
      </w:pPr>
      <w:r>
        <w:t xml:space="preserve">ZIP-based median income quartile (ZIPINC_QRTL)</w:t>
      </w:r>
    </w:p>
    <w:p>
      <w:pPr>
        <w:numPr>
          <w:ilvl w:val="2"/>
          <w:numId w:val="1017"/>
        </w:numPr>
      </w:pPr>
      <w:r>
        <w:t xml:space="preserve">Weekend admission (AWEEKEND)</w:t>
      </w:r>
    </w:p>
    <w:p>
      <w:pPr>
        <w:numPr>
          <w:ilvl w:val="1"/>
          <w:numId w:val="1016"/>
        </w:numPr>
      </w:pPr>
      <w:r>
        <w:t xml:space="preserve">Clinical Comorbidities:</w:t>
      </w:r>
    </w:p>
    <w:p>
      <w:pPr>
        <w:numPr>
          <w:ilvl w:val="2"/>
          <w:numId w:val="1018"/>
        </w:numPr>
      </w:pPr>
      <w:r>
        <w:t xml:space="preserve">Peripheral vascular disease</w:t>
      </w:r>
    </w:p>
    <w:p>
      <w:pPr>
        <w:numPr>
          <w:ilvl w:val="2"/>
          <w:numId w:val="1018"/>
        </w:numPr>
      </w:pPr>
      <w:r>
        <w:t xml:space="preserve">Congestive heart failure</w:t>
      </w:r>
    </w:p>
    <w:p>
      <w:pPr>
        <w:numPr>
          <w:ilvl w:val="2"/>
          <w:numId w:val="1018"/>
        </w:numPr>
      </w:pPr>
      <w:r>
        <w:t xml:space="preserve">Chronic pulmonary disease</w:t>
      </w:r>
    </w:p>
    <w:p>
      <w:pPr>
        <w:numPr>
          <w:ilvl w:val="2"/>
          <w:numId w:val="1018"/>
        </w:numPr>
      </w:pPr>
      <w:r>
        <w:t xml:space="preserve">Liver disease</w:t>
      </w:r>
    </w:p>
    <w:p>
      <w:pPr>
        <w:numPr>
          <w:ilvl w:val="2"/>
          <w:numId w:val="1018"/>
        </w:numPr>
      </w:pPr>
      <w:r>
        <w:t xml:space="preserve">Obesity</w:t>
      </w:r>
    </w:p>
    <w:p>
      <w:pPr>
        <w:numPr>
          <w:ilvl w:val="2"/>
          <w:numId w:val="1018"/>
        </w:numPr>
      </w:pPr>
      <w:r>
        <w:t xml:space="preserve">Alcohol abuse</w:t>
      </w:r>
    </w:p>
    <w:p>
      <w:pPr>
        <w:numPr>
          <w:ilvl w:val="2"/>
          <w:numId w:val="1018"/>
        </w:numPr>
      </w:pPr>
      <w:r>
        <w:t xml:space="preserve">Anemia</w:t>
      </w:r>
    </w:p>
    <w:p>
      <w:pPr>
        <w:numPr>
          <w:ilvl w:val="2"/>
          <w:numId w:val="1018"/>
        </w:numPr>
      </w:pPr>
      <w:r>
        <w:t xml:space="preserve">Hypertension</w:t>
      </w:r>
    </w:p>
    <w:p>
      <w:pPr>
        <w:numPr>
          <w:ilvl w:val="2"/>
          <w:numId w:val="1018"/>
        </w:numPr>
      </w:pPr>
      <w:r>
        <w:t xml:space="preserve">Smoking</w:t>
      </w:r>
    </w:p>
    <w:p>
      <w:pPr>
        <w:numPr>
          <w:ilvl w:val="2"/>
          <w:numId w:val="1018"/>
        </w:numPr>
      </w:pPr>
      <w:r>
        <w:t xml:space="preserve">Atrial Fibrillation</w:t>
      </w:r>
    </w:p>
    <w:p>
      <w:pPr>
        <w:numPr>
          <w:ilvl w:val="2"/>
          <w:numId w:val="1018"/>
        </w:numPr>
      </w:pPr>
      <w:r>
        <w:t xml:space="preserve">Human Immunodeficiency Virus</w:t>
      </w:r>
    </w:p>
    <w:p>
      <w:pPr>
        <w:numPr>
          <w:ilvl w:val="2"/>
          <w:numId w:val="1018"/>
        </w:numPr>
      </w:pPr>
      <w:r>
        <w:t xml:space="preserve">Hyperlipidemia</w:t>
      </w:r>
    </w:p>
    <w:p>
      <w:pPr>
        <w:numPr>
          <w:ilvl w:val="2"/>
          <w:numId w:val="1018"/>
        </w:numPr>
      </w:pPr>
      <w:r>
        <w:t xml:space="preserve">Prior stroke/Transient Ischemic attack</w:t>
      </w:r>
    </w:p>
    <w:p>
      <w:pPr>
        <w:numPr>
          <w:ilvl w:val="2"/>
          <w:numId w:val="1018"/>
        </w:numPr>
      </w:pPr>
      <w:r>
        <w:t xml:space="preserve">Prior Myocardial Infarction</w:t>
      </w:r>
    </w:p>
    <w:p>
      <w:pPr>
        <w:numPr>
          <w:ilvl w:val="1"/>
          <w:numId w:val="1016"/>
        </w:numPr>
      </w:pPr>
      <w:r>
        <w:t xml:space="preserve">Acute complications and resource utilization identified via ICD-10 code matching:</w:t>
      </w:r>
    </w:p>
    <w:p>
      <w:pPr>
        <w:numPr>
          <w:ilvl w:val="2"/>
          <w:numId w:val="1019"/>
        </w:numPr>
      </w:pPr>
      <w:r>
        <w:t xml:space="preserve">Acute myocardial infarction</w:t>
      </w:r>
    </w:p>
    <w:p>
      <w:pPr>
        <w:numPr>
          <w:ilvl w:val="2"/>
          <w:numId w:val="1019"/>
        </w:numPr>
      </w:pPr>
      <w:r>
        <w:t xml:space="preserve">Acute Kidney Injury</w:t>
      </w:r>
    </w:p>
    <w:p>
      <w:pPr>
        <w:numPr>
          <w:ilvl w:val="2"/>
          <w:numId w:val="1019"/>
        </w:numPr>
      </w:pPr>
      <w:r>
        <w:t xml:space="preserve">Stroke</w:t>
      </w:r>
    </w:p>
    <w:p>
      <w:pPr>
        <w:numPr>
          <w:ilvl w:val="2"/>
          <w:numId w:val="1019"/>
        </w:numPr>
      </w:pPr>
      <w:r>
        <w:t xml:space="preserve">Bowel Perforation</w:t>
      </w:r>
    </w:p>
    <w:p>
      <w:pPr>
        <w:numPr>
          <w:ilvl w:val="1"/>
          <w:numId w:val="1016"/>
        </w:numPr>
      </w:pPr>
      <w:r>
        <w:t xml:space="preserve">Hospital Characteristics:</w:t>
      </w:r>
    </w:p>
    <w:p>
      <w:pPr>
        <w:numPr>
          <w:ilvl w:val="2"/>
          <w:numId w:val="1020"/>
        </w:numPr>
      </w:pPr>
      <w:r>
        <w:t xml:space="preserve">Hospital bed size (Small, Medium, Large)</w:t>
      </w:r>
    </w:p>
    <w:p>
      <w:pPr>
        <w:numPr>
          <w:ilvl w:val="2"/>
          <w:numId w:val="1020"/>
        </w:numPr>
      </w:pPr>
      <w:r>
        <w:t xml:space="preserve">Urban/rural teaching status (Metropolitan, teaching vs non-teaching, etc.)</w:t>
      </w:r>
    </w:p>
    <w:p>
      <w:pPr>
        <w:numPr>
          <w:ilvl w:val="1"/>
          <w:numId w:val="1016"/>
        </w:numPr>
      </w:pPr>
      <w:r>
        <w:t xml:space="preserve">Disposition and Severity:</w:t>
      </w:r>
    </w:p>
    <w:p>
      <w:pPr>
        <w:numPr>
          <w:ilvl w:val="2"/>
          <w:numId w:val="1021"/>
        </w:numPr>
      </w:pPr>
      <w:r>
        <w:t xml:space="preserve">Non-home discharge (e.g., SNF, hospice, other facilities, or death)</w:t>
      </w:r>
    </w:p>
    <w:p>
      <w:pPr>
        <w:numPr>
          <w:ilvl w:val="2"/>
          <w:numId w:val="1021"/>
        </w:numPr>
      </w:pPr>
      <w:r>
        <w:t xml:space="preserve">Length of stay (categorized as above)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Statistical Methods:</w:t>
      </w:r>
    </w:p>
    <w:p>
      <w:pPr>
        <w:numPr>
          <w:ilvl w:val="1"/>
          <w:numId w:val="1022"/>
        </w:numPr>
      </w:pPr>
      <w:r>
        <w:t xml:space="preserve">Survey Design and Weighting:</w:t>
      </w:r>
    </w:p>
    <w:p>
      <w:pPr>
        <w:pStyle w:val="Compact"/>
        <w:numPr>
          <w:ilvl w:val="2"/>
          <w:numId w:val="1023"/>
        </w:numPr>
      </w:pPr>
      <w:r>
        <w:t xml:space="preserve">All analyses accounted for NRD’s complex survey design using weights (DISCWT), strata (NRD_STRATUM), and clustering (HOSP_NRD). Survey-adjusted methods were implemented via survey and srvyr packages.</w:t>
      </w:r>
    </w:p>
    <w:p>
      <w:pPr>
        <w:numPr>
          <w:ilvl w:val="1"/>
          <w:numId w:val="1022"/>
        </w:numPr>
      </w:pPr>
      <w:r>
        <w:t xml:space="preserve">Descriptive Analyses:</w:t>
      </w:r>
    </w:p>
    <w:p>
      <w:pPr>
        <w:numPr>
          <w:ilvl w:val="2"/>
          <w:numId w:val="1024"/>
        </w:numPr>
      </w:pPr>
      <w:r>
        <w:t xml:space="preserve">Baseline characteristics were stratified based on readmission status</w:t>
      </w:r>
    </w:p>
    <w:p>
      <w:pPr>
        <w:numPr>
          <w:ilvl w:val="2"/>
          <w:numId w:val="1024"/>
        </w:numPr>
      </w:pPr>
      <w:r>
        <w:t xml:space="preserve">P-values from design-based statistical tests (Rao–Scott adjusted chi-square for categorical variables; design-based Kruskal–Wallis test for continuous variables).</w:t>
      </w:r>
    </w:p>
    <w:p>
      <w:pPr>
        <w:numPr>
          <w:ilvl w:val="1"/>
          <w:numId w:val="1022"/>
        </w:numPr>
      </w:pPr>
      <w:r>
        <w:t xml:space="preserve">Multivariable Analysis:</w:t>
      </w:r>
    </w:p>
    <w:p>
      <w:pPr>
        <w:numPr>
          <w:ilvl w:val="2"/>
          <w:numId w:val="1025"/>
        </w:numPr>
      </w:pPr>
      <w:r>
        <w:t xml:space="preserve">A survey-weighted logistic regression modeled predictors of 30-day readmission.</w:t>
      </w:r>
    </w:p>
    <w:p>
      <w:pPr>
        <w:numPr>
          <w:ilvl w:val="2"/>
          <w:numId w:val="1025"/>
        </w:numPr>
      </w:pPr>
      <w:r>
        <w:t xml:space="preserve">The model included demographic, clinical, hospital-level, and index-stay factors.</w:t>
      </w:r>
    </w:p>
    <w:p>
      <w:pPr>
        <w:numPr>
          <w:ilvl w:val="2"/>
          <w:numId w:val="1025"/>
        </w:numPr>
      </w:pPr>
      <w:r>
        <w:t xml:space="preserve">Reference levels were explicitly set (e.g., Male, LOS ≤4 days).</w:t>
      </w:r>
    </w:p>
    <w:p>
      <w:pPr>
        <w:numPr>
          <w:ilvl w:val="2"/>
          <w:numId w:val="1025"/>
        </w:numPr>
      </w:pPr>
      <w:r>
        <w:t xml:space="preserve">Results were exponentiated to yield odds ratios (ORs) with 95% confidence intervals.</w:t>
      </w:r>
    </w:p>
    <w:p>
      <w:pPr>
        <w:numPr>
          <w:ilvl w:val="1"/>
          <w:numId w:val="1022"/>
        </w:numPr>
      </w:pPr>
      <w:r>
        <w:t xml:space="preserve">Readmission Characteristics:</w:t>
      </w:r>
    </w:p>
    <w:p>
      <w:pPr>
        <w:pStyle w:val="Compact"/>
        <w:numPr>
          <w:ilvl w:val="2"/>
          <w:numId w:val="1026"/>
        </w:numPr>
      </w:pPr>
      <w:r>
        <w:t xml:space="preserve">A sub-analysis among patients with 30-day readmissions summarized readmission hospitalization characteristics descriptively using weighted survey statistics.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Software:</w:t>
      </w:r>
      <w:r>
        <w:t xml:space="preserve"> </w:t>
      </w:r>
      <w:r>
        <w:t xml:space="preserve">All analyses were conducted in R Statistical Language (Version 4.5.0; R Foundation for Statistical Computing, Vienna, Austria).</w:t>
      </w:r>
    </w:p>
    <w:bookmarkEnd w:id="21"/>
    <w:bookmarkStart w:id="24" w:name="descriptive-analyses"/>
    <w:p>
      <w:pPr>
        <w:pStyle w:val="Heading2"/>
      </w:pPr>
      <w:r>
        <w:t xml:space="preserve">Descriptive Analyses:</w:t>
      </w:r>
    </w:p>
    <w:bookmarkStart w:id="22" w:name="baseline-characteristics"/>
    <w:p>
      <w:pPr>
        <w:pStyle w:val="Heading3"/>
      </w:pPr>
      <w:r>
        <w:t xml:space="preserve">Baseline Characteristics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1,378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Without 30 day readmission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1,224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With 30 day readmission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154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 (61, 82)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 (62, 82)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 (58, 75)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622 (45%)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549 (45%)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 (48%)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755 (55%)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675 (55%)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 (52%)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Primary Expected Payer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214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194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118 (8.6%)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 (7.9%)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987 (72%)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879 (72%)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108 (70%)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 (4.2%)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 (4.3%)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(2.7%)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 Household Income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0-25th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352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309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26th to 50th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406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360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51st to 75th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331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304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76th to 100th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275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239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Admission 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Monday-Friday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1,025 (74%)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908 (74%)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117 (76%)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Saturday-Sunday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353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316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 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216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193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784 (57%)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691 (56%)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93 (60%)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378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340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Location and 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Metropolitan,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282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250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Metropolitan,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996 (72%)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884 (72%)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111 (73%)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Non-metropolitan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 (7.3%)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 (7.3%)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(6.7%)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Smoking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226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201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Peripheral Vascular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415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365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 (32%)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671 (49%)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599 (49%)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 (47%)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Atrial Fibrillation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480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429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 (34%)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Alcohol Use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 (4.1%)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 (4.2%)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(3.3%)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Obesity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180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158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Obstructive Pulmonary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322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276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Liver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165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147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 (5.3%)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 (5.4%)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(4.5%)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Human Immunodeficiency Virus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Hyperlipidemia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538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471 (38%)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 (44%)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Prior Stroke / Transient Ischemic Attack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155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147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(5.3%)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Prior Myocardial Infarction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157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150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(4.6%)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0.022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Median (Q1, Q3); n (%)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preserve">Design-based KruskalWallis test; Pearson's X^2: Rao &amp; Scott adjustment</w:t>
            </w:r>
          </w:p>
        </w:tc>
      </w:tr>
    </w:tbl>
    <w:bookmarkEnd w:id="22"/>
    <w:bookmarkStart w:id="23" w:name="outcomes-of-index-hospitalization"/>
    <w:p>
      <w:pPr>
        <w:pStyle w:val="Heading3"/>
      </w:pPr>
      <w:r>
        <w:t xml:space="preserve">Outcomes of Index Hospitalization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1,378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Without 30 day readmission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1,224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With 30 day readmission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154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In-Hospital Mortality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323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323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Length of Stay (days)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(4, 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(4, 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(5, 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Inflation-Adjusted Total Charges ($)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84,067 (42,112, 178,550)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84,493 (42,598, 175,048)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77,826 (41,580, 254,517)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Discharged to Non-Home Setting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652 (47%)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607 (50%)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Acute Myocardial Infarction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 (4.0%)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 (3.9%)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(5.3%)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Stroke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 (1.3%)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(3.5%)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Acute Kidney Injury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1,378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1,224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154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Bowel Perforation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 (5.4%)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 (5.0%)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(8.0%)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n (%); Median (Q1, Q3)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preserve">Pearson's X^2: Rao &amp; Scott adjustment; Design-based KruskalWallis test; NA</w:t>
            </w:r>
          </w:p>
        </w:tc>
      </w:tr>
    </w:tbl>
    <w:bookmarkEnd w:id="23"/>
    <w:bookmarkEnd w:id="24"/>
    <w:bookmarkStart w:id="26" w:name="multivariable-analyses"/>
    <w:p>
      <w:pPr>
        <w:pStyle w:val="Heading2"/>
      </w:pPr>
      <w:r>
        <w:t xml:space="preserve">Multivariable Analyses</w:t>
      </w:r>
    </w:p>
    <w:bookmarkStart w:id="25" w:name="risk-factors-for-30-day-readmission"/>
    <w:p>
      <w:pPr>
        <w:pStyle w:val="Heading3"/>
      </w:pPr>
      <w:r>
        <w:t xml:space="preserve">Risk Factors for 30-Day Readmission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0.94, 0.99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0.59, 1.60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 Household Income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0-25th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26th to 50th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0.50, 1.72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51st to 75th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0.35, 1.58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76th to 100th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0.61, 2.57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Primary Expected Payer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0.89, 6.17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1.06, 6.80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0.18, 4.94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Admission 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Monday-Friday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Saturday-Sunday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0.56, 1.75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 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0.64, 2.62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0.53, 2.49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Location and 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Metropolitan,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Metropolitan,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0.43, 1.49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Non-metropolitan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0.28, 2.86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Non-Home Discharge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0.24, 0.74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Smoking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0.34, 1.34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Peripheral Vascular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0.75, 2.23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0.59, 1.55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Atrial Fibrillation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0.78, 2.50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Alcohol Use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0.22, 3.57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Obesity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0.40, 1.66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Obstructive Pulmonary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0.83, 2.83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Liver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0.40, 1.94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0.36, 3.12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Human Immunodeficiency Virus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0.00, 0.00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Hyperlipidemia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0.84, 2.50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Prior Stroke / Transient Ischemic Attack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0.11, 0.93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Prior Myocardial Infarction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0.14, 0.96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bookmarkEnd w:id="25"/>
    <w:bookmarkEnd w:id="26"/>
    <w:bookmarkStart w:id="29" w:name="X7d0a1c2a05e84965e19936ca624ae03f9f9afcd"/>
    <w:p>
      <w:pPr>
        <w:pStyle w:val="Heading2"/>
      </w:pPr>
      <w:r>
        <w:t xml:space="preserve">Readmission Hospitalization Characteristics</w:t>
      </w:r>
    </w:p>
    <w:bookmarkStart w:id="27" w:name="Xa37a556a6d20fd6b07c73bea42073aeff147ee8"/>
    <w:p>
      <w:pPr>
        <w:pStyle w:val="Heading3"/>
      </w:pPr>
      <w:r>
        <w:t xml:space="preserve">In-Hospital Mortality Among Readmitted Patients</w:t>
      </w:r>
    </w:p>
    <w:p>
      <w:pPr>
        <w:pStyle w:val="FirstParagraph"/>
      </w:pPr>
      <w:r>
        <w:t xml:space="preserve">Readmission hospitalizations resulted in:</w:t>
      </w:r>
    </w:p>
    <w:p>
      <w:pPr>
        <w:numPr>
          <w:ilvl w:val="0"/>
          <w:numId w:val="1027"/>
        </w:numPr>
      </w:pPr>
      <w:r>
        <w:t xml:space="preserve">Deaths (n): 15</w:t>
      </w:r>
    </w:p>
    <w:p>
      <w:pPr>
        <w:numPr>
          <w:ilvl w:val="0"/>
          <w:numId w:val="1027"/>
        </w:numPr>
      </w:pPr>
      <w:r>
        <w:t xml:space="preserve">Death Rate (%): 9.85%</w:t>
      </w:r>
    </w:p>
    <w:p>
      <w:pPr>
        <w:numPr>
          <w:ilvl w:val="0"/>
          <w:numId w:val="1027"/>
        </w:numPr>
      </w:pPr>
      <w:r>
        <w:t xml:space="preserve">Death Rate (95% CI): 3.62% to 16.07%</w:t>
      </w:r>
    </w:p>
    <w:bookmarkEnd w:id="27"/>
    <w:bookmarkStart w:id="28" w:name="resource-utilization-during-readmission"/>
    <w:p>
      <w:pPr>
        <w:pStyle w:val="Heading3"/>
      </w:pPr>
      <w:r>
        <w:t xml:space="preserve">Resource Utilization During Readmission</w:t>
      </w:r>
    </w:p>
    <w:p>
      <w:pPr>
        <w:pStyle w:val="FirstParagraph"/>
      </w:pPr>
      <w:r>
        <w:t xml:space="preserve">Readmission hospitalizations resulted in:</w:t>
      </w:r>
    </w:p>
    <w:p>
      <w:pPr>
        <w:numPr>
          <w:ilvl w:val="0"/>
          <w:numId w:val="1028"/>
        </w:numPr>
      </w:pPr>
      <w:r>
        <w:t xml:space="preserve">Median Length of Stay (IQR), days: 4 (IQR: 2–8)</w:t>
      </w:r>
    </w:p>
    <w:p>
      <w:pPr>
        <w:numPr>
          <w:ilvl w:val="0"/>
          <w:numId w:val="1028"/>
        </w:numPr>
      </w:pPr>
      <w:r>
        <w:t xml:space="preserve">Median Total Charges (IQR): $33,511 (IQR: $19,001–$67,629)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pubmed.ncbi.nlm.nih.gov/31950275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pubmed.ncbi.nlm.nih.gov/31950275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National 30-Day Readmission Rates, Predictors, and Costs after Hospitalization for Ischemic Colitis: A Pooled NRD Analysis (2016-2017)</dc:title>
  <dc:creator>Muhammad Umer Sohail</dc:creator>
  <cp:keywords/>
  <dcterms:created xsi:type="dcterms:W3CDTF">2026-01-12T08:09:30Z</dcterms:created>
  <dcterms:modified xsi:type="dcterms:W3CDTF">2026-01-12T08:09:30Z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ubtitle">
    <vt:lpwstr>RCOP NRD B4</vt:lpwstr>
  </property>
  <property fmtid="{D5CDD505-2E9C-101B-9397-08002B2CF9AE}" pid="12" name="toc-title">
    <vt:lpwstr>Table of contents</vt:lpwstr>
  </property>
</Properties>
</file>