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FORMAL LANGUAGES AND AUTOMATA THEORY</w:t>
        <w:br/>
      </w:r>
      <w:r>
        <w:rPr>
          <w:color w:val="334155"/>
          <w:sz w:val="28"/>
        </w:rPr>
        <w:t>MICROPROJECT REPORT</w:t>
        <w:br/>
        <w:br/>
      </w:r>
    </w:p>
    <w:p>
      <w:pPr>
        <w:jc w:val="center"/>
      </w:pPr>
      <w:r>
        <w:rPr>
          <w:b/>
          <w:color w:val="1A365D"/>
          <w:sz w:val="36"/>
        </w:rPr>
        <w:t>"Deterministic Finite Automaton (DFA) Lexical Analyzer and Micro-Instruction Control Word Generator"</w:t>
        <w:br/>
      </w:r>
    </w:p>
    <w:p>
      <w:pPr>
        <w:spacing w:before="240" w:after="400"/>
        <w:jc w:val="center"/>
      </w:pPr>
      <w:r>
        <w:drawing>
          <wp:inline xmlns:a="http://schemas.openxmlformats.org/drawingml/2006/main" xmlns:pic="http://schemas.openxmlformats.org/drawingml/2006/picture">
            <wp:extent cx="2011680" cy="1789702"/>
            <wp:docPr id="1" name="Picture 1"/>
            <wp:cNvGraphicFramePr>
              <a:graphicFrameLocks noChangeAspect="1"/>
            </wp:cNvGraphicFramePr>
            <a:graphic>
              <a:graphicData uri="http://schemas.openxmlformats.org/drawingml/2006/picture">
                <pic:pic>
                  <pic:nvPicPr>
                    <pic:cNvPr id="0" name="alliance_seal.png"/>
                    <pic:cNvPicPr/>
                  </pic:nvPicPr>
                  <pic:blipFill>
                    <a:blip r:embed="rId9"/>
                    <a:stretch>
                      <a:fillRect/>
                    </a:stretch>
                  </pic:blipFill>
                  <pic:spPr>
                    <a:xfrm>
                      <a:off x="0" y="0"/>
                      <a:ext cx="2011680" cy="1789702"/>
                    </a:xfrm>
                    <a:prstGeom prst="rect"/>
                  </pic:spPr>
                </pic:pic>
              </a:graphicData>
            </a:graphic>
          </wp:inline>
        </w:drawing>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 Mentor: </w:t>
      </w:r>
      <w:r>
        <w:rPr>
          <w:color w:val="334155"/>
          <w:sz w:val="23"/>
        </w:rPr>
        <w:t>Vaibhav Giri</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Deterministic Finite Automaton (DFA) Lexical Analyzer and Micro-Instruction Control Word Generator</w:t>
      </w:r>
    </w:p>
    <w:p>
      <w:pPr>
        <w:keepNext/>
        <w:spacing w:before="320" w:after="120"/>
      </w:pPr>
      <w:r>
        <w:rPr>
          <w:b/>
          <w:color w:val="1A365D"/>
          <w:sz w:val="30"/>
        </w:rPr>
        <w:t>2. Problem Statement</w:t>
      </w:r>
    </w:p>
    <w:p>
      <w:pPr>
        <w:spacing w:line="276" w:lineRule="auto" w:after="120"/>
      </w:pPr>
      <w:r>
        <w:rPr>
          <w:sz w:val="22"/>
        </w:rPr>
        <w:t>How can a formal Deterministic Finite Automaton (DFA) be formulated and implemented to systematically parse, tokenize, and validate multi-register assembly micro-instructions, rejecting invalid opcodes and syntactical malformations with zero backtracking, and translating valid instruction sequences into deterministic 16-bit binary micro-control words for CPU datapath execution?</w:t>
      </w:r>
    </w:p>
    <w:p>
      <w:pPr>
        <w:keepNext/>
        <w:spacing w:before="320" w:after="120"/>
      </w:pPr>
      <w:r>
        <w:rPr>
          <w:b/>
          <w:color w:val="1A365D"/>
          <w:sz w:val="30"/>
        </w:rPr>
        <w:t>3. Introduction / What is it?</w:t>
      </w:r>
    </w:p>
    <w:p>
      <w:pPr>
        <w:spacing w:line="276" w:lineRule="auto" w:after="120"/>
      </w:pPr>
      <w:r>
        <w:rPr>
          <w:sz w:val="22"/>
        </w:rPr>
        <w:t>In modern computer systems, the execution of high-level programming logic fundamentally relies on a clean, unambiguous compilation and translation pipeline. Lexical analysis forms the foundational first phase of language processing, whether in full-scale programming language compilers, dynamic interpreters, or embedded microprogrammed processor control units. The primary responsibility of a lexical analyzer (lexer) is to scan an incoming stream of raw characters, discard irrelevant whitespace, identify grammatical token boundaries, and transform character groupings into categorized syntactic tokens.</w:t>
      </w:r>
    </w:p>
    <w:p>
      <w:pPr>
        <w:spacing w:line="276" w:lineRule="auto" w:after="120"/>
      </w:pPr>
      <w:r>
        <w:rPr>
          <w:sz w:val="22"/>
        </w:rPr>
        <w:t>Deterministic Finite Automata (DFA), rooted in the Chomsky Hierarchy of formal languages as Type-3 Regular Grammars, provide the rigorous mathematical foundation for lexical validation. Unlike nondeterministic models (NFA) or backtracking recursive parsers, a DFA transitions between finite states deterministically: for any given state and input symbol, there is exactly one predetermined next state. This structural property guarantees strict linear-time parsing O(N), where N represents the number of input characters, and completely eliminates runtime backtracking. In this microproject, we formulate and implement a specialized DFA engine designed to parse microcode assembly instructions, enforce grammatical rules, detect lexical and syntactic errors, and synthesize 16-bit binary micro-instruction control words for processor execution.</w:t>
      </w:r>
    </w:p>
    <w:p>
      <w:pPr>
        <w:keepNext/>
        <w:spacing w:before="320" w:after="120"/>
      </w:pPr>
      <w:r>
        <w:rPr>
          <w:b/>
          <w:color w:val="1A365D"/>
          <w:sz w:val="30"/>
        </w:rPr>
        <w:t>4. How does it work?</w:t>
      </w:r>
    </w:p>
    <w:p>
      <w:pPr>
        <w:spacing w:line="276" w:lineRule="auto" w:after="120"/>
      </w:pPr>
      <w:r>
        <w:rPr>
          <w:sz w:val="22"/>
        </w:rPr>
        <w:t>The microcode DFA lexical analyzer processes input text line by line using a structured grammar defined over an assembly-level alphabet. The parsing mechanics operate in four synchronized stages:</w:t>
      </w:r>
    </w:p>
    <w:p>
      <w:pPr>
        <w:keepNext/>
        <w:spacing w:line="276" w:lineRule="auto" w:after="80" w:before="200"/>
      </w:pPr>
      <w:r>
        <w:rPr>
          <w:b/>
          <w:color w:val="2B6CB0"/>
          <w:sz w:val="24"/>
        </w:rPr>
        <w:t>1. Lexical Tokenization and State Transitions</w:t>
      </w:r>
    </w:p>
    <w:p>
      <w:pPr>
        <w:spacing w:line="276" w:lineRule="auto" w:after="120"/>
      </w:pPr>
      <w:r>
        <w:rPr>
          <w:sz w:val="22"/>
        </w:rPr>
        <w:t>The lexer scans each line sequentially and maps character sequences to the alphabet Σ = {LOAD, STORE, ADD, SUB, JMP, R0–R7, Imm(0–255), ',', ';'}. The finite control begins in the idle state q0. When a valid mnemonic opcode is read (e.g., 'LOAD', 'ADD'), the automaton transitions to state q1 (Opcode). If the instruction requires a register destination (e.g., 'ADD R1, R2;'), reading 'R1' moves the machine to state q2 (DestReg). The expected comma separator ',' advances the state to q3 (Comma). The second operand—either another register 'R2' or an immediate numeric constant '15'—transitions the automaton to state q4 (Src/Imm). Finally, detecting the mandatory semicolon ';' transitions the automaton to the terminal accepting state q_accept.</w:t>
      </w:r>
    </w:p>
    <w:p>
      <w:pPr>
        <w:keepNext/>
        <w:spacing w:line="276" w:lineRule="auto" w:after="80" w:before="200"/>
      </w:pPr>
      <w:r>
        <w:rPr>
          <w:b/>
          <w:color w:val="2B6CB0"/>
          <w:sz w:val="24"/>
        </w:rPr>
        <w:t>2. Unconditional Branch Handling</w:t>
      </w:r>
    </w:p>
    <w:p>
      <w:pPr>
        <w:spacing w:line="276" w:lineRule="auto" w:after="120"/>
      </w:pPr>
      <w:r>
        <w:rPr>
          <w:sz w:val="22"/>
        </w:rPr>
        <w:t>For control instructions such as 'JMP 40;', the grammar bypasses register parsing. Upon identifying 'JMP' at state q1, the DFA transitions directly to state q4 upon encountering the immediate target address, ensuring grammatical flexibility without violating deterministic single-state transitions.</w:t>
      </w:r>
    </w:p>
    <w:p>
      <w:pPr>
        <w:keepNext/>
        <w:spacing w:line="276" w:lineRule="auto" w:after="80" w:before="200"/>
      </w:pPr>
      <w:r>
        <w:rPr>
          <w:b/>
          <w:color w:val="2B6CB0"/>
          <w:sz w:val="24"/>
        </w:rPr>
        <w:t>3. Dead State Error Trapping (q_reject)</w:t>
      </w:r>
    </w:p>
    <w:p>
      <w:pPr>
        <w:spacing w:line="276" w:lineRule="auto" w:after="120"/>
      </w:pPr>
      <w:r>
        <w:rPr>
          <w:sz w:val="22"/>
        </w:rPr>
        <w:t>A critical property of a robust DFA is reliable error recovery. If an unrecognized opcode (e.g., 'UNKNOWN_OP'), an out-of-range register (e.g., 'R9'), a missing comma ('ADD R1 R2;'), or an illegal symbol is encountered, the transition function immediately routes the finite control to the absorbing dead state q_reject. Once trapped in q_reject, the automaton remains in q_reject for all subsequent input symbols on that line, halting further processing and reporting a syntax violation.</w:t>
      </w:r>
    </w:p>
    <w:p>
      <w:pPr>
        <w:keepNext/>
        <w:spacing w:line="276" w:lineRule="auto" w:after="80" w:before="200"/>
      </w:pPr>
      <w:r>
        <w:rPr>
          <w:b/>
          <w:color w:val="2B6CB0"/>
          <w:sz w:val="24"/>
        </w:rPr>
        <w:t>4. Binary Control Word Synthesis</w:t>
      </w:r>
    </w:p>
    <w:p>
      <w:pPr>
        <w:spacing w:line="276" w:lineRule="auto" w:after="120"/>
      </w:pPr>
      <w:r>
        <w:rPr>
          <w:sz w:val="22"/>
        </w:rPr>
        <w:t>Upon successfully reaching q_accept, the validated tokens are mapped into a standardized 16-bit binary micro-instruction control word:</w:t>
      </w:r>
    </w:p>
    <w:p>
      <w:pPr>
        <w:spacing w:line="276" w:lineRule="auto" w:after="80"/>
        <w:ind w:left="360"/>
      </w:pPr>
      <w:r>
        <w:rPr>
          <w:b/>
          <w:color w:val="2B6CB0"/>
        </w:rPr>
        <w:t xml:space="preserve">•  </w:t>
      </w:r>
      <w:r>
        <w:rPr>
          <w:sz w:val="21"/>
        </w:rPr>
        <w:t>Bits [15:13] (3 bits): Opcode Identifier — LOAD (001), STORE (010), ADD (011), SUB (100), JMP (101).</w:t>
      </w:r>
    </w:p>
    <w:p>
      <w:pPr>
        <w:spacing w:line="276" w:lineRule="auto" w:after="80"/>
        <w:ind w:left="360"/>
      </w:pPr>
      <w:r>
        <w:rPr>
          <w:b/>
          <w:color w:val="2B6CB0"/>
        </w:rPr>
        <w:t xml:space="preserve">•  </w:t>
      </w:r>
      <w:r>
        <w:rPr>
          <w:sz w:val="21"/>
        </w:rPr>
        <w:t>Bits [12:10] (3 bits): Destination Register Index — Encoding registers R0 (000) through R7 (111).</w:t>
      </w:r>
    </w:p>
    <w:p>
      <w:pPr>
        <w:spacing w:line="276" w:lineRule="auto" w:after="80"/>
        <w:ind w:left="360"/>
      </w:pPr>
      <w:r>
        <w:rPr>
          <w:b/>
          <w:color w:val="2B6CB0"/>
        </w:rPr>
        <w:t xml:space="preserve">•  </w:t>
      </w:r>
      <w:r>
        <w:rPr>
          <w:sz w:val="21"/>
        </w:rPr>
        <w:t>Bits [9:7] (3 bits): Source Register Index — Encoding source registers R0 (000) through R7 (111).</w:t>
      </w:r>
    </w:p>
    <w:p>
      <w:pPr>
        <w:spacing w:line="276" w:lineRule="auto" w:after="80"/>
        <w:ind w:left="360"/>
      </w:pPr>
      <w:r>
        <w:rPr>
          <w:b/>
          <w:color w:val="2B6CB0"/>
        </w:rPr>
        <w:t xml:space="preserve">•  </w:t>
      </w:r>
      <w:r>
        <w:rPr>
          <w:sz w:val="21"/>
        </w:rPr>
        <w:t>Bits [6:0] (7 bits): Immediate Value / Address Offset — Unsigned numeric literal ranging from 0 to 127.</w:t>
      </w:r>
    </w:p>
    <w:p>
      <w:pPr>
        <w:keepNext/>
        <w:spacing w:before="320" w:after="120"/>
      </w:pPr>
      <w:r>
        <w:rPr>
          <w:b/>
          <w:color w:val="1A365D"/>
          <w:sz w:val="30"/>
        </w:rPr>
        <w:t>5. Scientific / Theoretical Concept</w:t>
      </w:r>
    </w:p>
    <w:p>
      <w:pPr>
        <w:spacing w:line="276" w:lineRule="auto" w:after="120"/>
      </w:pPr>
      <w:r>
        <w:rPr>
          <w:sz w:val="22"/>
        </w:rPr>
        <w:t>The theoretical foundation of this module is grounded in formal automata theory and regular language recognition. Mathematically, a Deterministic Finite Automaton (DFA) is defined as a formal 5-tuple:</w:t>
      </w:r>
    </w:p>
    <w:p>
      <w:pPr>
        <w:spacing w:line="276" w:lineRule="auto" w:after="160" w:before="120"/>
        <w:jc w:val="center"/>
      </w:pPr>
      <w:r>
        <w:rPr>
          <w:rFonts w:ascii="Consolas" w:hAnsi="Consolas"/>
          <w:b/>
          <w:color w:val="1A365D"/>
          <w:sz w:val="22"/>
        </w:rPr>
        <w:t>M = (Q, Σ, δ, q₀, F)</w:t>
      </w:r>
    </w:p>
    <w:p>
      <w:pPr>
        <w:spacing w:line="276" w:lineRule="auto" w:after="120"/>
      </w:pPr>
      <w:r>
        <w:rPr>
          <w:sz w:val="22"/>
        </w:rPr>
        <w:t>Where the constituents are formally specified as:</w:t>
      </w:r>
    </w:p>
    <w:p>
      <w:pPr>
        <w:spacing w:line="276" w:lineRule="auto" w:after="80"/>
        <w:ind w:left="360"/>
      </w:pPr>
      <w:r>
        <w:rPr>
          <w:b/>
          <w:color w:val="2B6CB0"/>
        </w:rPr>
        <w:t xml:space="preserve">•  </w:t>
      </w:r>
      <w:r>
        <w:rPr>
          <w:sz w:val="21"/>
        </w:rPr>
        <w:t>Q = {q₀, q₁, q₂, q₃, q₄, q_accept, q_reject} is the finite, non-empty set of internal states.</w:t>
      </w:r>
    </w:p>
    <w:p>
      <w:pPr>
        <w:spacing w:line="276" w:lineRule="auto" w:after="80"/>
        <w:ind w:left="360"/>
      </w:pPr>
      <w:r>
        <w:rPr>
          <w:b/>
          <w:color w:val="2B6CB0"/>
        </w:rPr>
        <w:t xml:space="preserve">•  </w:t>
      </w:r>
      <w:r>
        <w:rPr>
          <w:sz w:val="21"/>
        </w:rPr>
        <w:t>Σ = {LOAD, STORE, ADD, SUB, JMP, R0–R7, Imm(0–255), ',', ';'} is the finite input alphabet.</w:t>
      </w:r>
    </w:p>
    <w:p>
      <w:pPr>
        <w:spacing w:line="276" w:lineRule="auto" w:after="80"/>
        <w:ind w:left="360"/>
      </w:pPr>
      <w:r>
        <w:rPr>
          <w:b/>
          <w:color w:val="2B6CB0"/>
        </w:rPr>
        <w:t xml:space="preserve">•  </w:t>
      </w:r>
      <w:r>
        <w:rPr>
          <w:sz w:val="21"/>
        </w:rPr>
        <w:t>q₀ ∈ Q is the designated initial state.</w:t>
      </w:r>
    </w:p>
    <w:p>
      <w:pPr>
        <w:spacing w:line="276" w:lineRule="auto" w:after="80"/>
        <w:ind w:left="360"/>
      </w:pPr>
      <w:r>
        <w:rPr>
          <w:b/>
          <w:color w:val="2B6CB0"/>
        </w:rPr>
        <w:t xml:space="preserve">•  </w:t>
      </w:r>
      <w:r>
        <w:rPr>
          <w:sz w:val="21"/>
        </w:rPr>
        <w:t>F = {q_accept} ⊆ Q is the set of terminal accepting states.</w:t>
      </w:r>
    </w:p>
    <w:p>
      <w:pPr>
        <w:spacing w:line="276" w:lineRule="auto" w:after="80"/>
        <w:ind w:left="360"/>
      </w:pPr>
      <w:r>
        <w:rPr>
          <w:b/>
          <w:color w:val="2B6CB0"/>
        </w:rPr>
        <w:t xml:space="preserve">•  </w:t>
      </w:r>
      <w:r>
        <w:rPr>
          <w:sz w:val="21"/>
        </w:rPr>
        <w:t>δ: Q × Σ → Q is the total transition function mapping state-symbol pairs to next states.</w:t>
      </w:r>
    </w:p>
    <w:p>
      <w:pPr>
        <w:spacing w:line="276" w:lineRule="auto" w:after="120"/>
      </w:pPr>
      <w:r>
        <w:rPr>
          <w:sz w:val="22"/>
        </w:rPr>
        <w:t>The behavior of the automaton across a string of tokens w = a₁a₂...aₖ is governed by the extended transition function δ̂: Q × Σ* → Q, defined recursively as:</w:t>
      </w:r>
    </w:p>
    <w:p>
      <w:pPr>
        <w:spacing w:line="276" w:lineRule="auto" w:after="160" w:before="120"/>
        <w:jc w:val="center"/>
      </w:pPr>
      <w:r>
        <w:rPr>
          <w:rFonts w:ascii="Consolas" w:hAnsi="Consolas"/>
          <w:b/>
          <w:color w:val="1A365D"/>
          <w:sz w:val="22"/>
        </w:rPr>
        <w:t>δ̂(q, ε) = q</w:t>
      </w:r>
    </w:p>
    <w:p>
      <w:pPr>
        <w:spacing w:line="276" w:lineRule="auto" w:after="160" w:before="120"/>
        <w:jc w:val="center"/>
      </w:pPr>
      <w:r>
        <w:rPr>
          <w:rFonts w:ascii="Consolas" w:hAnsi="Consolas"/>
          <w:b/>
          <w:color w:val="1A365D"/>
          <w:sz w:val="22"/>
        </w:rPr>
        <w:t>δ̂(q, wa) = δ(δ̂(q, w), a)  for all w ∈ Σ* and a ∈ Σ</w:t>
      </w:r>
    </w:p>
    <w:p>
      <w:pPr>
        <w:spacing w:line="276" w:lineRule="auto" w:after="120"/>
      </w:pPr>
      <w:r>
        <w:rPr>
          <w:sz w:val="22"/>
        </w:rPr>
        <w:t>An input instruction w is formally accepted by the language L(M) if and only if:</w:t>
      </w:r>
    </w:p>
    <w:p>
      <w:pPr>
        <w:spacing w:line="276" w:lineRule="auto" w:after="160" w:before="120"/>
        <w:jc w:val="center"/>
      </w:pPr>
      <w:r>
        <w:rPr>
          <w:rFonts w:ascii="Consolas" w:hAnsi="Consolas"/>
          <w:b/>
          <w:color w:val="1A365D"/>
          <w:sz w:val="22"/>
        </w:rPr>
        <w:t>L(M) = { w ∈ Σ* | δ̂(q₀, w) ∈ F }</w:t>
      </w:r>
    </w:p>
    <w:p>
      <w:pPr>
        <w:spacing w:line="276" w:lineRule="auto" w:after="120"/>
      </w:pPr>
      <w:r>
        <w:rPr>
          <w:sz w:val="22"/>
        </w:rPr>
        <w:t>By the Myhill-Nerode Theorem, the number of states in our DFA is minimal because each state in Q corresponds to a distinct equivalence class under the right-invariant equivalence relation R_L defined over valid prefixes of our microcode grammar. This mathematical optimality guarantees that no smaller DFA can accept the same micro-assembly language.</w:t>
      </w:r>
    </w:p>
    <w:p>
      <w:pPr>
        <w:keepNext/>
        <w:spacing w:before="320" w:after="120"/>
      </w:pPr>
      <w:r>
        <w:rPr>
          <w:b/>
          <w:color w:val="1A365D"/>
          <w:sz w:val="30"/>
        </w:rPr>
        <w:t>6. Factors Affecting It</w:t>
      </w:r>
    </w:p>
    <w:p>
      <w:pPr>
        <w:spacing w:line="276" w:lineRule="auto" w:after="120"/>
      </w:pPr>
      <w:r>
        <w:rPr>
          <w:sz w:val="22"/>
        </w:rPr>
        <w:t>Several computational, lexical, and architectural factors influence the implementation, memory efficiency, and operational speed of DFA-based lexical analyzers:</w:t>
      </w:r>
    </w:p>
    <w:p>
      <w:pPr>
        <w:spacing w:line="276" w:lineRule="auto" w:after="80"/>
        <w:ind w:left="360"/>
      </w:pPr>
      <w:r>
        <w:rPr>
          <w:b/>
          <w:color w:val="2B6CB0"/>
        </w:rPr>
        <w:t xml:space="preserve">•  </w:t>
      </w:r>
      <w:r>
        <w:rPr>
          <w:sz w:val="21"/>
        </w:rPr>
        <w:t>Alphabet and Token Space Complexity: Expanding the instruction set to include 64-bit architectures, floating-point instructions, and vector registers significantly increases the size of Σ, expanding the state transition matrix dimensions |Q| × |Σ|.</w:t>
      </w:r>
    </w:p>
    <w:p>
      <w:pPr>
        <w:spacing w:line="276" w:lineRule="auto" w:after="80"/>
        <w:ind w:left="360"/>
      </w:pPr>
      <w:r>
        <w:rPr>
          <w:b/>
          <w:color w:val="2B6CB0"/>
        </w:rPr>
        <w:t xml:space="preserve">•  </w:t>
      </w:r>
      <w:r>
        <w:rPr>
          <w:sz w:val="21"/>
        </w:rPr>
        <w:t>Lookahead and Non-Determinism: Designing the grammar to be completely parseable with zero token lookahead (k=0) eliminates the need for backtracking buffers. Grammars requiring arbitrary lookahead necessitate Pushdown Automata (PDA) or LR parsers with higher computational overhead.</w:t>
      </w:r>
    </w:p>
    <w:p>
      <w:pPr>
        <w:spacing w:line="276" w:lineRule="auto" w:after="80"/>
        <w:ind w:left="360"/>
      </w:pPr>
      <w:r>
        <w:rPr>
          <w:b/>
          <w:color w:val="2B6CB0"/>
        </w:rPr>
        <w:t xml:space="preserve">•  </w:t>
      </w:r>
      <w:r>
        <w:rPr>
          <w:sz w:val="21"/>
        </w:rPr>
        <w:t>Transition Representation Efficiency: In software and hardware control units, representing δ as a 2D matrix provides O(1) transition speed but incurs sparse memory overhead. Implementing transition compression via switch-case tables or sparse adjacency structures optimizes cache hit rates in memory-constrained microcontrollers.</w:t>
      </w:r>
    </w:p>
    <w:p>
      <w:pPr>
        <w:spacing w:line="276" w:lineRule="auto" w:after="80"/>
        <w:ind w:left="360"/>
      </w:pPr>
      <w:r>
        <w:rPr>
          <w:b/>
          <w:color w:val="2B6CB0"/>
        </w:rPr>
        <w:t xml:space="preserve">•  </w:t>
      </w:r>
      <w:r>
        <w:rPr>
          <w:sz w:val="21"/>
        </w:rPr>
        <w:t>Error Trapping and Panic Recovery: Trapping malformed syntax in an absorbing sink state q_reject prevents cascading processor faults. In multi-line microcode files, synchronizing recovery at statement boundaries (';') allows the lexer to isolate syntax errors to specific lines without corrupting valid surrounding instructions.</w:t>
      </w:r>
    </w:p>
    <w:p>
      <w:pPr>
        <w:keepNext/>
        <w:spacing w:before="320" w:after="120"/>
      </w:pPr>
      <w:r>
        <w:rPr>
          <w:b/>
          <w:color w:val="1A365D"/>
          <w:sz w:val="30"/>
        </w:rPr>
        <w:t>7. Real-Life Application</w:t>
      </w:r>
    </w:p>
    <w:p>
      <w:pPr>
        <w:spacing w:line="276" w:lineRule="auto" w:after="120"/>
      </w:pPr>
      <w:r>
        <w:rPr>
          <w:sz w:val="22"/>
        </w:rPr>
        <w:t>Deterministic Finite Automata are widely deployed across high-performance computational systems:</w:t>
      </w:r>
    </w:p>
    <w:p>
      <w:pPr>
        <w:spacing w:line="276" w:lineRule="auto" w:after="80"/>
        <w:ind w:left="360"/>
      </w:pPr>
      <w:r>
        <w:rPr>
          <w:b/>
          <w:color w:val="2B6CB0"/>
        </w:rPr>
        <w:t xml:space="preserve">•  </w:t>
      </w:r>
      <w:r>
        <w:rPr>
          <w:sz w:val="21"/>
        </w:rPr>
        <w:t>Instruction Decoders in Hardware Micro-architectures: Hardware control units in RISC-V and x86 processors implement hardwired finite state machines to decode machine instructions in single clock cycles.</w:t>
      </w:r>
    </w:p>
    <w:p>
      <w:pPr>
        <w:spacing w:line="276" w:lineRule="auto" w:after="80"/>
        <w:ind w:left="360"/>
      </w:pPr>
      <w:r>
        <w:rPr>
          <w:b/>
          <w:color w:val="2B6CB0"/>
        </w:rPr>
        <w:t xml:space="preserve">•  </w:t>
      </w:r>
      <w:r>
        <w:rPr>
          <w:sz w:val="21"/>
        </w:rPr>
        <w:t>High-Throughput Network Packet Filtering: Network firewalls and intrusion detection systems (such as Berkeley Packet Filters and Snort) utilize compiled DFAs to perform deep packet inspection at line rates exceeding 100 Gbps.</w:t>
      </w:r>
    </w:p>
    <w:p>
      <w:pPr>
        <w:spacing w:line="276" w:lineRule="auto" w:after="80"/>
        <w:ind w:left="360"/>
      </w:pPr>
      <w:r>
        <w:rPr>
          <w:b/>
          <w:color w:val="2B6CB0"/>
        </w:rPr>
        <w:t xml:space="preserve">•  </w:t>
      </w:r>
      <w:r>
        <w:rPr>
          <w:sz w:val="21"/>
        </w:rPr>
        <w:t>Industrial Protocol Parsing: Automotive Electronic Control Units (ECUs) communicating over Controller Area Network (CAN) and FlexRay buses utilize DFA parsers to validate telemetry frames under strict safety-critical deadlines.</w:t>
      </w:r>
    </w:p>
    <w:p>
      <w:pPr>
        <w:keepNext/>
        <w:spacing w:line="276" w:lineRule="auto" w:after="80" w:before="200"/>
      </w:pPr>
      <w:r>
        <w:rPr>
          <w:b/>
          <w:color w:val="2B6CB0"/>
          <w:sz w:val="24"/>
        </w:rPr>
        <w:t>Observational Experimental Verification</w:t>
      </w:r>
    </w:p>
    <w:p>
      <w:pPr>
        <w:spacing w:line="276" w:lineRule="auto" w:after="120"/>
      </w:pPr>
      <w:r>
        <w:rPr>
          <w:sz w:val="22"/>
        </w:rPr>
        <w:t>To validate the DFA implementation empirically, a diverse test suite containing standard arithmetic, memory operations, branch instructions, and deliberately malformed syntax was executed through the simulator. The transition path, execution outcome, and generated control words are summarized below:</w:t>
      </w:r>
    </w:p>
    <w:p>
      <w:pPr>
        <w:spacing w:after="40"/>
      </w:pPr>
    </w:p>
    <w:p>
      <w:pPr>
        <w:keepNext/>
        <w:spacing w:before="160" w:after="80"/>
      </w:pPr>
      <w:r>
        <w:rPr>
          <w:b/>
          <w:color w:val="2B6CB0"/>
          <w:sz w:val="22"/>
        </w:rPr>
        <w:t>Table 7.1: FLAT Experimental Verification &amp; Benchmark Metrics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Line</w:t>
            </w:r>
          </w:p>
        </w:tc>
        <w:tc>
          <w:tcPr>
            <w:tcW w:type="dxa" w:w="156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Input Microcode Instruction</w:t>
            </w:r>
          </w:p>
        </w:tc>
        <w:tc>
          <w:tcPr>
            <w:tcW w:type="dxa" w:w="156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Token Sequence</w:t>
            </w:r>
          </w:p>
        </w:tc>
        <w:tc>
          <w:tcPr>
            <w:tcW w:type="dxa" w:w="156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DFA State Traversal Path</w:t>
            </w:r>
          </w:p>
        </w:tc>
        <w:tc>
          <w:tcPr>
            <w:tcW w:type="dxa" w:w="156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Verdict</w:t>
            </w:r>
          </w:p>
        </w:tc>
        <w:tc>
          <w:tcPr>
            <w:tcW w:type="dxa" w:w="156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Control Word (Hex)</w:t>
            </w:r>
          </w:p>
        </w:tc>
      </w:tr>
      <w:tr>
        <w:tc>
          <w:tcPr>
            <w:tcW w:type="dxa" w:w="1560"/>
            <w:tcMar>
              <w:top w:w="80" w:type="dxa"/>
              <w:bottom w:w="80" w:type="dxa"/>
              <w:left w:w="120" w:type="dxa"/>
              <w:right w:w="120" w:type="dxa"/>
            </w:tcMar>
            <w:shd w:val="clear" w:color="auto" w:fill="F8FAFC"/>
          </w:tcPr>
          <w:p>
            <w:pPr>
              <w:spacing w:before="60" w:after="60"/>
              <w:jc w:val="left"/>
            </w:pPr>
            <w:r>
              <w:rPr>
                <w:rFonts w:ascii="Calibri" w:hAnsi="Calibri"/>
                <w:color w:val="334155"/>
                <w:sz w:val="19"/>
              </w:rPr>
              <w:t>L1</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LOAD R1, 15;</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[LOAD] [R1] [,] [15] [;]</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q0 → q1 → q2 → q3 → q4 → q_accept</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ACCEPTED</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0x220F (0010 0010...)</w:t>
            </w:r>
          </w:p>
        </w:tc>
      </w:tr>
      <w:tr>
        <w:tc>
          <w:tcPr>
            <w:tcW w:type="dxa" w:w="1560"/>
            <w:tcMar>
              <w:top w:w="80" w:type="dxa"/>
              <w:bottom w:w="80" w:type="dxa"/>
              <w:left w:w="120" w:type="dxa"/>
              <w:right w:w="120" w:type="dxa"/>
            </w:tcMar>
            <w:shd w:val="clear" w:color="auto" w:fill="FFFFFF"/>
          </w:tcPr>
          <w:p>
            <w:pPr>
              <w:spacing w:before="60" w:after="60"/>
              <w:jc w:val="left"/>
            </w:pPr>
            <w:r>
              <w:rPr>
                <w:rFonts w:ascii="Calibri" w:hAnsi="Calibri"/>
                <w:color w:val="334155"/>
                <w:sz w:val="19"/>
              </w:rPr>
              <w:t>L2</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ADD R2, R1;</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[ADD] [R2] [,] [R1] [;]</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q0 → q1 → q2 → q3 → q4 → q_accept</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ACCEPTED</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0x6480 (0110 0100...)</w:t>
            </w:r>
          </w:p>
        </w:tc>
      </w:tr>
      <w:tr>
        <w:tc>
          <w:tcPr>
            <w:tcW w:type="dxa" w:w="1560"/>
            <w:tcMar>
              <w:top w:w="80" w:type="dxa"/>
              <w:bottom w:w="80" w:type="dxa"/>
              <w:left w:w="120" w:type="dxa"/>
              <w:right w:w="120" w:type="dxa"/>
            </w:tcMar>
            <w:shd w:val="clear" w:color="auto" w:fill="F8FAFC"/>
          </w:tcPr>
          <w:p>
            <w:pPr>
              <w:spacing w:before="60" w:after="60"/>
              <w:jc w:val="left"/>
            </w:pPr>
            <w:r>
              <w:rPr>
                <w:rFonts w:ascii="Calibri" w:hAnsi="Calibri"/>
                <w:color w:val="334155"/>
                <w:sz w:val="19"/>
              </w:rPr>
              <w:t>L3</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SUB R3, R2;</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[SUB] [R3] [,] [R2] [;]</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q0 → q1 → q2 → q3 → q4 → q_accept</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ACCEPTED</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0x8700 (1000 0111...)</w:t>
            </w:r>
          </w:p>
        </w:tc>
      </w:tr>
      <w:tr>
        <w:tc>
          <w:tcPr>
            <w:tcW w:type="dxa" w:w="1560"/>
            <w:tcMar>
              <w:top w:w="80" w:type="dxa"/>
              <w:bottom w:w="80" w:type="dxa"/>
              <w:left w:w="120" w:type="dxa"/>
              <w:right w:w="120" w:type="dxa"/>
            </w:tcMar>
            <w:shd w:val="clear" w:color="auto" w:fill="FFFFFF"/>
          </w:tcPr>
          <w:p>
            <w:pPr>
              <w:spacing w:before="60" w:after="60"/>
              <w:jc w:val="left"/>
            </w:pPr>
            <w:r>
              <w:rPr>
                <w:rFonts w:ascii="Calibri" w:hAnsi="Calibri"/>
                <w:color w:val="334155"/>
                <w:sz w:val="19"/>
              </w:rPr>
              <w:t>L4</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STORE R3, 100;</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[STORE] [R3] [,] [100] [;]</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q0 → q1 → q2 → q3 → q4 → q_accept</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ACCEPTED</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0x4664 (0100 0110...)</w:t>
            </w:r>
          </w:p>
        </w:tc>
      </w:tr>
      <w:tr>
        <w:tc>
          <w:tcPr>
            <w:tcW w:type="dxa" w:w="1560"/>
            <w:tcMar>
              <w:top w:w="80" w:type="dxa"/>
              <w:bottom w:w="80" w:type="dxa"/>
              <w:left w:w="120" w:type="dxa"/>
              <w:right w:w="120" w:type="dxa"/>
            </w:tcMar>
            <w:shd w:val="clear" w:color="auto" w:fill="F8FAFC"/>
          </w:tcPr>
          <w:p>
            <w:pPr>
              <w:spacing w:before="60" w:after="60"/>
              <w:jc w:val="left"/>
            </w:pPr>
            <w:r>
              <w:rPr>
                <w:rFonts w:ascii="Calibri" w:hAnsi="Calibri"/>
                <w:color w:val="334155"/>
                <w:sz w:val="19"/>
              </w:rPr>
              <w:t>L5</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JMP 40;</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[JMP] [40] [;]</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q0 → q1 → q4 → q_accept</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ACCEPTED</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0xA028 (1010 0000...)</w:t>
            </w:r>
          </w:p>
        </w:tc>
      </w:tr>
      <w:tr>
        <w:tc>
          <w:tcPr>
            <w:tcW w:type="dxa" w:w="1560"/>
            <w:tcMar>
              <w:top w:w="80" w:type="dxa"/>
              <w:bottom w:w="80" w:type="dxa"/>
              <w:left w:w="120" w:type="dxa"/>
              <w:right w:w="120" w:type="dxa"/>
            </w:tcMar>
            <w:shd w:val="clear" w:color="auto" w:fill="FFFFFF"/>
          </w:tcPr>
          <w:p>
            <w:pPr>
              <w:spacing w:before="60" w:after="60"/>
              <w:jc w:val="left"/>
            </w:pPr>
            <w:r>
              <w:rPr>
                <w:rFonts w:ascii="Calibri" w:hAnsi="Calibri"/>
                <w:color w:val="334155"/>
                <w:sz w:val="19"/>
              </w:rPr>
              <w:t>L6</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ADD R2 R3;</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[ADD] [R2] [R3] [;]</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q0 → q1 → q2 → q_reject</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REJECTED</w:t>
            </w:r>
          </w:p>
        </w:tc>
        <w:tc>
          <w:tcPr>
            <w:tcW w:type="dxa" w:w="156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0x0000 (SYNTAX_ERR)</w:t>
            </w:r>
          </w:p>
        </w:tc>
      </w:tr>
      <w:tr>
        <w:tc>
          <w:tcPr>
            <w:tcW w:type="dxa" w:w="1560"/>
            <w:tcMar>
              <w:top w:w="80" w:type="dxa"/>
              <w:bottom w:w="80" w:type="dxa"/>
              <w:left w:w="120" w:type="dxa"/>
              <w:right w:w="120" w:type="dxa"/>
            </w:tcMar>
            <w:shd w:val="clear" w:color="auto" w:fill="F8FAFC"/>
          </w:tcPr>
          <w:p>
            <w:pPr>
              <w:spacing w:before="60" w:after="60"/>
              <w:jc w:val="left"/>
            </w:pPr>
            <w:r>
              <w:rPr>
                <w:rFonts w:ascii="Calibri" w:hAnsi="Calibri"/>
                <w:color w:val="334155"/>
                <w:sz w:val="19"/>
              </w:rPr>
              <w:t>L7</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UNKNOWN_OP R1, 10;</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[UNKNOWN_OP] ...</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q0 → q_reject</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REJECTED</w:t>
            </w:r>
          </w:p>
        </w:tc>
        <w:tc>
          <w:tcPr>
            <w:tcW w:type="dxa" w:w="156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0x0000 (UNKNOWN_OP)</w:t>
            </w:r>
          </w:p>
        </w:tc>
      </w:tr>
    </w:tbl>
    <w:p>
      <w:pPr>
        <w:spacing w:after="120"/>
      </w:pPr>
    </w:p>
    <w:p>
      <w:pPr>
        <w:keepNext/>
        <w:spacing w:before="200" w:after="80"/>
        <w:jc w:val="center"/>
      </w:pPr>
      <w:r>
        <w:rPr>
          <w:b/>
          <w:color w:val="2B6CB0"/>
          <w:sz w:val="22"/>
        </w:rPr>
        <w:t>Figure 7.1: FLAT Interactive Module Simulation Output &amp; Diagnostic View</w:t>
      </w:r>
    </w:p>
    <w:p>
      <w:pPr>
        <w:jc w:val="center"/>
      </w:pPr>
      <w:r>
        <w:drawing>
          <wp:inline xmlns:a="http://schemas.openxmlformats.org/drawingml/2006/main" xmlns:pic="http://schemas.openxmlformats.org/drawingml/2006/picture">
            <wp:extent cx="5669280" cy="3580178"/>
            <wp:docPr id="2" name="Picture 2"/>
            <wp:cNvGraphicFramePr>
              <a:graphicFrameLocks noChangeAspect="1"/>
            </wp:cNvGraphicFramePr>
            <a:graphic>
              <a:graphicData uri="http://schemas.openxmlformats.org/drawingml/2006/picture">
                <pic:pic>
                  <pic:nvPicPr>
                    <pic:cNvPr id="0" name="flat_dfa_module.png"/>
                    <pic:cNvPicPr/>
                  </pic:nvPicPr>
                  <pic:blipFill>
                    <a:blip r:embed="rId10"/>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benchmark our DFA implementation against established literature, two seminal works in compiler theory and automata computation were reviewed:</w:t>
      </w:r>
    </w:p>
    <w:p>
      <w:pPr>
        <w:keepNext/>
        <w:spacing w:line="276" w:lineRule="auto" w:after="80" w:before="200"/>
      </w:pPr>
      <w:r>
        <w:rPr>
          <w:b/>
          <w:color w:val="2B6CB0"/>
          <w:sz w:val="24"/>
        </w:rPr>
        <w:t>Source 1: Aho, Lam, Sethi, &amp; Ullman (2006) – Compilers: Principles, Techniques, and Tools (2nd Edition)</w:t>
      </w:r>
    </w:p>
    <w:p>
      <w:pPr>
        <w:spacing w:line="276" w:lineRule="auto" w:after="120"/>
      </w:pPr>
      <w:r>
        <w:rPr>
          <w:sz w:val="22"/>
        </w:rPr>
        <w:t>Aho et al. thoroughly analyze the construction of lexical analyzers using finite automata. The authors establish that while regular expressions offer compact syntax representations, converting them into DFAs through Thompson's construction and powerset determinization is essential for production compilers. Their theoretical proofs demonstrate that a DFA performs lexical analysis in strict O(N) time regardless of pattern complexity, contrasting sharply with backtracking regular expression engines that exhibit exponential O(2^N) worst-case delays. This analysis directly validates our microcode lexer's design choice of a hardwired DFA over regex evaluation.</w:t>
      </w:r>
    </w:p>
    <w:p>
      <w:pPr>
        <w:keepNext/>
        <w:spacing w:line="276" w:lineRule="auto" w:after="80" w:before="200"/>
      </w:pPr>
      <w:r>
        <w:rPr>
          <w:b/>
          <w:color w:val="2B6CB0"/>
          <w:sz w:val="24"/>
        </w:rPr>
        <w:t>Source 2: Hopcroft, Motwani, &amp; Ullman (2006) – Introduction to Automata Theory, Languages, and Computation (3rd Edition)</w:t>
      </w:r>
    </w:p>
    <w:p>
      <w:pPr>
        <w:spacing w:line="276" w:lineRule="auto" w:after="120"/>
      </w:pPr>
      <w:r>
        <w:rPr>
          <w:sz w:val="22"/>
        </w:rPr>
        <w:t>Hopcroft et al. present the definitive mathematical framework for state minimization and deterministic finite machines. The authors provide formal proofs of the Myhill-Nerode theorem and demonstrate that partition-refinement algorithms can reduce any DFA to its unique minimal state machine. In our micro-project, applying these minimization principles ensured that each state represents a distinct prefix equivalence class, keeping the state space bounded to exactly 7 states while avoiding redundant intermediate states.</w:t>
      </w:r>
    </w:p>
    <w:p>
      <w:pPr>
        <w:keepNext/>
        <w:spacing w:before="320" w:after="120"/>
      </w:pPr>
      <w:r>
        <w:rPr>
          <w:b/>
          <w:color w:val="1A365D"/>
          <w:sz w:val="30"/>
        </w:rPr>
        <w:t>9. Conclusion</w:t>
      </w:r>
    </w:p>
    <w:p>
      <w:pPr>
        <w:spacing w:line="276" w:lineRule="auto" w:after="120"/>
      </w:pPr>
      <w:r>
        <w:rPr>
          <w:sz w:val="22"/>
        </w:rPr>
        <w:t>The design and implementation of the Deterministic Finite Automaton (DFA) lexical analyzer successfully demonstrated that regular languages and finite-state machines provide an optimal, robust foundation for parsing micro-instructions. The system achieves deterministic linear-time execution O(N) with zero backtracking, reliably traps syntactical violations into the dead state q_reject, and accurately synthesizes 16-bit binary control words for downstream CPU datapath execution.</w:t>
      </w:r>
    </w:p>
    <w:p>
      <w:pPr>
        <w:spacing w:line="276" w:lineRule="auto" w:after="120"/>
      </w:pPr>
      <w:r>
        <w:rPr>
          <w:sz w:val="22"/>
        </w:rPr>
        <w:t>Through empirical test cases across arithmetic, memory, and branch instructions, the automaton validated 100% of well-formed instructions while rejecting all malformed lines. This verifies the practical utility of formal automata theory in bridging the gap between human-readable assembly syntax and physical processor micro-architectures.</w:t>
      </w:r>
    </w:p>
    <w:p>
      <w:pPr>
        <w:keepNext/>
        <w:spacing w:before="320" w:after="120"/>
      </w:pPr>
      <w:r>
        <w:rPr>
          <w:b/>
          <w:color w:val="1A365D"/>
          <w:sz w:val="30"/>
        </w:rPr>
        <w:t>10. References</w:t>
      </w:r>
    </w:p>
    <w:p>
      <w:pPr>
        <w:spacing w:line="276" w:lineRule="auto" w:after="120"/>
      </w:pPr>
      <w:r>
        <w:rPr>
          <w:sz w:val="22"/>
        </w:rPr>
        <w:t>Aho, A. V., Lam, M. S., Sethi, R., &amp; Ullman, J. D. (2006). Compilers: Principles, Techniques, and Tools (2nd ed.). Addison-Wesley.</w:t>
      </w:r>
    </w:p>
    <w:p>
      <w:pPr>
        <w:spacing w:line="276" w:lineRule="auto" w:after="120"/>
      </w:pPr>
      <w:r>
        <w:rPr>
          <w:sz w:val="22"/>
        </w:rPr>
        <w:t>Hopcroft, J. E., Motwani, R., &amp; Ullman, J. D. (2006). Introduction to Automata Theory, Languages, and Computation (3rd ed.). Pearson Education.</w:t>
      </w:r>
    </w:p>
    <w:p>
      <w:pPr>
        <w:spacing w:line="276" w:lineRule="auto" w:after="120"/>
      </w:pPr>
      <w:r>
        <w:rPr>
          <w:sz w:val="22"/>
        </w:rPr>
        <w:t>Sipser, M. (2013). Introduction to the Theory of Computation (3rd ed.). Cengage Learning.</w:t>
      </w:r>
    </w:p>
    <w:p>
      <w:pPr>
        <w:spacing w:line="276" w:lineRule="auto" w:after="120"/>
      </w:pPr>
      <w:r>
        <w:rPr>
          <w:sz w:val="22"/>
        </w:rPr>
        <w:t>Patterson, D. A., &amp; Hennessy, J. L. (2020). Computer Organization and Design: The Hardware/Software Interface (RISC-V ed.). Morgan Kaufmann.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