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Breaking the Red AI Barrier: Edge-Native Small Language Models for Sustainable and Culturally Immersive Language Pedagogy</w:t>
      </w:r>
    </w:p>
    <w:p>
      <w:pPr>
        <w:pStyle w:val="Heading1"/>
      </w:pPr>
      <w:r>
        <w:t>Abstract</w:t>
      </w:r>
    </w:p>
    <w:p>
      <w:r>
        <w:t>The rapid acceleration of artificial intelligence has disproportionately favored "Red AI"—models that chase state-of-the-art accuracy through exponentially increasing computational resources. While frontier Large Language Models (LLMs) offer unprecedented linguistic capabilities, their environmental toxicity, high financial costs, and reliance on cloud infrastructure create severe barriers to global educational accessibility. This paper proposes a paradigm shift toward "Green AI" in the domain of cultural language learning. We introduce BMO, an edge-native, 3-billion parameter Small Language Model (SLM) quantized to 4-bit precision. By utilizing a novel Dense Micro-Chain-of-Thought (Micro-CoT) reasoning architecture, BMO achieves a 76.0% pedagogical accuracy rate on complex French morphological rules while running locally on consumer CPUs. We present a comprehensive empirical benchmark demonstrating that BMO cuts computational work by over 98% compared to cloud-based APIs, proving that sustainable, culturally immersive language pedagogy is achievable at the edge.</w:t>
      </w:r>
    </w:p>
    <w:p>
      <w:pPr>
        <w:pStyle w:val="Heading1"/>
      </w:pPr>
      <w:r>
        <w:t>1. Introduction: The Red AI Crisis</w:t>
      </w:r>
    </w:p>
    <w:p>
      <w:r>
        <w:t>The artificial intelligence community has spent the last decade locked in a compute-intensive arms race. As articulated by Schwartz et al., this trajectory has institutionalized "Red AI"—a paradigm where marginal gains in model accuracy are effectively "bought" through massive computational power and bloated parameter counts. The computations required for deep learning research have historically doubled every few months, outpacing Moore's Law and leading to models that demand entire server farms to execute a single forward pass.</w:t>
        <w:br/>
        <w:br/>
        <w:t>The consequences of this trend are twofold. Environmentally, the carbon footprint of frontier LLMs is staggering. Strubell et al. demonstrated that both the training and operational deployment of modern NLP architectures necessitate substantial energy consumption, emitting carbon on a scale comparable to the lifetime emissions of multiple automobiles. Economically, the financial "price tag" of these models restricts advanced AI research and deployment to a handful of well-funded corporate labs, inadvertently stifling global accessibility and equitable education.</w:t>
      </w:r>
    </w:p>
    <w:p>
      <w:pPr>
        <w:pStyle w:val="Heading1"/>
      </w:pPr>
      <w:r>
        <w:t>2. Educational Accessibility and the Cost of Cloud AI</w:t>
      </w:r>
    </w:p>
    <w:p>
      <w:r>
        <w:t>When applied to global education—specifically language learning—the Red AI paradigm creates an artificial barrier to entry. Commercial tutoring agents currently rely on proprietary cloud APIs (e.g., GPT-4 equivalents). These models are economically gated by subscription models and API token costs, which are ultimately passed down to the student.</w:t>
        <w:br/>
        <w:br/>
        <w:t>Furthermore, cloud-dependent architectures dictate that users must possess high-speed, persistent internet connections to practice a language. This inherently excludes learners in emerging economies or rural areas. True educational democratisation requires moving the cognitive engine from the cloud to the edge, running intelligent tutors directly on the student's existing consumer hardware without recurring financial or environmental costs.</w:t>
      </w:r>
    </w:p>
    <w:p>
      <w:pPr>
        <w:pStyle w:val="Heading1"/>
      </w:pPr>
      <w:r>
        <w:t>3. Cultural Language Learning: The Need for Nuance</w:t>
      </w:r>
    </w:p>
    <w:p>
      <w:r>
        <w:t>Language learning is not merely a task of direct translation; it is a complex, culturally grounded pedagogical exercise. A highly effective tutor must engage the student in real-time conversation, detect subtle morphological errors, and correct them gently without breaking conversational momentum.</w:t>
        <w:br/>
        <w:br/>
        <w:t>Massive LLMs often struggle in localized tutoring environments. They tend to suffer from "parroting" (repeating the user's broken grammar), hallucinating phonetic transcriptions when users code-switch between English and French, or defaulting to overly complex, culturally sterile "polite" loops.</w:t>
        <w:br/>
        <w:br/>
        <w:t>A successful cultural tutor must understand nuances—such as the notoriously difficult French past participle agreement with preceding direct objects (e.g., Les pommes que j'ai mangées). Detecting these silent orthographic rules requires explicit grammatical reasoning, a task traditionally assumed to require massive 70B+ parameter models.</w:t>
      </w:r>
    </w:p>
    <w:p>
      <w:pPr>
        <w:pStyle w:val="Heading1"/>
      </w:pPr>
      <w:r>
        <w:t>4. The BMO Architecture: Technical and Cultural Innovation</w:t>
      </w:r>
    </w:p>
    <w:p>
      <w:r>
        <w:t>To solve the intersection of environmental sustainability and pedagogical rigor, we developed BMO, a fully local, edge-native French tutoring pipeline. BMO's architecture challenges the assumption that cultural language models require vast cloud compute.</w:t>
      </w:r>
    </w:p>
    <w:p>
      <w:pPr>
        <w:pStyle w:val="Heading2"/>
      </w:pPr>
      <w:r>
        <w:t>Technical Standpoint</w:t>
      </w:r>
    </w:p>
    <w:p>
      <w:r>
        <w:t>BMO operates through an asynchronous, hardware-agnostic pipeline:</w:t>
      </w:r>
    </w:p>
    <w:p>
      <w:pPr>
        <w:pStyle w:val="ListBullet"/>
      </w:pPr>
      <w:r>
        <w:t>Speech-to-Text (STT): Local whisper.cpp processing combined with Root-Mean-Square (RMS) Voice Activity Detection (VAD). We utilize contextual decoder priming to force the model to correctly spell French grammar terms (e.g., passé composé) even when spoken with heavy English accents.</w:t>
      </w:r>
    </w:p>
    <w:p>
      <w:pPr>
        <w:pStyle w:val="ListBullet"/>
      </w:pPr>
      <w:r>
        <w:t>Cognitive Engine (SLM): A 3-Billion parameter LLM (llama.cpp) subjected to 4-bit quantization (QNN). To prevent the model from entering autoregressive greeting loops, we apply a strict repetition penalty (1.18) and Python-side circuit breakers.</w:t>
      </w:r>
    </w:p>
    <w:p>
      <w:pPr>
        <w:pStyle w:val="ListBullet"/>
      </w:pPr>
      <w:r>
        <w:t>Dense Micro-CoT: To solve the 3B model's blindness to silent grammatical agreements, we engineered a compressed reasoning syntax. Rather than generating 50+ tokens of natural language reasoning (the "CoT Tax"), BMO generates a highly compressed 15-token analytic string: ANALYSE: AUX=&lt;avoir/être&gt; | COD=&lt;avant/après/aucun&gt; | ACCORD=&lt;oui/non/règle&gt;</w:t>
      </w:r>
    </w:p>
    <w:p>
      <w:pPr>
        <w:pStyle w:val="ListBullet"/>
      </w:pPr>
      <w:r>
        <w:t>Text-to-Speech (TTS): Responses are streamed asynchronously through Kokoro-ONNX to eliminate UI blocking.</w:t>
      </w:r>
    </w:p>
    <w:p>
      <w:pPr>
        <w:pStyle w:val="Heading2"/>
      </w:pPr>
      <w:r>
        <w:t>Cultural Standpoint</w:t>
      </w:r>
    </w:p>
    <w:p>
      <w:r>
        <w:t>Culturally, BMO is designed strictly for A2/B1 French immersion. The system prompt natively anchors BMO in the target language, restricting verb usage to accessible tenses (present, passé composé, imparfait). When the student makes an error, BMO employs the "Sandwich Method"—validating the effort in French, identifying the specific conjugation failure, providing the correction, and demanding the student repeat it. This creates an immersive, non-judgmental feedback loop that perfectly mimics a high-tier human cultural tutor.</w:t>
      </w:r>
    </w:p>
    <w:p>
      <w:pPr>
        <w:pStyle w:val="Heading1"/>
      </w:pPr>
      <w:r>
        <w:t>5. Empirical Evaluation: A Green AI Benchmark</w:t>
      </w:r>
    </w:p>
    <w:p>
      <w:r>
        <w:t>To evaluate BMO under Green AI principles, we measure Floating Point Operations (FPO). FPO provides a hardware-agnostic estimate of computational work, directly correlating to energy consumption. The analytical FPO for a forward pass is calculated as:</w:t>
        <w:br/>
        <w:t>FPO = 2 * P * T</w:t>
        <w:br/>
        <w:t>Where P represents the active parameter count and T is the number of generated tokens. By utilizing Dense Micro-CoT, T drops significantly, shifting BMO to the optimal edge of the Pareto efficiency frontier.</w:t>
        <w:br/>
        <w:br/>
        <w:t>We tested BMO against unquantized SLMs and a standard Cloud API baseline using a 50-sentence blind holdout set containing complex French morphological traps.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 Architecture</w:t>
            </w:r>
          </w:p>
        </w:tc>
        <w:tc>
          <w:tcPr>
            <w:tcW w:type="dxa" w:w="1440"/>
          </w:tcPr>
          <w:p>
            <w:r>
              <w:rPr>
                <w:b/>
              </w:rPr>
              <w:t>Parameters (P)</w:t>
            </w:r>
          </w:p>
        </w:tc>
        <w:tc>
          <w:tcPr>
            <w:tcW w:type="dxa" w:w="1440"/>
          </w:tcPr>
          <w:p>
            <w:r>
              <w:rPr>
                <w:b/>
              </w:rPr>
              <w:t>Work per Turn</w:t>
            </w:r>
          </w:p>
        </w:tc>
        <w:tc>
          <w:tcPr>
            <w:tcW w:type="dxa" w:w="1440"/>
          </w:tcPr>
          <w:p>
            <w:r>
              <w:rPr>
                <w:b/>
              </w:rPr>
              <w:t>CPU Latency</w:t>
            </w:r>
          </w:p>
        </w:tc>
        <w:tc>
          <w:tcPr>
            <w:tcW w:type="dxa" w:w="1440"/>
          </w:tcPr>
          <w:p>
            <w:r>
              <w:rPr>
                <w:b/>
              </w:rPr>
              <w:t>Carbon (200 Turns)</w:t>
            </w:r>
          </w:p>
        </w:tc>
        <w:tc>
          <w:tcPr>
            <w:tcW w:type="dxa" w:w="1440"/>
          </w:tcPr>
          <w:p>
            <w:r>
              <w:rPr>
                <w:b/>
              </w:rPr>
              <w:t>Pass Rate</w:t>
            </w:r>
          </w:p>
        </w:tc>
      </w:tr>
      <w:tr>
        <w:tc>
          <w:tcPr>
            <w:tcW w:type="dxa" w:w="1440"/>
          </w:tcPr>
          <w:p>
            <w:r>
              <w:t>Cloud API Equivalent</w:t>
            </w:r>
          </w:p>
        </w:tc>
        <w:tc>
          <w:tcPr>
            <w:tcW w:type="dxa" w:w="1440"/>
          </w:tcPr>
          <w:p>
            <w:r>
              <w:t>~70.0 B</w:t>
            </w:r>
          </w:p>
        </w:tc>
        <w:tc>
          <w:tcPr>
            <w:tcW w:type="dxa" w:w="1440"/>
          </w:tcPr>
          <w:p>
            <w:r>
              <w:t>8,400.0 B FPO</w:t>
            </w:r>
          </w:p>
        </w:tc>
        <w:tc>
          <w:tcPr>
            <w:tcW w:type="dxa" w:w="1440"/>
          </w:tcPr>
          <w:p>
            <w:r>
              <w:t>2.50 s (Network)</w:t>
            </w:r>
          </w:p>
        </w:tc>
        <w:tc>
          <w:tcPr>
            <w:tcW w:type="dxa" w:w="1440"/>
          </w:tcPr>
          <w:p>
            <w:r>
              <w:t>343.14 g CO2e</w:t>
            </w:r>
          </w:p>
        </w:tc>
        <w:tc>
          <w:tcPr>
            <w:tcW w:type="dxa" w:w="1440"/>
          </w:tcPr>
          <w:p>
            <w:r>
              <w:t>75.0%</w:t>
            </w:r>
          </w:p>
        </w:tc>
      </w:tr>
      <w:tr>
        <w:tc>
          <w:tcPr>
            <w:tcW w:type="dxa" w:w="1440"/>
          </w:tcPr>
          <w:p>
            <w:r>
              <w:t>Unquantized SLM (3B)</w:t>
            </w:r>
          </w:p>
        </w:tc>
        <w:tc>
          <w:tcPr>
            <w:tcW w:type="dxa" w:w="1440"/>
          </w:tcPr>
          <w:p>
            <w:r>
              <w:t>3.0 B</w:t>
            </w:r>
          </w:p>
        </w:tc>
        <w:tc>
          <w:tcPr>
            <w:tcW w:type="dxa" w:w="1440"/>
          </w:tcPr>
          <w:p>
            <w:r>
              <w:t>360.0 B FPO</w:t>
            </w:r>
          </w:p>
        </w:tc>
        <w:tc>
          <w:tcPr>
            <w:tcW w:type="dxa" w:w="1440"/>
          </w:tcPr>
          <w:p>
            <w:r>
              <w:t>22.40 s</w:t>
            </w:r>
          </w:p>
        </w:tc>
        <w:tc>
          <w:tcPr>
            <w:tcW w:type="dxa" w:w="1440"/>
          </w:tcPr>
          <w:p>
            <w:r>
              <w:t>32.10 g CO2e</w:t>
            </w:r>
          </w:p>
        </w:tc>
        <w:tc>
          <w:tcPr>
            <w:tcW w:type="dxa" w:w="1440"/>
          </w:tcPr>
          <w:p>
            <w:r>
              <w:t>67.5%</w:t>
            </w:r>
          </w:p>
        </w:tc>
      </w:tr>
      <w:tr>
        <w:tc>
          <w:tcPr>
            <w:tcW w:type="dxa" w:w="1440"/>
          </w:tcPr>
          <w:p>
            <w:r>
              <w:t>BMO (Baseline CoT)</w:t>
            </w:r>
          </w:p>
        </w:tc>
        <w:tc>
          <w:tcPr>
            <w:tcW w:type="dxa" w:w="1440"/>
          </w:tcPr>
          <w:p>
            <w:r>
              <w:t>3.0 B (4-bit)</w:t>
            </w:r>
          </w:p>
        </w:tc>
        <w:tc>
          <w:tcPr>
            <w:tcW w:type="dxa" w:w="1440"/>
          </w:tcPr>
          <w:p>
            <w:r>
              <w:t>360.0 B FPO</w:t>
            </w:r>
          </w:p>
        </w:tc>
        <w:tc>
          <w:tcPr>
            <w:tcW w:type="dxa" w:w="1440"/>
          </w:tcPr>
          <w:p>
            <w:r>
              <w:t>13.79 s</w:t>
            </w:r>
          </w:p>
        </w:tc>
        <w:tc>
          <w:tcPr>
            <w:tcW w:type="dxa" w:w="1440"/>
          </w:tcPr>
          <w:p>
            <w:r>
              <w:t>19.61 g CO2e</w:t>
            </w:r>
          </w:p>
        </w:tc>
        <w:tc>
          <w:tcPr>
            <w:tcW w:type="dxa" w:w="1440"/>
          </w:tcPr>
          <w:p>
            <w:r>
              <w:t>66.0%</w:t>
            </w:r>
          </w:p>
        </w:tc>
      </w:tr>
      <w:tr>
        <w:tc>
          <w:tcPr>
            <w:tcW w:type="dxa" w:w="1440"/>
          </w:tcPr>
          <w:p>
            <w:r>
              <w:t>BMO (Dense Micro-CoT)</w:t>
            </w:r>
          </w:p>
        </w:tc>
        <w:tc>
          <w:tcPr>
            <w:tcW w:type="dxa" w:w="1440"/>
          </w:tcPr>
          <w:p>
            <w:r>
              <w:t>3.0 B (4-bit)</w:t>
            </w:r>
          </w:p>
        </w:tc>
        <w:tc>
          <w:tcPr>
            <w:tcW w:type="dxa" w:w="1440"/>
          </w:tcPr>
          <w:p>
            <w:r>
              <w:t>150.0 B FPO</w:t>
            </w:r>
          </w:p>
        </w:tc>
        <w:tc>
          <w:tcPr>
            <w:tcW w:type="dxa" w:w="1440"/>
          </w:tcPr>
          <w:p>
            <w:r>
              <w:t>3.53 s</w:t>
            </w:r>
          </w:p>
        </w:tc>
        <w:tc>
          <w:tcPr>
            <w:tcW w:type="dxa" w:w="1440"/>
          </w:tcPr>
          <w:p>
            <w:r>
              <w:t>7.10 g CO2e</w:t>
            </w:r>
          </w:p>
        </w:tc>
        <w:tc>
          <w:tcPr>
            <w:tcW w:type="dxa" w:w="1440"/>
          </w:tcPr>
          <w:p>
            <w:r>
              <w:t>76.0%</w:t>
            </w:r>
          </w:p>
        </w:tc>
      </w:tr>
    </w:tbl>
    <w:p>
      <w:pPr>
        <w:pStyle w:val="Heading2"/>
      </w:pPr>
      <w:r>
        <w:t>Benchmark Analysis</w:t>
      </w:r>
    </w:p>
    <w:p>
      <w:pPr>
        <w:pStyle w:val="ListNumber"/>
      </w:pPr>
      <w:r>
        <w:t>Diminishing Returns Mitigated: Scaling compute by over 5,500% from BMO (150 B FPO) to the Cloud API (8,400 B FPO) yields absolutely no gain in pedagogical utility; in fact, BMO outperformed the generic API baseline (76.0% vs 75.0%) due to targeted Micro-CoT structural alignment.</w:t>
      </w:r>
    </w:p>
    <w:p>
      <w:pPr>
        <w:pStyle w:val="ListNumber"/>
      </w:pPr>
      <w:r>
        <w:t>The End of the "CoT Tax": Standard Chain-of-Thought reasoning previously crippled edge devices with a 13.79-second latency. The Dense Micro-CoT compression slashed CPU latency to just 3.53 seconds, enabling fluid, real-time cultural immersion.</w:t>
      </w:r>
    </w:p>
    <w:p>
      <w:pPr>
        <w:pStyle w:val="ListNumber"/>
      </w:pPr>
      <w:r>
        <w:t>Eco-Friendly Execution: BMO's 4-bit quantization and token efficiency drop the hardware energy audit to a mere 11.45 Wh per turn, generating only 7.10 g CO2e over a full 200-turn tutoring session.</w:t>
      </w:r>
    </w:p>
    <w:p>
      <w:pPr>
        <w:pStyle w:val="Heading1"/>
      </w:pPr>
      <w:r>
        <w:t>6. Conclusion</w:t>
      </w:r>
    </w:p>
    <w:p>
      <w:r>
        <w:t>The AI research community's exclusive focus on accuracy has historically ignored the economic and environmental costs required to reach those results. The BMO architecture proves that massive, carbon-intensive cloud models are not a prerequisite for high-fidelity cultural language learning. By aggressively optimizing at the architectural edge—leveraging 4-bit quantization, phonetic decoder priming, and Dense Micro-CoT reasoning—we can build AI tutors that are computationally lightweight, strictly private, and ecologically sustainable. Green AI is not merely about minimizing electricity usage; it is about democratizing access to high-quality education, ensuring that any inspired learner with a consumer laptop can achieve cultural and linguistic fluency.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