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FB" w:rsidRPr="000D35FB" w:rsidRDefault="000D35FB" w:rsidP="000D35FB">
      <w:pPr>
        <w:spacing w:after="120" w:line="240" w:lineRule="auto"/>
        <w:jc w:val="center"/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</w:pPr>
      <w:r>
        <w:rPr>
          <w:rFonts w:ascii="Montserrat-Bold" w:eastAsia="Times New Roman" w:hAnsi="Montserrat-Bold" w:cs="Times New Roman"/>
          <w:b/>
          <w:bCs/>
          <w:caps/>
          <w:color w:val="000080"/>
          <w:sz w:val="27"/>
          <w:szCs w:val="27"/>
          <w:lang w:val="en-US" w:eastAsia="ru-RU"/>
        </w:rPr>
        <w:t xml:space="preserve">ISFT </w:t>
      </w:r>
      <w:proofErr w:type="spellStart"/>
      <w:r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institut</w:t>
      </w: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ida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ap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</w:t>
      </w:r>
      <w:r w:rsidRPr="000D35FB">
        <w:rPr>
          <w:rFonts w:ascii="Montserrat-Bold" w:eastAsia="Times New Roman" w:hAnsi="Montserrat-Bold" w:cs="Times New Roman" w:hint="eastAsia"/>
          <w:b/>
          <w:bCs/>
          <w:color w:val="000080"/>
          <w:sz w:val="27"/>
          <w:szCs w:val="27"/>
          <w:lang w:val="en-US" w:eastAsia="ru-RU"/>
        </w:rPr>
        <w:t>’</w:t>
      </w: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limni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olish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tartibi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to</w:t>
      </w:r>
      <w:r w:rsidRPr="000D35FB">
        <w:rPr>
          <w:rFonts w:ascii="Montserrat-Bold" w:eastAsia="Times New Roman" w:hAnsi="Montserrat-Bold" w:cs="Times New Roman" w:hint="eastAsia"/>
          <w:b/>
          <w:bCs/>
          <w:color w:val="000080"/>
          <w:sz w:val="27"/>
          <w:szCs w:val="27"/>
          <w:lang w:val="en-US" w:eastAsia="ru-RU"/>
        </w:rPr>
        <w:t>‘</w:t>
      </w: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g</w:t>
      </w:r>
      <w:r w:rsidRPr="000D35FB">
        <w:rPr>
          <w:rFonts w:ascii="Montserrat-Bold" w:eastAsia="Times New Roman" w:hAnsi="Montserrat-Bold" w:cs="Times New Roman" w:hint="eastAsia"/>
          <w:b/>
          <w:bCs/>
          <w:color w:val="000080"/>
          <w:sz w:val="27"/>
          <w:szCs w:val="27"/>
          <w:lang w:val="en-US" w:eastAsia="ru-RU"/>
        </w:rPr>
        <w:t>‘</w:t>
      </w: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risida</w:t>
      </w:r>
      <w:proofErr w:type="spellEnd"/>
    </w:p>
    <w:p w:rsidR="000D35FB" w:rsidRPr="000D35FB" w:rsidRDefault="000D35FB" w:rsidP="000D35FB">
      <w:pPr>
        <w:spacing w:after="0" w:line="240" w:lineRule="auto"/>
        <w:jc w:val="center"/>
        <w:rPr>
          <w:rFonts w:ascii="Montserrat" w:eastAsia="Times New Roman" w:hAnsi="Montserrat" w:cs="Times New Roman"/>
          <w:caps/>
          <w:color w:val="00008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caps/>
          <w:color w:val="000080"/>
          <w:sz w:val="27"/>
          <w:szCs w:val="27"/>
          <w:lang w:val="en-US" w:eastAsia="ru-RU"/>
        </w:rPr>
        <w:t>NIZOM</w:t>
      </w:r>
    </w:p>
    <w:p w:rsidR="000D35FB" w:rsidRPr="000D35FB" w:rsidRDefault="000D35FB" w:rsidP="000D35FB">
      <w:pPr>
        <w:spacing w:after="60" w:line="240" w:lineRule="auto"/>
        <w:jc w:val="center"/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</w:pP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1-bob.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Umumiy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qoidalar</w:t>
      </w:r>
      <w:proofErr w:type="spellEnd"/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6" name="Рисунок 26" descr="https://lex.uz/assets/img/cmnt.png">
              <a:hlinkClick xmlns:a="http://schemas.openxmlformats.org/drawingml/2006/main" r:id="rId4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ex.uz/assets/img/cmnt.png">
                      <a:hlinkClick r:id="rId4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Ushbu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Nizom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ISFT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instituti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o‘rinlarda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proofErr w:type="gram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)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</w:t>
      </w:r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bo‘yicha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tashkil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belgilaydi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5" name="Рисунок 25" descr="https://lex.uz/assets/img/cmnt.png">
              <a:hlinkClick xmlns:a="http://schemas.openxmlformats.org/drawingml/2006/main" r:id="rId6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ex.uz/assets/img/cmnt.png">
                      <a:hlinkClick r:id="rId6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Mazkur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Nizom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boshqa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muassasalariga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nisbatan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tatbiq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etilmaydi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4" name="Рисунок 24" descr="https://lex.uz/assets/img/cmnt.png">
              <a:hlinkClick xmlns:a="http://schemas.openxmlformats.org/drawingml/2006/main" r:id="rId7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ex.uz/assets/img/cmnt.png">
                      <a:hlinkClick r:id="rId7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2. “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to‘g‘risida”gi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O‘zbekiston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Respublikasi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Qonunining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 </w:t>
      </w:r>
      <w:hyperlink r:id="rId8" w:anchor="-5013303" w:history="1">
        <w:r w:rsidRPr="000D35FB">
          <w:rPr>
            <w:rFonts w:ascii="Montserrat" w:eastAsia="Times New Roman" w:hAnsi="Montserrat" w:cs="Times New Roman"/>
            <w:color w:val="008080"/>
            <w:sz w:val="27"/>
            <w:szCs w:val="27"/>
            <w:u w:val="single"/>
            <w:lang w:val="en-US" w:eastAsia="ru-RU"/>
          </w:rPr>
          <w:t>11-moddasiga </w:t>
        </w:r>
        <w:proofErr w:type="spellStart"/>
      </w:hyperlink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muvofiq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fuqarolar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shartnoma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asosida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ma’lumotni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huquqiga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egadirlar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3" name="Рисунок 23" descr="https://lex.uz/assets/img/cmnt.png">
              <a:hlinkClick xmlns:a="http://schemas.openxmlformats.org/drawingml/2006/main" r:id="rId9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ex.uz/assets/img/cmnt.png">
                      <a:hlinkClick r:id="rId9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3.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ma’lumotga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bo‘lgan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diplomli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mutaxassis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)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darajasiga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bo‘yicha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mumkin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2" name="Рисунок 22" descr="https://lex.uz/assets/img/cmnt.png">
              <a:hlinkClick xmlns:a="http://schemas.openxmlformats.org/drawingml/2006/main" r:id="rId10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ex.uz/assets/img/cmnt.png">
                      <a:hlinkClick r:id="rId10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4.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mavjud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quvvatlari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moddiy-texnika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bazasi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, professor-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o‘qituvchilari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tarkibi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xususiyatidan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muayyan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muassasasida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oldingi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parametrlarida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mavjud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shakllarida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tashkil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60" w:line="240" w:lineRule="auto"/>
        <w:jc w:val="center"/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</w:pP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2-bob.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ta’limga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qilishni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tashkil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etish</w:t>
      </w:r>
      <w:proofErr w:type="spellEnd"/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1" name="Рисунок 21" descr="https://lex.uz/assets/img/cmnt.png">
              <a:hlinkClick xmlns:a="http://schemas.openxmlformats.org/drawingml/2006/main" r:id="rId11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ex.uz/assets/img/cmnt.png">
                      <a:hlinkClick r:id="rId11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5.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bo‘yicha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parametrlari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muassasasining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ilmiy-pedagogik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salohiyati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moddiy-texnik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bazasi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hisobga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holda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ISFT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engashi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0" name="Рисунок 20" descr="https://lex.uz/assets/img/cmnt.png">
              <a:hlinkClick xmlns:a="http://schemas.openxmlformats.org/drawingml/2006/main" r:id="rId12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ex.uz/assets/img/cmnt.png">
                      <a:hlinkClick r:id="rId12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6.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tashkil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etiladigan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komissiyalari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o‘rinlarda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—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komissiyasi</w:t>
      </w:r>
      <w:proofErr w:type="spellEnd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)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ga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amalga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oshirish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vazifasi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yuklatiladi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9" name="Рисунок 19" descr="https://lex.uz/assets/img/cmnt.png">
              <a:hlinkClick xmlns:a="http://schemas.openxmlformats.org/drawingml/2006/main" r:id="rId13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ex.uz/assets/img/cmnt.png">
                      <a:hlinkClick r:id="rId13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7.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abituriyentlar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yili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highlight w:val="yellow"/>
          <w:lang w:val="en-US" w:eastAsia="ru-RU"/>
        </w:rPr>
        <w:t>10-iyuldan 10-avgustga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qadar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shu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kuni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ham)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ishlab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maxsus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elektron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tizim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yoki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kamissiyasiga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rasmiy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yozma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ariza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topshirish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orqali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ro‘yxatdan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o‘tadi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8" name="Рисунок 18" descr="https://lex.uz/assets/img/cmnt.png">
              <a:hlinkClick xmlns:a="http://schemas.openxmlformats.org/drawingml/2006/main" r:id="rId14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ex.uz/assets/img/cmnt.png">
                      <a:hlinkClick r:id="rId14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8.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Abituriyentlar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ro‘yxatdan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o‘tishda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maxsus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elektron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tizimga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yoki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komissiyasiga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o‘zining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ma’lumotlarini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kiritadi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quyidagi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hujjatlarni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yuklaydi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yoki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taqdim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: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lastRenderedPageBreak/>
        <w:drawing>
          <wp:inline distT="0" distB="0" distL="0" distR="0">
            <wp:extent cx="342900" cy="285750"/>
            <wp:effectExtent l="0" t="0" r="0" b="0"/>
            <wp:docPr id="17" name="Рисунок 17" descr="https://lex.uz/assets/img/cmnt.png">
              <a:hlinkClick xmlns:a="http://schemas.openxmlformats.org/drawingml/2006/main" r:id="rId15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ex.uz/assets/img/cmnt.png">
                      <a:hlinkClick r:id="rId15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ma’lumot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to‘g‘risidagi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hujjatning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nusxasi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yoki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diplomdan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ko‘chirma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—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O‘zbekiston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Respublikasi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muassasasalarini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davlat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granti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asosida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tugatganlar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);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6" name="Рисунок 16" descr="https://lex.uz/assets/img/cmnt.png">
              <a:hlinkClick xmlns:a="http://schemas.openxmlformats.org/drawingml/2006/main" r:id="rId16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ex.uz/assets/img/cmnt.png">
                      <a:hlinkClick r:id="rId16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ma’lumot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to‘g‘risidagi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hujjatning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ilova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nusxasi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5" name="Рисунок 15" descr="https://lex.uz/assets/img/cmnt.png">
              <a:hlinkClick xmlns:a="http://schemas.openxmlformats.org/drawingml/2006/main" r:id="rId17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ex.uz/assets/img/cmnt.png">
                      <a:hlinkClick r:id="rId17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Bunda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xorijiy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davlatlar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muassasalarining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1992-yil 1-yanvardan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berilgan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diplomlari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nostrifikatsiyadan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o‘tkazilgan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bo‘lishi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lozim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4" name="Рисунок 14" descr="https://lex.uz/assets/img/cmnt.png">
              <a:hlinkClick xmlns:a="http://schemas.openxmlformats.org/drawingml/2006/main" r:id="rId18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ex.uz/assets/img/cmnt.png">
                      <a:hlinkClick r:id="rId18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9.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qilish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imtihoni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shakli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baholash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mezonlari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imtihon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o‘tkazish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muddatlari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)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xususiyatidan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engashi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yili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1-iyulga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qadar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rasmiy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veb-saytida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e’lon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qilinadi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3" name="Рисунок 13" descr="https://lex.uz/assets/img/cmnt.png">
              <a:hlinkClick xmlns:a="http://schemas.openxmlformats.org/drawingml/2006/main" r:id="rId19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ex.uz/assets/img/cmnt.png">
                      <a:hlinkClick r:id="rId19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10.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qilish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natijalari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yili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30-avgustga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qadar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</w:t>
      </w:r>
      <w:r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nstituti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e’lon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qilinadi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2" name="Рисунок 12" descr="https://lex.uz/assets/img/cmnt.png">
              <a:hlinkClick xmlns:a="http://schemas.openxmlformats.org/drawingml/2006/main" r:id="rId20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ex.uz/assets/img/cmnt.png">
                      <a:hlinkClick r:id="rId20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11.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talabalikka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tavsiya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muassasasi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o‘rtasida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shartnoma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rasmiylashtiriladi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1" name="Рисунок 11" descr="https://lex.uz/assets/img/cmnt.png">
              <a:hlinkClick xmlns:a="http://schemas.openxmlformats.org/drawingml/2006/main" r:id="rId21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ex.uz/assets/img/cmnt.png">
                      <a:hlinkClick r:id="rId21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Shartnomalar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yuridik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3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nusxada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jismoniy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2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nusxada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rasmiylashtiriladi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0" name="Рисунок 10" descr="https://lex.uz/assets/img/cmnt.png">
              <a:hlinkClick xmlns:a="http://schemas.openxmlformats.org/drawingml/2006/main" r:id="rId22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ex.uz/assets/img/cmnt.png">
                      <a:hlinkClick r:id="rId22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Shartnoma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ularni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amalga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oshirish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tomonlarning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majburiyatlari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qonun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hujjatlariga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muvofiq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amalga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oshiriladi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9" name="Рисунок 9" descr="https://lex.uz/assets/img/cmnt.png">
              <a:hlinkClick xmlns:a="http://schemas.openxmlformats.org/drawingml/2006/main" r:id="rId23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ex.uz/assets/img/cmnt.png">
                      <a:hlinkClick r:id="rId23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12.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xususiyatidan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to‘lov-kontrakt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miqdori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talabani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o‘qitish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bog‘liq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xarajatlar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miqdoridan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</w:t>
      </w:r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chiqib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Kuzatuv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</w: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engashi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8" name="Рисунок 8" descr="https://lex.uz/assets/img/cmnt.png">
              <a:hlinkClick xmlns:a="http://schemas.openxmlformats.org/drawingml/2006/main" r:id="rId24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ex.uz/assets/img/cmnt.png">
                      <a:hlinkClick r:id="rId24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13.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Talabalarni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qabul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qilish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shartnomada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to‘lov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amalga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oshirilgandan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so‘ng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rektorining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buyrug‘i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rasmiylashtiriladi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60" w:line="240" w:lineRule="auto"/>
        <w:jc w:val="center"/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</w:pP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3-bob.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ta’limda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o‘quv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jarayonini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tashkil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val="en-US" w:eastAsia="ru-RU"/>
        </w:rPr>
        <w:t>etish</w:t>
      </w:r>
      <w:proofErr w:type="spellEnd"/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7" name="Рисунок 7" descr="https://lex.uz/assets/img/cmnt.png">
              <a:hlinkClick xmlns:a="http://schemas.openxmlformats.org/drawingml/2006/main" r:id="rId25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ex.uz/assets/img/cmnt.png">
                      <a:hlinkClick r:id="rId25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14.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o‘quv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rejalaridagi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fanlar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farqidan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qat’i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nazar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2-kursdan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boshlanadi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6" name="Рисунок 6" descr="https://lex.uz/assets/img/cmnt.png">
              <a:hlinkClick xmlns:a="http://schemas.openxmlformats.org/drawingml/2006/main" r:id="rId26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ex.uz/assets/img/cmnt.png">
                      <a:hlinkClick r:id="rId26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Bunda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davomiyligi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tegishli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muddatdan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yilga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kam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etib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lastRenderedPageBreak/>
        <w:drawing>
          <wp:inline distT="0" distB="0" distL="0" distR="0">
            <wp:extent cx="342900" cy="285750"/>
            <wp:effectExtent l="0" t="0" r="0" b="0"/>
            <wp:docPr id="5" name="Рисунок 5" descr="https://lex.uz/assets/img/cmnt.png">
              <a:hlinkClick xmlns:a="http://schemas.openxmlformats.org/drawingml/2006/main" r:id="rId27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ex.uz/assets/img/cmnt.png">
                      <a:hlinkClick r:id="rId27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15.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bakalavriat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yo‘nalishlari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o‘quv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rejasi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fan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dasturlari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ISFT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tomonidan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hamda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turdosh</w:t>
      </w:r>
      <w:proofErr w:type="spellEnd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="003667CC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OTMlar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ISFT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kelishilgan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holda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kadrlar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buyurtmachilarining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ehtiyojlaridan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kelib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kunduzgi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shakli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uchun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tasdiqlangan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o‘quv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reja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fan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dasturlariga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muvofiq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holda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alohida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ishlab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chiqiladi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tasdiqlanadi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4" name="Рисунок 4" descr="https://lex.uz/assets/img/cmnt.png">
              <a:hlinkClick xmlns:a="http://schemas.openxmlformats.org/drawingml/2006/main" r:id="rId28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ex.uz/assets/img/cmnt.png">
                      <a:hlinkClick r:id="rId28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16.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ta’limda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tahsil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olayotgan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talabalar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ko‘chirish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qayta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tiklash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chetlashtirish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O‘zbekiston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Respublikasi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Vazirlar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Mahkamasining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2017-yil 20-iyundagi 393-son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qarori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bilan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tasdiqlangan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ISFT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instituti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talabalari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o‘qishini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ko‘chirish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qayta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tiklash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o‘qishdan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chetlashtirish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to‘g‘risidagi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 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fldChar w:fldCharType="begin"/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instrText xml:space="preserve"> HYPERLINK "https://lex.uz/en/docs/-3244181" \l "-3245763" </w:instrText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fldChar w:fldCharType="separate"/>
      </w:r>
      <w:r w:rsidRPr="000D35FB">
        <w:rPr>
          <w:rFonts w:ascii="Montserrat" w:eastAsia="Times New Roman" w:hAnsi="Montserrat" w:cs="Times New Roman"/>
          <w:color w:val="008080"/>
          <w:sz w:val="27"/>
          <w:szCs w:val="27"/>
          <w:u w:val="single"/>
          <w:lang w:val="en-US" w:eastAsia="ru-RU"/>
        </w:rPr>
        <w:t>nizomga</w:t>
      </w:r>
      <w:proofErr w:type="spellEnd"/>
      <w:r w:rsidRPr="000D35FB">
        <w:rPr>
          <w:rFonts w:ascii="Montserrat" w:eastAsia="Times New Roman" w:hAnsi="Montserrat" w:cs="Times New Roman"/>
          <w:color w:val="008080"/>
          <w:sz w:val="27"/>
          <w:szCs w:val="27"/>
          <w:u w:val="single"/>
          <w:lang w:val="en-US" w:eastAsia="ru-RU"/>
        </w:rPr>
        <w:t> 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fldChar w:fldCharType="end"/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asosan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amalga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oshiriladi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3" name="Рисунок 3" descr="https://lex.uz/assets/img/cmnt.png">
              <a:hlinkClick xmlns:a="http://schemas.openxmlformats.org/drawingml/2006/main" r:id="rId29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ex.uz/assets/img/cmnt.png">
                      <a:hlinkClick r:id="rId29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17.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Ikkinchi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undan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keyingi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oliy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ta’limda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tahsil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olgan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shaxslarga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davlat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attestatsiyasi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yakunlari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bo‘yicha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davlat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namunasidagi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hujjat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diplom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va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uning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ilovasi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beriladi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.</w:t>
      </w:r>
    </w:p>
    <w:p w:rsidR="000D35FB" w:rsidRPr="000D35FB" w:rsidRDefault="000D35FB" w:rsidP="000D35FB">
      <w:pPr>
        <w:spacing w:after="60" w:line="240" w:lineRule="auto"/>
        <w:jc w:val="center"/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eastAsia="ru-RU"/>
        </w:rPr>
      </w:pPr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eastAsia="ru-RU"/>
        </w:rPr>
        <w:t xml:space="preserve">4-bob.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eastAsia="ru-RU"/>
        </w:rPr>
        <w:t>Yakunlovchi</w:t>
      </w:r>
      <w:proofErr w:type="spellEnd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-Bold" w:eastAsia="Times New Roman" w:hAnsi="Montserrat-Bold" w:cs="Times New Roman"/>
          <w:b/>
          <w:bCs/>
          <w:color w:val="000080"/>
          <w:sz w:val="27"/>
          <w:szCs w:val="27"/>
          <w:lang w:eastAsia="ru-RU"/>
        </w:rPr>
        <w:t>qoidalar</w:t>
      </w:r>
      <w:proofErr w:type="spellEnd"/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2" name="Рисунок 2" descr="https://lex.uz/assets/img/cmnt.png">
              <a:hlinkClick xmlns:a="http://schemas.openxmlformats.org/drawingml/2006/main" r:id="rId30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ex.uz/assets/img/cmnt.png">
                      <a:hlinkClick r:id="rId30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18.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Ushbu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Nizomni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qo‘llashda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yuzaga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keladigan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nizolar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qonun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hujjatlarida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belgilangan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tartibda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hal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etiladi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eastAsia="ru-RU"/>
        </w:rPr>
        <w:t>.</w:t>
      </w:r>
    </w:p>
    <w:p w:rsidR="000D35FB" w:rsidRPr="000D35FB" w:rsidRDefault="000D35FB" w:rsidP="000D35FB">
      <w:pPr>
        <w:spacing w:after="150" w:line="240" w:lineRule="auto"/>
        <w:ind w:firstLine="851"/>
        <w:jc w:val="both"/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</w:pPr>
      <w:r w:rsidRPr="000D35FB">
        <w:rPr>
          <w:rFonts w:ascii="Montserrat" w:eastAsia="Times New Roman" w:hAnsi="Montserrat" w:cs="Times New Roman"/>
          <w:noProof/>
          <w:color w:val="008080"/>
          <w:sz w:val="42"/>
          <w:szCs w:val="42"/>
          <w:lang w:eastAsia="ru-RU"/>
        </w:rPr>
        <w:drawing>
          <wp:inline distT="0" distB="0" distL="0" distR="0">
            <wp:extent cx="342900" cy="285750"/>
            <wp:effectExtent l="0" t="0" r="0" b="0"/>
            <wp:docPr id="1" name="Рисунок 1" descr="https://lex.uz/assets/img/cmnt.png">
              <a:hlinkClick xmlns:a="http://schemas.openxmlformats.org/drawingml/2006/main" r:id="rId31" tooltip="&quot;Inform about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ex.uz/assets/img/cmnt.png">
                      <a:hlinkClick r:id="rId31" tooltip="&quot;Inform about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19.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Mazkur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Nizom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talablarining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buzilishida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aybdor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bo‘lgan</w:t>
      </w:r>
      <w:proofErr w:type="spellEnd"/>
      <w:proofErr w:type="gram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shaxslar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qonun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hujjatlarida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belgilangan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tartibda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javob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beradilar</w:t>
      </w:r>
      <w:proofErr w:type="spellEnd"/>
      <w:r w:rsidRPr="000D35FB">
        <w:rPr>
          <w:rFonts w:ascii="Montserrat" w:eastAsia="Times New Roman" w:hAnsi="Montserrat" w:cs="Times New Roman"/>
          <w:color w:val="000000"/>
          <w:sz w:val="27"/>
          <w:szCs w:val="27"/>
          <w:lang w:val="en-US" w:eastAsia="ru-RU"/>
        </w:rPr>
        <w:t>.</w:t>
      </w:r>
    </w:p>
    <w:p w:rsidR="0013014E" w:rsidRPr="000D35FB" w:rsidRDefault="0013014E">
      <w:pPr>
        <w:rPr>
          <w:lang w:val="en-US"/>
        </w:rPr>
      </w:pPr>
      <w:bookmarkStart w:id="0" w:name="_GoBack"/>
      <w:bookmarkEnd w:id="0"/>
    </w:p>
    <w:sectPr w:rsidR="0013014E" w:rsidRPr="000D35FB" w:rsidSect="00F84ED7">
      <w:type w:val="continuous"/>
      <w:pgSz w:w="11909" w:h="16834"/>
      <w:pgMar w:top="1134" w:right="851" w:bottom="113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tserrat-Bold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D35FB"/>
    <w:rsid w:val="00016256"/>
    <w:rsid w:val="00054E84"/>
    <w:rsid w:val="000D35FB"/>
    <w:rsid w:val="0013014E"/>
    <w:rsid w:val="003667CC"/>
    <w:rsid w:val="00E63061"/>
    <w:rsid w:val="00F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2662"/>
  <w15:chartTrackingRefBased/>
  <w15:docId w15:val="{4BE04DB9-7661-4809-884F-AEAE53D2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3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478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9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4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1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8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323">
          <w:marLeft w:val="0"/>
          <w:marRight w:val="11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174">
          <w:marLeft w:val="0"/>
          <w:marRight w:val="11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8290">
          <w:marLeft w:val="0"/>
          <w:marRight w:val="118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128">
          <w:marLeft w:val="11167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0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33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2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28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7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18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69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4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7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84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7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03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2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uz/en/docs/-5013007" TargetMode="External"/><Relationship Id="rId13" Type="http://schemas.openxmlformats.org/officeDocument/2006/relationships/hyperlink" Target="javascript:sendFeedback(-5662877)" TargetMode="External"/><Relationship Id="rId18" Type="http://schemas.openxmlformats.org/officeDocument/2006/relationships/hyperlink" Target="javascript:sendFeedback(-5662894)" TargetMode="External"/><Relationship Id="rId26" Type="http://schemas.openxmlformats.org/officeDocument/2006/relationships/hyperlink" Target="javascript:sendFeedback(-5662907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endFeedback(-5662901)" TargetMode="External"/><Relationship Id="rId7" Type="http://schemas.openxmlformats.org/officeDocument/2006/relationships/hyperlink" Target="javascript:sendFeedback(-5662868)" TargetMode="External"/><Relationship Id="rId12" Type="http://schemas.openxmlformats.org/officeDocument/2006/relationships/hyperlink" Target="javascript:sendFeedback(-5662875)" TargetMode="External"/><Relationship Id="rId17" Type="http://schemas.openxmlformats.org/officeDocument/2006/relationships/hyperlink" Target="javascript:sendFeedback(-5662891)" TargetMode="External"/><Relationship Id="rId25" Type="http://schemas.openxmlformats.org/officeDocument/2006/relationships/hyperlink" Target="javascript:sendFeedback(-5662906)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javascript:sendFeedback(-5662883)" TargetMode="External"/><Relationship Id="rId20" Type="http://schemas.openxmlformats.org/officeDocument/2006/relationships/hyperlink" Target="javascript:sendFeedback(-5662900)" TargetMode="External"/><Relationship Id="rId29" Type="http://schemas.openxmlformats.org/officeDocument/2006/relationships/hyperlink" Target="javascript:sendFeedback(-5662910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endFeedback(-5662855)" TargetMode="External"/><Relationship Id="rId11" Type="http://schemas.openxmlformats.org/officeDocument/2006/relationships/hyperlink" Target="javascript:sendFeedback(-5662874)" TargetMode="External"/><Relationship Id="rId24" Type="http://schemas.openxmlformats.org/officeDocument/2006/relationships/hyperlink" Target="javascript:sendFeedback(-5662904)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javascript:sendFeedback(-5662882)" TargetMode="External"/><Relationship Id="rId23" Type="http://schemas.openxmlformats.org/officeDocument/2006/relationships/hyperlink" Target="javascript:sendFeedback(-5662903)" TargetMode="External"/><Relationship Id="rId28" Type="http://schemas.openxmlformats.org/officeDocument/2006/relationships/hyperlink" Target="javascript:sendFeedback(-5662909)" TargetMode="External"/><Relationship Id="rId10" Type="http://schemas.openxmlformats.org/officeDocument/2006/relationships/hyperlink" Target="javascript:sendFeedback(-5662870)" TargetMode="External"/><Relationship Id="rId19" Type="http://schemas.openxmlformats.org/officeDocument/2006/relationships/hyperlink" Target="javascript:sendFeedback(-5662899)" TargetMode="External"/><Relationship Id="rId31" Type="http://schemas.openxmlformats.org/officeDocument/2006/relationships/hyperlink" Target="javascript:sendFeedback(-5662913)" TargetMode="External"/><Relationship Id="rId4" Type="http://schemas.openxmlformats.org/officeDocument/2006/relationships/hyperlink" Target="javascript:sendFeedback(-5662854)" TargetMode="External"/><Relationship Id="rId9" Type="http://schemas.openxmlformats.org/officeDocument/2006/relationships/hyperlink" Target="javascript:sendFeedback(-5662869)" TargetMode="External"/><Relationship Id="rId14" Type="http://schemas.openxmlformats.org/officeDocument/2006/relationships/hyperlink" Target="javascript:sendFeedback(-5662879)" TargetMode="External"/><Relationship Id="rId22" Type="http://schemas.openxmlformats.org/officeDocument/2006/relationships/hyperlink" Target="javascript:sendFeedback(-5662902)" TargetMode="External"/><Relationship Id="rId27" Type="http://schemas.openxmlformats.org/officeDocument/2006/relationships/hyperlink" Target="javascript:sendFeedback(-5662908)" TargetMode="External"/><Relationship Id="rId30" Type="http://schemas.openxmlformats.org/officeDocument/2006/relationships/hyperlink" Target="javascript:sendFeedback(-566291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2024-05-04T07:01:00Z</dcterms:created>
  <dcterms:modified xsi:type="dcterms:W3CDTF">2024-05-04T07:17:00Z</dcterms:modified>
</cp:coreProperties>
</file>