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C2A4B"/>
          <w:sz w:val="46"/>
        </w:rPr>
        <w:t>CONSUMER ELECTRONICS</w:t>
        <w:br/>
        <w:t>MARKET INTELLIGENCE</w:t>
      </w:r>
    </w:p>
    <w:p>
      <w:pPr>
        <w:jc w:val="center"/>
      </w:pPr>
      <w:r>
        <w:rPr>
          <w:b/>
          <w:color w:val="1496BE"/>
          <w:sz w:val="28"/>
        </w:rPr>
        <w:t>Business Questions Covered in the Excel Analysis</w:t>
      </w:r>
    </w:p>
    <w:p>
      <w:pPr>
        <w:jc w:val="center"/>
      </w:pPr>
      <w:r>
        <w:rPr>
          <w:i/>
          <w:sz w:val="18"/>
        </w:rPr>
        <w:t>Laptops &amp; Smartphones  |  Excel • Power Query • Pivot Tables • Slicers</w:t>
      </w:r>
    </w:p>
    <w:p/>
    <w:tbl>
      <w:tblPr>
        <w:tblW w:type="auto" w:w="0"/>
        <w:jc w:val="center"/>
        <w:tblLook w:firstColumn="1" w:firstRow="1" w:lastColumn="0" w:lastRow="0" w:noHBand="0" w:noVBand="1" w:val="04A0"/>
      </w:tblPr>
      <w:tblGrid>
        <w:gridCol w:w="10224"/>
      </w:tblGrid>
      <w:tr>
        <w:tc>
          <w:tcPr>
            <w:tcW w:type="dxa" w:w="10224"/>
            <w:vAlign w:val="center"/>
          </w:tcPr>
          <w:p>
            <w:pPr>
              <w:spacing w:after="40"/>
            </w:pPr>
            <w:r>
              <w:rPr>
                <w:b/>
                <w:sz w:val="18"/>
              </w:rPr>
              <w:t>PURPOSE</w:t>
              <w:br/>
              <w:t>This document lists the business questions explicitly defined in the Excel Analysis sheet and maps each question to the analytical dimensions and dashboard/analysis area used to investigate it.</w:t>
            </w:r>
          </w:p>
        </w:tc>
      </w:tr>
    </w:tbl>
    <w:p>
      <w:pPr>
        <w:pStyle w:val="Heading1"/>
      </w:pPr>
      <w:r>
        <w:t>1. Business Questions</w:t>
      </w:r>
    </w:p>
    <w:p>
      <w:pPr>
        <w:spacing w:after="140"/>
      </w:pPr>
      <w:r>
        <w:t>The Excel analysis contains 10 business questions covering market structure, pricing, brand competition, product specifications, operating systems, processors, display size, and price–specification relationships.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0C2A4B"/>
          </w:tcPr>
          <w:p>
            <w:r>
              <w:rPr>
                <w:b/>
                <w:color w:val="FFFFFF"/>
                <w:sz w:val="17"/>
              </w:rPr>
              <w:t>ID</w:t>
            </w:r>
          </w:p>
        </w:tc>
        <w:tc>
          <w:tcPr>
            <w:tcW w:type="dxa" w:w="2045"/>
            <w:vAlign w:val="center"/>
            <w:shd w:fill="0C2A4B"/>
          </w:tcPr>
          <w:p>
            <w:r>
              <w:rPr>
                <w:b/>
                <w:color w:val="FFFFFF"/>
                <w:sz w:val="17"/>
              </w:rPr>
              <w:t>Business Question</w:t>
            </w:r>
          </w:p>
        </w:tc>
        <w:tc>
          <w:tcPr>
            <w:tcW w:type="dxa" w:w="2045"/>
            <w:vAlign w:val="center"/>
            <w:shd w:fill="0C2A4B"/>
          </w:tcPr>
          <w:p>
            <w:r>
              <w:rPr>
                <w:b/>
                <w:color w:val="FFFFFF"/>
                <w:sz w:val="17"/>
              </w:rPr>
              <w:t>Dimensions</w:t>
            </w:r>
          </w:p>
        </w:tc>
        <w:tc>
          <w:tcPr>
            <w:tcW w:type="dxa" w:w="2045"/>
            <w:vAlign w:val="center"/>
            <w:shd w:fill="0C2A4B"/>
          </w:tcPr>
          <w:p>
            <w:r>
              <w:rPr>
                <w:b/>
                <w:color w:val="FFFFFF"/>
                <w:sz w:val="17"/>
              </w:rPr>
              <w:t>Analysis / Dashboard Area</w:t>
            </w:r>
          </w:p>
        </w:tc>
        <w:tc>
          <w:tcPr>
            <w:tcW w:type="dxa" w:w="2045"/>
            <w:vAlign w:val="center"/>
            <w:shd w:fill="0C2A4B"/>
          </w:tcPr>
          <w:p>
            <w:r>
              <w:rPr>
                <w:b/>
                <w:color w:val="FFFFFF"/>
                <w:sz w:val="17"/>
              </w:rPr>
              <w:t>Business Purpose</w:t>
            </w:r>
          </w:p>
        </w:tc>
      </w:tr>
      <w:tr>
        <w:tc>
          <w:tcPr>
            <w:tcW w:type="dxa" w:w="2045"/>
            <w:vAlign w:val="top"/>
          </w:tcPr>
          <w:p>
            <w:pPr>
              <w:spacing w:after="20"/>
            </w:pPr>
            <w:r>
              <w:rPr>
                <w:b/>
                <w:sz w:val="16"/>
              </w:rPr>
              <w:t>Q1</w:t>
            </w:r>
          </w:p>
        </w:tc>
        <w:tc>
          <w:tcPr>
            <w:tcW w:type="dxa" w:w="2045"/>
            <w:vAlign w:val="top"/>
          </w:tcPr>
          <w:p>
            <w:pPr>
              <w:spacing w:after="20"/>
            </w:pPr>
            <w:r>
              <w:rPr>
                <w:sz w:val="16"/>
              </w:rPr>
              <w:t>How are products distributed across categories and brands?</w:t>
            </w:r>
          </w:p>
        </w:tc>
        <w:tc>
          <w:tcPr>
            <w:tcW w:type="dxa" w:w="2045"/>
            <w:vAlign w:val="top"/>
          </w:tcPr>
          <w:p>
            <w:pPr>
              <w:spacing w:after="20"/>
            </w:pPr>
            <w:r>
              <w:rPr>
                <w:sz w:val="16"/>
              </w:rPr>
              <w:t>Category, Brand, Product Count</w:t>
            </w:r>
          </w:p>
        </w:tc>
        <w:tc>
          <w:tcPr>
            <w:tcW w:type="dxa" w:w="2045"/>
            <w:vAlign w:val="top"/>
          </w:tcPr>
          <w:p>
            <w:pPr>
              <w:spacing w:after="20"/>
            </w:pPr>
            <w:r>
              <w:rPr>
                <w:sz w:val="16"/>
              </w:rPr>
              <w:t>Market Overview / Top Brands by Product Count</w:t>
            </w:r>
          </w:p>
        </w:tc>
        <w:tc>
          <w:tcPr>
            <w:tcW w:type="dxa" w:w="2045"/>
            <w:vAlign w:val="top"/>
          </w:tcPr>
          <w:p>
            <w:pPr>
              <w:spacing w:after="20"/>
            </w:pPr>
            <w:r>
              <w:rPr>
                <w:sz w:val="16"/>
              </w:rPr>
              <w:t>Understand portfolio composition and competitive presence.</w:t>
            </w:r>
          </w:p>
        </w:tc>
      </w:tr>
      <w:tr>
        <w:tc>
          <w:tcPr>
            <w:tcW w:type="dxa" w:w="2045"/>
            <w:vAlign w:val="top"/>
          </w:tcPr>
          <w:p>
            <w:pPr>
              <w:spacing w:after="20"/>
            </w:pPr>
            <w:r>
              <w:rPr>
                <w:b/>
                <w:sz w:val="16"/>
              </w:rPr>
              <w:t>Q2</w:t>
            </w:r>
          </w:p>
        </w:tc>
        <w:tc>
          <w:tcPr>
            <w:tcW w:type="dxa" w:w="2045"/>
            <w:vAlign w:val="top"/>
          </w:tcPr>
          <w:p>
            <w:pPr>
              <w:spacing w:after="20"/>
            </w:pPr>
            <w:r>
              <w:rPr>
                <w:sz w:val="16"/>
              </w:rPr>
              <w:t>What is the price distribution for each category?</w:t>
            </w:r>
          </w:p>
        </w:tc>
        <w:tc>
          <w:tcPr>
            <w:tcW w:type="dxa" w:w="2045"/>
            <w:vAlign w:val="top"/>
          </w:tcPr>
          <w:p>
            <w:pPr>
              <w:spacing w:after="20"/>
            </w:pPr>
            <w:r>
              <w:rPr>
                <w:sz w:val="16"/>
              </w:rPr>
              <w:t>Category, Price / Price Segment</w:t>
            </w:r>
          </w:p>
        </w:tc>
        <w:tc>
          <w:tcPr>
            <w:tcW w:type="dxa" w:w="2045"/>
            <w:vAlign w:val="top"/>
          </w:tcPr>
          <w:p>
            <w:pPr>
              <w:spacing w:after="20"/>
            </w:pPr>
            <w:r>
              <w:rPr>
                <w:sz w:val="16"/>
              </w:rPr>
              <w:t>Product by Price Segment; category filters</w:t>
            </w:r>
          </w:p>
        </w:tc>
        <w:tc>
          <w:tcPr>
            <w:tcW w:type="dxa" w:w="2045"/>
            <w:vAlign w:val="top"/>
          </w:tcPr>
          <w:p>
            <w:pPr>
              <w:spacing w:after="20"/>
            </w:pPr>
            <w:r>
              <w:rPr>
                <w:sz w:val="16"/>
              </w:rPr>
              <w:t>Identify where product volume sits across pricing levels.</w:t>
            </w:r>
          </w:p>
        </w:tc>
      </w:tr>
      <w:tr>
        <w:tc>
          <w:tcPr>
            <w:tcW w:type="dxa" w:w="2045"/>
            <w:vAlign w:val="top"/>
          </w:tcPr>
          <w:p>
            <w:pPr>
              <w:spacing w:after="20"/>
            </w:pPr>
            <w:r>
              <w:rPr>
                <w:b/>
                <w:sz w:val="16"/>
              </w:rPr>
              <w:t>Q3</w:t>
            </w:r>
          </w:p>
        </w:tc>
        <w:tc>
          <w:tcPr>
            <w:tcW w:type="dxa" w:w="2045"/>
            <w:vAlign w:val="top"/>
          </w:tcPr>
          <w:p>
            <w:pPr>
              <w:spacing w:after="20"/>
            </w:pPr>
            <w:r>
              <w:rPr>
                <w:sz w:val="16"/>
              </w:rPr>
              <w:t>Which brands dominate the Consumer Electronics market?</w:t>
            </w:r>
          </w:p>
        </w:tc>
        <w:tc>
          <w:tcPr>
            <w:tcW w:type="dxa" w:w="2045"/>
            <w:vAlign w:val="top"/>
          </w:tcPr>
          <w:p>
            <w:pPr>
              <w:spacing w:after="20"/>
            </w:pPr>
            <w:r>
              <w:rPr>
                <w:sz w:val="16"/>
              </w:rPr>
              <w:t>Brand, Product Count</w:t>
            </w:r>
          </w:p>
        </w:tc>
        <w:tc>
          <w:tcPr>
            <w:tcW w:type="dxa" w:w="2045"/>
            <w:vAlign w:val="top"/>
          </w:tcPr>
          <w:p>
            <w:pPr>
              <w:spacing w:after="20"/>
            </w:pPr>
            <w:r>
              <w:rPr>
                <w:sz w:val="16"/>
              </w:rPr>
              <w:t>Top Brands by Product Count</w:t>
            </w:r>
          </w:p>
        </w:tc>
        <w:tc>
          <w:tcPr>
            <w:tcW w:type="dxa" w:w="2045"/>
            <w:vAlign w:val="top"/>
          </w:tcPr>
          <w:p>
            <w:pPr>
              <w:spacing w:after="20"/>
            </w:pPr>
            <w:r>
              <w:rPr>
                <w:sz w:val="16"/>
              </w:rPr>
              <w:t>Benchmark assortment breadth and competitive intensity.</w:t>
            </w:r>
          </w:p>
        </w:tc>
      </w:tr>
      <w:tr>
        <w:tc>
          <w:tcPr>
            <w:tcW w:type="dxa" w:w="2045"/>
            <w:vAlign w:val="top"/>
          </w:tcPr>
          <w:p>
            <w:pPr>
              <w:spacing w:after="20"/>
            </w:pPr>
            <w:r>
              <w:rPr>
                <w:b/>
                <w:sz w:val="16"/>
              </w:rPr>
              <w:t>Q4</w:t>
            </w:r>
          </w:p>
        </w:tc>
        <w:tc>
          <w:tcPr>
            <w:tcW w:type="dxa" w:w="2045"/>
            <w:vAlign w:val="top"/>
          </w:tcPr>
          <w:p>
            <w:pPr>
              <w:spacing w:after="20"/>
            </w:pPr>
            <w:r>
              <w:rPr>
                <w:sz w:val="16"/>
              </w:rPr>
              <w:t>Which brands offer the highest average-priced products?</w:t>
            </w:r>
          </w:p>
        </w:tc>
        <w:tc>
          <w:tcPr>
            <w:tcW w:type="dxa" w:w="2045"/>
            <w:vAlign w:val="top"/>
          </w:tcPr>
          <w:p>
            <w:pPr>
              <w:spacing w:after="20"/>
            </w:pPr>
            <w:r>
              <w:rPr>
                <w:sz w:val="16"/>
              </w:rPr>
              <w:t>Brand, Average Price</w:t>
            </w:r>
          </w:p>
        </w:tc>
        <w:tc>
          <w:tcPr>
            <w:tcW w:type="dxa" w:w="2045"/>
            <w:vAlign w:val="top"/>
          </w:tcPr>
          <w:p>
            <w:pPr>
              <w:spacing w:after="20"/>
            </w:pPr>
            <w:r>
              <w:rPr>
                <w:sz w:val="16"/>
              </w:rPr>
              <w:t>Average Price by Brand (Top 10)</w:t>
            </w:r>
          </w:p>
        </w:tc>
        <w:tc>
          <w:tcPr>
            <w:tcW w:type="dxa" w:w="2045"/>
            <w:vAlign w:val="top"/>
          </w:tcPr>
          <w:p>
            <w:pPr>
              <w:spacing w:after="20"/>
            </w:pPr>
            <w:r>
              <w:rPr>
                <w:sz w:val="16"/>
              </w:rPr>
              <w:t>Identify premium-positioned brands and pricing differences.</w:t>
            </w:r>
          </w:p>
        </w:tc>
      </w:tr>
      <w:tr>
        <w:tc>
          <w:tcPr>
            <w:tcW w:type="dxa" w:w="2045"/>
            <w:vAlign w:val="top"/>
          </w:tcPr>
          <w:p>
            <w:pPr>
              <w:spacing w:after="20"/>
            </w:pPr>
            <w:r>
              <w:rPr>
                <w:b/>
                <w:sz w:val="16"/>
              </w:rPr>
              <w:t>Q5</w:t>
            </w:r>
          </w:p>
        </w:tc>
        <w:tc>
          <w:tcPr>
            <w:tcW w:type="dxa" w:w="2045"/>
            <w:vAlign w:val="top"/>
          </w:tcPr>
          <w:p>
            <w:pPr>
              <w:spacing w:after="20"/>
            </w:pPr>
            <w:r>
              <w:rPr>
                <w:sz w:val="16"/>
              </w:rPr>
              <w:t>How is RAM distributed across different product categories?</w:t>
            </w:r>
          </w:p>
        </w:tc>
        <w:tc>
          <w:tcPr>
            <w:tcW w:type="dxa" w:w="2045"/>
            <w:vAlign w:val="top"/>
          </w:tcPr>
          <w:p>
            <w:pPr>
              <w:spacing w:after="20"/>
            </w:pPr>
            <w:r>
              <w:rPr>
                <w:sz w:val="16"/>
              </w:rPr>
              <w:t>Category, RAM / RAM Category</w:t>
            </w:r>
          </w:p>
        </w:tc>
        <w:tc>
          <w:tcPr>
            <w:tcW w:type="dxa" w:w="2045"/>
            <w:vAlign w:val="top"/>
          </w:tcPr>
          <w:p>
            <w:pPr>
              <w:spacing w:after="20"/>
            </w:pPr>
            <w:r>
              <w:rPr>
                <w:sz w:val="16"/>
              </w:rPr>
              <w:t>Product by RAM Capacity</w:t>
            </w:r>
          </w:p>
        </w:tc>
        <w:tc>
          <w:tcPr>
            <w:tcW w:type="dxa" w:w="2045"/>
            <w:vAlign w:val="top"/>
          </w:tcPr>
          <w:p>
            <w:pPr>
              <w:spacing w:after="20"/>
            </w:pPr>
            <w:r>
              <w:rPr>
                <w:sz w:val="16"/>
              </w:rPr>
              <w:t>Understand specification mix and performance-oriented assortment.</w:t>
            </w:r>
          </w:p>
        </w:tc>
      </w:tr>
      <w:tr>
        <w:tc>
          <w:tcPr>
            <w:tcW w:type="dxa" w:w="2045"/>
            <w:vAlign w:val="top"/>
          </w:tcPr>
          <w:p>
            <w:pPr>
              <w:spacing w:after="20"/>
            </w:pPr>
            <w:r>
              <w:rPr>
                <w:b/>
                <w:sz w:val="16"/>
              </w:rPr>
              <w:t>Q6</w:t>
            </w:r>
          </w:p>
        </w:tc>
        <w:tc>
          <w:tcPr>
            <w:tcW w:type="dxa" w:w="2045"/>
            <w:vAlign w:val="top"/>
          </w:tcPr>
          <w:p>
            <w:pPr>
              <w:spacing w:after="20"/>
            </w:pPr>
            <w:r>
              <w:rPr>
                <w:sz w:val="16"/>
              </w:rPr>
              <w:t>How is storage capacity distributed across different product categories?</w:t>
            </w:r>
          </w:p>
        </w:tc>
        <w:tc>
          <w:tcPr>
            <w:tcW w:type="dxa" w:w="2045"/>
            <w:vAlign w:val="top"/>
          </w:tcPr>
          <w:p>
            <w:pPr>
              <w:spacing w:after="20"/>
            </w:pPr>
            <w:r>
              <w:rPr>
                <w:sz w:val="16"/>
              </w:rPr>
              <w:t>Category, Storage / Storage Category</w:t>
            </w:r>
          </w:p>
        </w:tc>
        <w:tc>
          <w:tcPr>
            <w:tcW w:type="dxa" w:w="2045"/>
            <w:vAlign w:val="top"/>
          </w:tcPr>
          <w:p>
            <w:pPr>
              <w:spacing w:after="20"/>
            </w:pPr>
            <w:r>
              <w:rPr>
                <w:sz w:val="16"/>
              </w:rPr>
              <w:t>Product by Storage Category</w:t>
            </w:r>
          </w:p>
        </w:tc>
        <w:tc>
          <w:tcPr>
            <w:tcW w:type="dxa" w:w="2045"/>
            <w:vAlign w:val="top"/>
          </w:tcPr>
          <w:p>
            <w:pPr>
              <w:spacing w:after="20"/>
            </w:pPr>
            <w:r>
              <w:rPr>
                <w:sz w:val="16"/>
              </w:rPr>
              <w:t>Identify common storage configurations and assortment depth.</w:t>
            </w:r>
          </w:p>
        </w:tc>
      </w:tr>
      <w:tr>
        <w:tc>
          <w:tcPr>
            <w:tcW w:type="dxa" w:w="2045"/>
            <w:vAlign w:val="top"/>
          </w:tcPr>
          <w:p>
            <w:pPr>
              <w:spacing w:after="20"/>
            </w:pPr>
            <w:r>
              <w:rPr>
                <w:b/>
                <w:sz w:val="16"/>
              </w:rPr>
              <w:t>Q7</w:t>
            </w:r>
          </w:p>
        </w:tc>
        <w:tc>
          <w:tcPr>
            <w:tcW w:type="dxa" w:w="2045"/>
            <w:vAlign w:val="top"/>
          </w:tcPr>
          <w:p>
            <w:pPr>
              <w:spacing w:after="20"/>
            </w:pPr>
            <w:r>
              <w:rPr>
                <w:sz w:val="16"/>
              </w:rPr>
              <w:t>Which Operating Systems dominate the consumer electronics market?</w:t>
            </w:r>
          </w:p>
        </w:tc>
        <w:tc>
          <w:tcPr>
            <w:tcW w:type="dxa" w:w="2045"/>
            <w:vAlign w:val="top"/>
          </w:tcPr>
          <w:p>
            <w:pPr>
              <w:spacing w:after="20"/>
            </w:pPr>
            <w:r>
              <w:rPr>
                <w:sz w:val="16"/>
              </w:rPr>
              <w:t>Operating System, Category, Product Count</w:t>
            </w:r>
          </w:p>
        </w:tc>
        <w:tc>
          <w:tcPr>
            <w:tcW w:type="dxa" w:w="2045"/>
            <w:vAlign w:val="top"/>
          </w:tcPr>
          <w:p>
            <w:pPr>
              <w:spacing w:after="20"/>
            </w:pPr>
            <w:r>
              <w:rPr>
                <w:sz w:val="16"/>
              </w:rPr>
              <w:t>Product by Operating System</w:t>
            </w:r>
          </w:p>
        </w:tc>
        <w:tc>
          <w:tcPr>
            <w:tcW w:type="dxa" w:w="2045"/>
            <w:vAlign w:val="top"/>
          </w:tcPr>
          <w:p>
            <w:pPr>
              <w:spacing w:after="20"/>
            </w:pPr>
            <w:r>
              <w:rPr>
                <w:sz w:val="16"/>
              </w:rPr>
              <w:t>Understand ecosystem concentration and category differences.</w:t>
            </w:r>
          </w:p>
        </w:tc>
      </w:tr>
      <w:tr>
        <w:tc>
          <w:tcPr>
            <w:tcW w:type="dxa" w:w="2045"/>
            <w:vAlign w:val="top"/>
          </w:tcPr>
          <w:p>
            <w:pPr>
              <w:spacing w:after="20"/>
            </w:pPr>
            <w:r>
              <w:rPr>
                <w:b/>
                <w:sz w:val="16"/>
              </w:rPr>
              <w:t>Q8</w:t>
            </w:r>
          </w:p>
        </w:tc>
        <w:tc>
          <w:tcPr>
            <w:tcW w:type="dxa" w:w="2045"/>
            <w:vAlign w:val="top"/>
          </w:tcPr>
          <w:p>
            <w:pPr>
              <w:spacing w:after="20"/>
            </w:pPr>
            <w:r>
              <w:rPr>
                <w:sz w:val="16"/>
              </w:rPr>
              <w:t>Which processors dominate the consumer electronics market?</w:t>
            </w:r>
          </w:p>
        </w:tc>
        <w:tc>
          <w:tcPr>
            <w:tcW w:type="dxa" w:w="2045"/>
            <w:vAlign w:val="top"/>
          </w:tcPr>
          <w:p>
            <w:pPr>
              <w:spacing w:after="20"/>
            </w:pPr>
            <w:r>
              <w:rPr>
                <w:sz w:val="16"/>
              </w:rPr>
              <w:t>Processor / Processor Brand, Category, Product Count</w:t>
            </w:r>
          </w:p>
        </w:tc>
        <w:tc>
          <w:tcPr>
            <w:tcW w:type="dxa" w:w="2045"/>
            <w:vAlign w:val="top"/>
          </w:tcPr>
          <w:p>
            <w:pPr>
              <w:spacing w:after="20"/>
            </w:pPr>
            <w:r>
              <w:rPr>
                <w:sz w:val="16"/>
              </w:rPr>
              <w:t>Product by Processor Brand</w:t>
            </w:r>
          </w:p>
        </w:tc>
        <w:tc>
          <w:tcPr>
            <w:tcW w:type="dxa" w:w="2045"/>
            <w:vAlign w:val="top"/>
          </w:tcPr>
          <w:p>
            <w:pPr>
              <w:spacing w:after="20"/>
            </w:pPr>
            <w:r>
              <w:rPr>
                <w:sz w:val="16"/>
              </w:rPr>
              <w:t>Support component-level competitive and specification analysis.</w:t>
            </w:r>
          </w:p>
        </w:tc>
      </w:tr>
      <w:tr>
        <w:tc>
          <w:tcPr>
            <w:tcW w:type="dxa" w:w="2045"/>
            <w:vAlign w:val="top"/>
          </w:tcPr>
          <w:p>
            <w:pPr>
              <w:spacing w:after="20"/>
            </w:pPr>
            <w:r>
              <w:rPr>
                <w:b/>
                <w:sz w:val="16"/>
              </w:rPr>
              <w:t>Q9</w:t>
            </w:r>
          </w:p>
        </w:tc>
        <w:tc>
          <w:tcPr>
            <w:tcW w:type="dxa" w:w="2045"/>
            <w:vAlign w:val="top"/>
          </w:tcPr>
          <w:p>
            <w:pPr>
              <w:spacing w:after="20"/>
            </w:pPr>
            <w:r>
              <w:rPr>
                <w:sz w:val="16"/>
              </w:rPr>
              <w:t>How does display size vary across product categories?</w:t>
            </w:r>
          </w:p>
        </w:tc>
        <w:tc>
          <w:tcPr>
            <w:tcW w:type="dxa" w:w="2045"/>
            <w:vAlign w:val="top"/>
          </w:tcPr>
          <w:p>
            <w:pPr>
              <w:spacing w:after="20"/>
            </w:pPr>
            <w:r>
              <w:rPr>
                <w:sz w:val="16"/>
              </w:rPr>
              <w:t>Category, Display Size</w:t>
            </w:r>
          </w:p>
        </w:tc>
        <w:tc>
          <w:tcPr>
            <w:tcW w:type="dxa" w:w="2045"/>
            <w:vAlign w:val="top"/>
          </w:tcPr>
          <w:p>
            <w:pPr>
              <w:spacing w:after="20"/>
            </w:pPr>
            <w:r>
              <w:rPr>
                <w:sz w:val="16"/>
              </w:rPr>
              <w:t>Feature Engineering / analytical data</w:t>
            </w:r>
          </w:p>
        </w:tc>
        <w:tc>
          <w:tcPr>
            <w:tcW w:type="dxa" w:w="2045"/>
            <w:vAlign w:val="top"/>
          </w:tcPr>
          <w:p>
            <w:pPr>
              <w:spacing w:after="20"/>
            </w:pPr>
            <w:r>
              <w:rPr>
                <w:sz w:val="16"/>
              </w:rPr>
              <w:t>Compare form-factor and screen-size patterns between device categories.</w:t>
            </w:r>
          </w:p>
        </w:tc>
      </w:tr>
      <w:tr>
        <w:tc>
          <w:tcPr>
            <w:tcW w:type="dxa" w:w="2045"/>
            <w:vAlign w:val="top"/>
          </w:tcPr>
          <w:p>
            <w:pPr>
              <w:spacing w:after="20"/>
            </w:pPr>
            <w:r>
              <w:rPr>
                <w:b/>
                <w:sz w:val="16"/>
              </w:rPr>
              <w:t>Q10</w:t>
            </w:r>
          </w:p>
        </w:tc>
        <w:tc>
          <w:tcPr>
            <w:tcW w:type="dxa" w:w="2045"/>
            <w:vAlign w:val="top"/>
          </w:tcPr>
          <w:p>
            <w:pPr>
              <w:spacing w:after="20"/>
            </w:pPr>
            <w:r>
              <w:rPr>
                <w:sz w:val="16"/>
              </w:rPr>
              <w:t>Is there a relationship between Price and Product Specifications?</w:t>
            </w:r>
          </w:p>
        </w:tc>
        <w:tc>
          <w:tcPr>
            <w:tcW w:type="dxa" w:w="2045"/>
            <w:vAlign w:val="top"/>
          </w:tcPr>
          <w:p>
            <w:pPr>
              <w:spacing w:after="20"/>
            </w:pPr>
            <w:r>
              <w:rPr>
                <w:sz w:val="16"/>
              </w:rPr>
              <w:t>Price, RAM, Storage, Processor, Rating and other specifications</w:t>
            </w:r>
          </w:p>
        </w:tc>
        <w:tc>
          <w:tcPr>
            <w:tcW w:type="dxa" w:w="2045"/>
            <w:vAlign w:val="top"/>
          </w:tcPr>
          <w:p>
            <w:pPr>
              <w:spacing w:after="20"/>
            </w:pPr>
            <w:r>
              <w:rPr>
                <w:sz w:val="16"/>
              </w:rPr>
              <w:t>Analytical dataset / specification analysis</w:t>
            </w:r>
          </w:p>
        </w:tc>
        <w:tc>
          <w:tcPr>
            <w:tcW w:type="dxa" w:w="2045"/>
            <w:vAlign w:val="top"/>
          </w:tcPr>
          <w:p>
            <w:pPr>
              <w:spacing w:after="20"/>
            </w:pPr>
            <w:r>
              <w:rPr>
                <w:sz w:val="16"/>
              </w:rPr>
              <w:t>Evaluate price-performance and identify potential positioning opportunities.</w:t>
            </w:r>
          </w:p>
        </w:tc>
      </w:tr>
    </w:tbl>
    <w:p/>
    <w:p>
      <w:pPr>
        <w:pStyle w:val="Heading1"/>
      </w:pPr>
      <w:r>
        <w:t>2. Questions Answered Most Directly by the Dashboard</w:t>
      </w:r>
    </w:p>
    <w:p>
      <w:pPr>
        <w:spacing w:after="60"/>
      </w:pPr>
      <w:r>
        <w:rPr>
          <w:b/>
        </w:rPr>
        <w:t xml:space="preserve">Q1 — Category and brand distribution: </w:t>
      </w:r>
      <w:r>
        <w:t>Top Brands by Product Count + Category comparison</w:t>
      </w:r>
    </w:p>
    <w:p>
      <w:pPr>
        <w:spacing w:after="60"/>
      </w:pPr>
      <w:r>
        <w:rPr>
          <w:b/>
        </w:rPr>
        <w:t xml:space="preserve">Q2 — Price distribution: </w:t>
      </w:r>
      <w:r>
        <w:t>Product by Price Segment</w:t>
      </w:r>
    </w:p>
    <w:p>
      <w:pPr>
        <w:spacing w:after="60"/>
      </w:pPr>
      <w:r>
        <w:rPr>
          <w:b/>
        </w:rPr>
        <w:t xml:space="preserve">Q3 — Brand dominance: </w:t>
      </w:r>
      <w:r>
        <w:t>Top Brands by Product Count</w:t>
      </w:r>
    </w:p>
    <w:p>
      <w:pPr>
        <w:spacing w:after="60"/>
      </w:pPr>
      <w:r>
        <w:rPr>
          <w:b/>
        </w:rPr>
        <w:t xml:space="preserve">Q4 — Brand pricing: </w:t>
      </w:r>
      <w:r>
        <w:t>Average Price by Brand (Top 10)</w:t>
      </w:r>
    </w:p>
    <w:p>
      <w:pPr>
        <w:spacing w:after="60"/>
      </w:pPr>
      <w:r>
        <w:rPr>
          <w:b/>
        </w:rPr>
        <w:t xml:space="preserve">Q5 — RAM distribution: </w:t>
      </w:r>
      <w:r>
        <w:t>Product by RAM Capacity</w:t>
      </w:r>
    </w:p>
    <w:p>
      <w:pPr>
        <w:spacing w:after="60"/>
      </w:pPr>
      <w:r>
        <w:rPr>
          <w:b/>
        </w:rPr>
        <w:t xml:space="preserve">Q6 — Storage distribution: </w:t>
      </w:r>
      <w:r>
        <w:t>Product by Storage Category</w:t>
      </w:r>
    </w:p>
    <w:p>
      <w:pPr>
        <w:spacing w:after="60"/>
      </w:pPr>
      <w:r>
        <w:rPr>
          <w:b/>
        </w:rPr>
        <w:t xml:space="preserve">Q7 — Operating-system dominance: </w:t>
      </w:r>
      <w:r>
        <w:t>Product by Operating System</w:t>
      </w:r>
    </w:p>
    <w:p>
      <w:pPr>
        <w:spacing w:after="60"/>
      </w:pPr>
      <w:r>
        <w:rPr>
          <w:b/>
        </w:rPr>
        <w:t xml:space="preserve">Q8 — Processor dominance: </w:t>
      </w:r>
      <w:r>
        <w:t>Product by Processor Brand</w:t>
      </w:r>
    </w:p>
    <w:p>
      <w:pPr>
        <w:pStyle w:val="Heading1"/>
      </w:pPr>
      <w:r>
        <w:t>3. Questions Supported by the Analytical Data</w:t>
      </w:r>
    </w:p>
    <w:p>
      <w:r>
        <w:t>Q9 and Q10 are broader analytical questions defined in the workbook. They use fields in the cleaned/feature-engineered data and can be explored beyond the main dashboard visuals.</w:t>
      </w:r>
    </w:p>
    <w:p>
      <w:pPr>
        <w:ind w:left="216"/>
      </w:pPr>
      <w:r>
        <w:rPr>
          <w:b/>
        </w:rPr>
        <w:t>Q9 — How does display size vary across product categories?</w:t>
        <w:br/>
      </w:r>
      <w:r>
        <w:t>Uses display-size information together with Category to compare device form factors.</w:t>
      </w:r>
    </w:p>
    <w:p>
      <w:pPr>
        <w:ind w:left="216"/>
      </w:pPr>
      <w:r>
        <w:rPr>
          <w:b/>
        </w:rPr>
        <w:t>Q10 — Is there a relationship between Price and Product Specifications?</w:t>
        <w:br/>
      </w:r>
      <w:r>
        <w:t>Uses Price together with product specifications such as RAM, Storage, Processor and Rating to investigate price-performance patterns.</w:t>
      </w:r>
    </w:p>
    <w:p>
      <w:pPr>
        <w:pStyle w:val="Heading1"/>
      </w:pPr>
      <w:r>
        <w:t>4. Analytical Dimensions Covered</w:t>
      </w:r>
    </w:p>
    <w:p>
      <w:pPr>
        <w:pStyle w:val="ListBullet"/>
      </w:pPr>
      <w:r>
        <w:t>Category — Laptop / Smartphone</w:t>
      </w:r>
    </w:p>
    <w:p>
      <w:pPr>
        <w:pStyle w:val="ListBullet"/>
      </w:pPr>
      <w:r>
        <w:t>Brand</w:t>
      </w:r>
    </w:p>
    <w:p>
      <w:pPr>
        <w:pStyle w:val="ListBullet"/>
      </w:pPr>
      <w:r>
        <w:t>Price and Price Segment</w:t>
      </w:r>
    </w:p>
    <w:p>
      <w:pPr>
        <w:pStyle w:val="ListBullet"/>
      </w:pPr>
      <w:r>
        <w:t>Operating System</w:t>
      </w:r>
    </w:p>
    <w:p>
      <w:pPr>
        <w:pStyle w:val="ListBullet"/>
      </w:pPr>
      <w:r>
        <w:t>RAM and RAM Category</w:t>
      </w:r>
    </w:p>
    <w:p>
      <w:pPr>
        <w:pStyle w:val="ListBullet"/>
      </w:pPr>
      <w:r>
        <w:t>Storage and Storage Category</w:t>
      </w:r>
    </w:p>
    <w:p>
      <w:pPr>
        <w:pStyle w:val="ListBullet"/>
      </w:pPr>
      <w:r>
        <w:t>Processor / Processor Brand</w:t>
      </w:r>
    </w:p>
    <w:p>
      <w:pPr>
        <w:pStyle w:val="ListBullet"/>
      </w:pPr>
      <w:r>
        <w:t>Display Size</w:t>
      </w:r>
    </w:p>
    <w:p>
      <w:pPr>
        <w:pStyle w:val="ListBullet"/>
      </w:pPr>
      <w:r>
        <w:t>Rating</w:t>
      </w:r>
    </w:p>
    <w:p>
      <w:pPr>
        <w:pStyle w:val="ListBullet"/>
      </w:pPr>
      <w:r>
        <w:t>Product Count</w:t>
      </w:r>
    </w:p>
    <w:p>
      <w:pPr>
        <w:pStyle w:val="Heading1"/>
      </w:pPr>
      <w:r>
        <w:t>5. How the Questions Connect to Business Decisions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0C2A4B"/>
          </w:tcPr>
          <w:p>
            <w:r>
              <w:rPr>
                <w:b/>
                <w:color w:val="FFFFFF"/>
              </w:rPr>
              <w:t>Business Area</w:t>
            </w:r>
          </w:p>
        </w:tc>
        <w:tc>
          <w:tcPr>
            <w:tcW w:type="dxa" w:w="3408"/>
            <w:shd w:fill="0C2A4B"/>
          </w:tcPr>
          <w:p>
            <w:r>
              <w:rPr>
                <w:b/>
                <w:color w:val="FFFFFF"/>
              </w:rPr>
              <w:t>Questions</w:t>
            </w:r>
          </w:p>
        </w:tc>
        <w:tc>
          <w:tcPr>
            <w:tcW w:type="dxa" w:w="3408"/>
            <w:shd w:fill="0C2A4B"/>
          </w:tcPr>
          <w:p>
            <w:r>
              <w:rPr>
                <w:b/>
                <w:color w:val="FFFFFF"/>
              </w:rPr>
              <w:t>Decision Use</w:t>
            </w:r>
          </w:p>
        </w:tc>
      </w:tr>
      <w:tr>
        <w:tc>
          <w:tcPr>
            <w:tcW w:type="dxa" w:w="3408"/>
          </w:tcPr>
          <w:p>
            <w:r>
              <w:rPr>
                <w:sz w:val="17"/>
              </w:rPr>
              <w:t>Market</w:t>
            </w:r>
          </w:p>
        </w:tc>
        <w:tc>
          <w:tcPr>
            <w:tcW w:type="dxa" w:w="3408"/>
          </w:tcPr>
          <w:p>
            <w:r>
              <w:rPr>
                <w:sz w:val="17"/>
              </w:rPr>
              <w:t>Q1, Q3</w:t>
            </w:r>
          </w:p>
        </w:tc>
        <w:tc>
          <w:tcPr>
            <w:tcW w:type="dxa" w:w="3408"/>
          </w:tcPr>
          <w:p>
            <w:r>
              <w:rPr>
                <w:sz w:val="17"/>
              </w:rPr>
              <w:t>Understand portfolio size, category mix and competitive presence.</w:t>
            </w:r>
          </w:p>
        </w:tc>
      </w:tr>
      <w:tr>
        <w:tc>
          <w:tcPr>
            <w:tcW w:type="dxa" w:w="3408"/>
          </w:tcPr>
          <w:p>
            <w:r>
              <w:rPr>
                <w:sz w:val="17"/>
              </w:rPr>
              <w:t>Pricing</w:t>
            </w:r>
          </w:p>
        </w:tc>
        <w:tc>
          <w:tcPr>
            <w:tcW w:type="dxa" w:w="3408"/>
          </w:tcPr>
          <w:p>
            <w:r>
              <w:rPr>
                <w:sz w:val="17"/>
              </w:rPr>
              <w:t>Q2, Q4</w:t>
            </w:r>
          </w:p>
        </w:tc>
        <w:tc>
          <w:tcPr>
            <w:tcW w:type="dxa" w:w="3408"/>
          </w:tcPr>
          <w:p>
            <w:r>
              <w:rPr>
                <w:sz w:val="17"/>
              </w:rPr>
              <w:t>Evaluate price distribution and premium positioning.</w:t>
            </w:r>
          </w:p>
        </w:tc>
      </w:tr>
      <w:tr>
        <w:tc>
          <w:tcPr>
            <w:tcW w:type="dxa" w:w="3408"/>
          </w:tcPr>
          <w:p>
            <w:r>
              <w:rPr>
                <w:sz w:val="17"/>
              </w:rPr>
              <w:t>Specifications</w:t>
            </w:r>
          </w:p>
        </w:tc>
        <w:tc>
          <w:tcPr>
            <w:tcW w:type="dxa" w:w="3408"/>
          </w:tcPr>
          <w:p>
            <w:r>
              <w:rPr>
                <w:sz w:val="17"/>
              </w:rPr>
              <w:t>Q5, Q6, Q8</w:t>
            </w:r>
          </w:p>
        </w:tc>
        <w:tc>
          <w:tcPr>
            <w:tcW w:type="dxa" w:w="3408"/>
          </w:tcPr>
          <w:p>
            <w:r>
              <w:rPr>
                <w:sz w:val="17"/>
              </w:rPr>
              <w:t>Identify common and high-volume configurations.</w:t>
            </w:r>
          </w:p>
        </w:tc>
      </w:tr>
      <w:tr>
        <w:tc>
          <w:tcPr>
            <w:tcW w:type="dxa" w:w="3408"/>
          </w:tcPr>
          <w:p>
            <w:r>
              <w:rPr>
                <w:sz w:val="17"/>
              </w:rPr>
              <w:t>Customer / Product Positioning</w:t>
            </w:r>
          </w:p>
        </w:tc>
        <w:tc>
          <w:tcPr>
            <w:tcW w:type="dxa" w:w="3408"/>
          </w:tcPr>
          <w:p>
            <w:r>
              <w:rPr>
                <w:sz w:val="17"/>
              </w:rPr>
              <w:t>Q7, Q9</w:t>
            </w:r>
          </w:p>
        </w:tc>
        <w:tc>
          <w:tcPr>
            <w:tcW w:type="dxa" w:w="3408"/>
          </w:tcPr>
          <w:p>
            <w:r>
              <w:rPr>
                <w:sz w:val="17"/>
              </w:rPr>
              <w:t>Understand ecosystem and form-factor differences.</w:t>
            </w:r>
          </w:p>
        </w:tc>
      </w:tr>
      <w:tr>
        <w:tc>
          <w:tcPr>
            <w:tcW w:type="dxa" w:w="3408"/>
          </w:tcPr>
          <w:p>
            <w:r>
              <w:rPr>
                <w:sz w:val="17"/>
              </w:rPr>
              <w:t>Price-Performance</w:t>
            </w:r>
          </w:p>
        </w:tc>
        <w:tc>
          <w:tcPr>
            <w:tcW w:type="dxa" w:w="3408"/>
          </w:tcPr>
          <w:p>
            <w:r>
              <w:rPr>
                <w:sz w:val="17"/>
              </w:rPr>
              <w:t>Q10</w:t>
            </w:r>
          </w:p>
        </w:tc>
        <w:tc>
          <w:tcPr>
            <w:tcW w:type="dxa" w:w="3408"/>
          </w:tcPr>
          <w:p>
            <w:r>
              <w:rPr>
                <w:sz w:val="17"/>
              </w:rPr>
              <w:t>Explore whether stronger specifications are associated with higher prices.</w:t>
            </w:r>
          </w:p>
        </w:tc>
      </w:tr>
    </w:tbl>
    <w:p>
      <w:pPr>
        <w:pStyle w:val="Heading1"/>
      </w:pPr>
      <w:r>
        <w:t>6. Interactive Analysis Approach</w:t>
      </w:r>
    </w:p>
    <w:p>
      <w:r>
        <w:t>The dashboard uses slicers for Category, Brand, Price Segment, Operating System and RAM Category. Because the KPI measures and chart outputs respond to the selected filters, the questions can be investigated at both an overall-market level and a selected market-segment level.</w:t>
      </w:r>
    </w:p>
    <w:p>
      <w:pPr>
        <w:pStyle w:val="Heading1"/>
      </w:pPr>
      <w:r>
        <w:t>7. Important Interpretation Note</w:t>
      </w:r>
    </w:p>
    <w:p>
      <w:r>
        <w:t>The workbook contains multiple filter states. Therefore, KPI values shown after applying filters represent the selected subset, not necessarily the overall market baseline. When presenting a specific answer, record the active slicer selections so the business context is clear.</w:t>
      </w:r>
    </w:p>
    <w:p>
      <w:pPr>
        <w:pStyle w:val="Heading1"/>
      </w:pPr>
      <w:r>
        <w:t>8. Project Coverage Summary</w:t>
      </w:r>
    </w:p>
    <w:p>
      <w:r>
        <w:rPr>
          <w:b/>
        </w:rPr>
        <w:t>10 business questions</w:t>
      </w:r>
      <w:r>
        <w:t xml:space="preserve"> are defined in the Excel analysis, covering </w:t>
      </w:r>
      <w:r>
        <w:rPr>
          <w:b/>
        </w:rPr>
        <w:t>market structure, brands, pricing, RAM, storage, operating systems, processors, display size, and price-performance.</w:t>
      </w:r>
    </w:p>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Consumer Electronics Market Intelligence | Business Question Framework | Updated 8 August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