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Energy — Electricity Consumption Summary</w:t>
      </w:r>
    </w:p>
    <w:p>
      <w:pPr>
        <w:pStyle w:val="Heading1"/>
      </w:pPr>
      <w:r>
        <w:t>Reporting Period</w:t>
      </w:r>
    </w:p>
    <w:p>
      <w:r>
        <w:t>The facility electricity consumption figures cover calendar year 2024.</w:t>
      </w:r>
    </w:p>
    <w:p>
      <w:pPr>
        <w:pStyle w:val="Heading1"/>
      </w:pPr>
      <w:r>
        <w:t>Annual Consumption</w:t>
      </w:r>
    </w:p>
    <w:p>
      <w:r>
        <w:t>The facility consumed 300 MWh of electricity in 2024.</w:t>
      </w:r>
    </w:p>
    <w:p>
      <w:pPr>
        <w:pStyle w:val="Heading1"/>
      </w:pPr>
      <w:r>
        <w:t>Interpretation</w:t>
      </w:r>
    </w:p>
    <w:p>
      <w:r>
        <w:t>Consumption includes office lighting, computing equipment, workshop machinery, and building climate control. This report does not calculate the solar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