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Code of Conduct</w:t>
      </w:r>
    </w:p>
    <w:p>
      <w:pPr>
        <w:pStyle w:val="Heading1"/>
      </w:pPr>
      <w:r>
        <w:t>Scope</w:t>
      </w:r>
    </w:p>
    <w:p>
      <w:r>
        <w:t>This policy applies to suppliers providing equipment, materials, logistics, or recurring services to Atlas Energy.</w:t>
      </w:r>
    </w:p>
    <w:p>
      <w:pPr>
        <w:pStyle w:val="Heading1"/>
      </w:pPr>
      <w:r>
        <w:t>Environmental Expectations</w:t>
      </w:r>
    </w:p>
    <w:p>
      <w:r>
        <w:t>Suppliers should document relevant waste handling practices and disclose major environmental incidents within five business days.</w:t>
      </w:r>
    </w:p>
    <w:p>
      <w:pPr>
        <w:pStyle w:val="Heading1"/>
      </w:pPr>
      <w:r>
        <w:t>Review Cycle</w:t>
      </w:r>
    </w:p>
    <w:p>
      <w:r>
        <w:t>Procurement reviews high-impact suppliers once per year and records the review date and outcome.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