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Asset and Data Handling Policy</w:t>
      </w:r>
    </w:p>
    <w:p>
      <w:pPr>
        <w:pStyle w:val="Heading1"/>
      </w:pPr>
      <w:r>
        <w:t>Asset Register</w:t>
      </w:r>
    </w:p>
    <w:p>
      <w:r>
        <w:t>IT maintains an asset register with device owner, serial number, purchase date, and assigned location.</w:t>
      </w:r>
    </w:p>
    <w:p>
      <w:pPr>
        <w:pStyle w:val="Heading1"/>
      </w:pPr>
      <w:r>
        <w:t>Data Protection</w:t>
      </w:r>
    </w:p>
    <w:p>
      <w:r>
        <w:t>Devices must be encrypted before being issued to staff. Lost devices must be reported to IT immediately.</w:t>
      </w:r>
    </w:p>
    <w:p>
      <w:pPr>
        <w:pStyle w:val="Heading1"/>
      </w:pPr>
      <w:r>
        <w:t>Retirement</w:t>
      </w:r>
    </w:p>
    <w:p>
      <w:r>
        <w:t>Storage media must be securely wiped or physically destroyed before equipment is reused or recycled.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