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60" w:lineRule="auto"/>
      </w:pPr>
    </w:p>
    <w:p>
      <w:pPr>
        <w:spacing w:before="0" w:after="120" w:line="360" w:lineRule="auto"/>
      </w:pPr>
    </w:p>
    <w:p>
      <w:pPr>
        <w:spacing w:before="0" w:after="120" w:line="360" w:lineRule="auto"/>
      </w:pPr>
    </w:p>
    <w:p>
      <w:pPr>
        <w:spacing w:before="0" w:after="120" w:line="360" w:lineRule="auto"/>
      </w:pPr>
    </w:p>
    <w:p>
      <w:pPr>
        <w:spacing w:before="0" w:after="200" w:line="288" w:lineRule="auto"/>
        <w:jc w:val="center"/>
      </w:pPr>
      <w:r>
        <w:rPr>
          <w:rFonts w:ascii="Times New Roman" w:hAnsi="Times New Roman" w:eastAsia="黑体"/>
          <w:b/>
          <w:i w:val="0"/>
          <w:sz w:val="60"/>
        </w:rPr>
        <w:t>数字供应链平台</w:t>
      </w:r>
    </w:p>
    <w:p>
      <w:pPr>
        <w:spacing w:before="0" w:after="600" w:line="288" w:lineRule="auto"/>
        <w:jc w:val="center"/>
      </w:pPr>
      <w:r>
        <w:rPr>
          <w:rFonts w:ascii="Times New Roman" w:hAnsi="Times New Roman" w:eastAsia="黑体"/>
          <w:b/>
          <w:i w:val="0"/>
          <w:sz w:val="44"/>
        </w:rPr>
        <w:t>产品需求文档（PRD）汇编</w:t>
      </w:r>
    </w:p>
    <w:p>
      <w:pPr>
        <w:spacing w:before="0" w:after="1200" w:line="360" w:lineRule="auto"/>
        <w:jc w:val="center"/>
      </w:pPr>
      <w:r>
        <w:rPr>
          <w:rFonts w:ascii="Times New Roman" w:hAnsi="Times New Roman" w:eastAsia="宋体"/>
          <w:b w:val="0"/>
          <w:i w:val="0"/>
          <w:color w:val="595959"/>
          <w:sz w:val="26"/>
        </w:rPr>
        <w:t>准入 · 合同 · 履约 · 仓储 · 结算 · 资金 · 风控 · 数据</w:t>
      </w:r>
    </w:p>
    <w:tbl>
      <w:tblPr>
        <w:tblStyle w:val="TableGrid"/>
        <w:tblW w:type="auto" w:w="0"/>
        <w:jc w:val="center"/>
        <w:tblLook w:firstColumn="1" w:firstRow="1" w:lastColumn="0" w:lastRow="0" w:noHBand="0" w:noVBand="1" w:val="04A0"/>
      </w:tblPr>
      <w:tblGrid>
        <w:gridCol w:w="4479"/>
        <w:gridCol w:w="4479"/>
      </w:tblGrid>
      <w:tr>
        <w:tc>
          <w:tcPr>
            <w:tcW w:type="dxa" w:w="2041"/>
            <w:shd w:val="clear" w:color="auto" w:fill="F2F2F2"/>
          </w:tcPr>
          <w:p>
            <w:pPr>
              <w:spacing w:before="60" w:after="60"/>
              <w:ind w:firstLine="0"/>
            </w:pPr>
            <w:r/>
            <w:r>
              <w:rPr>
                <w:rFonts w:ascii="Times New Roman" w:hAnsi="Times New Roman" w:eastAsia="黑体"/>
                <w:b/>
                <w:i w:val="0"/>
                <w:sz w:val="22"/>
              </w:rPr>
              <w:t>文档名称</w:t>
            </w:r>
          </w:p>
        </w:tc>
        <w:tc>
          <w:tcPr>
            <w:tcW w:type="dxa" w:w="6463"/>
          </w:tcPr>
          <w:p>
            <w:pPr>
              <w:spacing w:before="60" w:after="60"/>
              <w:ind w:firstLine="0"/>
            </w:pPr>
            <w:r/>
            <w:r>
              <w:rPr>
                <w:rFonts w:ascii="Times New Roman" w:hAnsi="Times New Roman" w:eastAsia="宋体"/>
                <w:b w:val="0"/>
                <w:i w:val="0"/>
                <w:sz w:val="22"/>
              </w:rPr>
              <w:t>数字供应链平台 · 产品需求文档（PRD）汇编</w:t>
            </w:r>
          </w:p>
        </w:tc>
      </w:tr>
      <w:tr>
        <w:tc>
          <w:tcPr>
            <w:tcW w:type="dxa" w:w="2041"/>
            <w:shd w:val="clear" w:color="auto" w:fill="F2F2F2"/>
          </w:tcPr>
          <w:p>
            <w:pPr>
              <w:spacing w:before="60" w:after="60"/>
              <w:ind w:firstLine="0"/>
            </w:pPr>
            <w:r/>
            <w:r>
              <w:rPr>
                <w:rFonts w:ascii="Times New Roman" w:hAnsi="Times New Roman" w:eastAsia="黑体"/>
                <w:b/>
                <w:i w:val="0"/>
                <w:sz w:val="22"/>
              </w:rPr>
              <w:t>文档版本</w:t>
            </w:r>
          </w:p>
        </w:tc>
        <w:tc>
          <w:tcPr>
            <w:tcW w:type="dxa" w:w="6463"/>
          </w:tcPr>
          <w:p>
            <w:pPr>
              <w:spacing w:before="60" w:after="60"/>
              <w:ind w:firstLine="0"/>
            </w:pPr>
            <w:r/>
            <w:r>
              <w:rPr>
                <w:rFonts w:ascii="Times New Roman" w:hAnsi="Times New Roman" w:eastAsia="宋体"/>
                <w:b w:val="0"/>
                <w:i w:val="0"/>
                <w:sz w:val="22"/>
              </w:rPr>
              <w:t>v1.0.0</w:t>
            </w:r>
          </w:p>
        </w:tc>
      </w:tr>
      <w:tr>
        <w:tc>
          <w:tcPr>
            <w:tcW w:type="dxa" w:w="2041"/>
            <w:shd w:val="clear" w:color="auto" w:fill="F2F2F2"/>
          </w:tcPr>
          <w:p>
            <w:pPr>
              <w:spacing w:before="60" w:after="60"/>
              <w:ind w:firstLine="0"/>
            </w:pPr>
            <w:r/>
            <w:r>
              <w:rPr>
                <w:rFonts w:ascii="Times New Roman" w:hAnsi="Times New Roman" w:eastAsia="黑体"/>
                <w:b/>
                <w:i w:val="0"/>
                <w:sz w:val="22"/>
              </w:rPr>
              <w:t>编制日期</w:t>
            </w:r>
          </w:p>
        </w:tc>
        <w:tc>
          <w:tcPr>
            <w:tcW w:type="dxa" w:w="6463"/>
          </w:tcPr>
          <w:p>
            <w:pPr>
              <w:spacing w:before="60" w:after="60"/>
              <w:ind w:firstLine="0"/>
            </w:pPr>
            <w:r/>
            <w:r>
              <w:rPr>
                <w:rFonts w:ascii="Times New Roman" w:hAnsi="Times New Roman" w:eastAsia="宋体"/>
                <w:b w:val="0"/>
                <w:i w:val="0"/>
                <w:sz w:val="22"/>
              </w:rPr>
              <w:t>2026-10-26</w:t>
            </w:r>
          </w:p>
        </w:tc>
      </w:tr>
      <w:tr>
        <w:tc>
          <w:tcPr>
            <w:tcW w:type="dxa" w:w="2041"/>
            <w:shd w:val="clear" w:color="auto" w:fill="F2F2F2"/>
          </w:tcPr>
          <w:p>
            <w:pPr>
              <w:spacing w:before="60" w:after="60"/>
              <w:ind w:firstLine="0"/>
            </w:pPr>
            <w:r/>
            <w:r>
              <w:rPr>
                <w:rFonts w:ascii="Times New Roman" w:hAnsi="Times New Roman" w:eastAsia="黑体"/>
                <w:b/>
                <w:i w:val="0"/>
                <w:sz w:val="22"/>
              </w:rPr>
              <w:t>文档性质</w:t>
            </w:r>
          </w:p>
        </w:tc>
        <w:tc>
          <w:tcPr>
            <w:tcW w:type="dxa" w:w="6463"/>
          </w:tcPr>
          <w:p>
            <w:pPr>
              <w:spacing w:before="60" w:after="60"/>
              <w:ind w:firstLine="0"/>
            </w:pPr>
            <w:r/>
            <w:r>
              <w:rPr>
                <w:rFonts w:ascii="Times New Roman" w:hAnsi="Times New Roman" w:eastAsia="宋体"/>
                <w:b w:val="0"/>
                <w:i w:val="0"/>
                <w:sz w:val="22"/>
              </w:rPr>
              <w:t>全模块需求说明（需求基线稿）</w:t>
            </w:r>
          </w:p>
        </w:tc>
      </w:tr>
      <w:tr>
        <w:tc>
          <w:tcPr>
            <w:tcW w:type="dxa" w:w="2041"/>
            <w:shd w:val="clear" w:color="auto" w:fill="F2F2F2"/>
          </w:tcPr>
          <w:p>
            <w:pPr>
              <w:spacing w:before="60" w:after="60"/>
              <w:ind w:firstLine="0"/>
            </w:pPr>
            <w:r/>
            <w:r>
              <w:rPr>
                <w:rFonts w:ascii="Times New Roman" w:hAnsi="Times New Roman" w:eastAsia="黑体"/>
                <w:b/>
                <w:i w:val="0"/>
                <w:sz w:val="22"/>
              </w:rPr>
              <w:t>覆盖范围</w:t>
            </w:r>
          </w:p>
        </w:tc>
        <w:tc>
          <w:tcPr>
            <w:tcW w:type="dxa" w:w="6463"/>
          </w:tcPr>
          <w:p>
            <w:pPr>
              <w:spacing w:before="60" w:after="60"/>
              <w:ind w:firstLine="0"/>
            </w:pPr>
            <w:r/>
            <w:r>
              <w:rPr>
                <w:rFonts w:ascii="Times New Roman" w:hAnsi="Times New Roman" w:eastAsia="宋体"/>
                <w:b w:val="0"/>
                <w:i w:val="0"/>
                <w:sz w:val="22"/>
              </w:rPr>
              <w:t>8 个一级菜单 / 29 个业务模块 / 118 个原型页面</w:t>
            </w:r>
          </w:p>
        </w:tc>
      </w:tr>
      <w:tr>
        <w:tc>
          <w:tcPr>
            <w:tcW w:type="dxa" w:w="2041"/>
            <w:shd w:val="clear" w:color="auto" w:fill="F2F2F2"/>
          </w:tcPr>
          <w:p>
            <w:pPr>
              <w:spacing w:before="60" w:after="60"/>
              <w:ind w:firstLine="0"/>
            </w:pPr>
            <w:r/>
            <w:r>
              <w:rPr>
                <w:rFonts w:ascii="Times New Roman" w:hAnsi="Times New Roman" w:eastAsia="黑体"/>
                <w:b/>
                <w:i w:val="0"/>
                <w:sz w:val="22"/>
              </w:rPr>
              <w:t>阅读对象</w:t>
            </w:r>
          </w:p>
        </w:tc>
        <w:tc>
          <w:tcPr>
            <w:tcW w:type="dxa" w:w="6463"/>
          </w:tcPr>
          <w:p>
            <w:pPr>
              <w:spacing w:before="60" w:after="60"/>
              <w:ind w:firstLine="0"/>
            </w:pPr>
            <w:r/>
            <w:r>
              <w:rPr>
                <w:rFonts w:ascii="Times New Roman" w:hAnsi="Times New Roman" w:eastAsia="宋体"/>
                <w:b w:val="0"/>
                <w:i w:val="0"/>
                <w:sz w:val="22"/>
              </w:rPr>
              <w:t>业务负责人、产品、研发、测试、UI 设计</w:t>
            </w:r>
          </w:p>
        </w:tc>
      </w:tr>
      <w:tr>
        <w:tc>
          <w:tcPr>
            <w:tcW w:type="dxa" w:w="2041"/>
            <w:shd w:val="clear" w:color="auto" w:fill="F2F2F2"/>
          </w:tcPr>
          <w:p>
            <w:pPr>
              <w:spacing w:before="60" w:after="60"/>
              <w:ind w:firstLine="0"/>
            </w:pPr>
            <w:r/>
            <w:r>
              <w:rPr>
                <w:rFonts w:ascii="Times New Roman" w:hAnsi="Times New Roman" w:eastAsia="黑体"/>
                <w:b/>
                <w:i w:val="0"/>
                <w:sz w:val="22"/>
              </w:rPr>
              <w:t>密级</w:t>
            </w:r>
          </w:p>
        </w:tc>
        <w:tc>
          <w:tcPr>
            <w:tcW w:type="dxa" w:w="6463"/>
          </w:tcPr>
          <w:p>
            <w:pPr>
              <w:spacing w:before="60" w:after="60"/>
              <w:ind w:firstLine="0"/>
            </w:pPr>
            <w:r/>
            <w:r>
              <w:rPr>
                <w:rFonts w:ascii="Times New Roman" w:hAnsi="Times New Roman" w:eastAsia="宋体"/>
                <w:b w:val="0"/>
                <w:i w:val="0"/>
                <w:sz w:val="22"/>
              </w:rPr>
              <w:t>内部使用</w:t>
            </w:r>
          </w:p>
        </w:tc>
      </w:tr>
    </w:tbl>
    <w:p>
      <w:pPr>
        <w:spacing w:before="0" w:after="120" w:line="360" w:lineRule="auto"/>
      </w:pPr>
    </w:p>
    <w:p>
      <w:pPr>
        <w:spacing w:before="0" w:after="120" w:line="360" w:lineRule="auto"/>
      </w:pPr>
    </w:p>
    <w:p>
      <w:pPr>
        <w:spacing w:before="0" w:after="120" w:line="360" w:lineRule="auto"/>
        <w:jc w:val="center"/>
      </w:pPr>
      <w:r>
        <w:rPr>
          <w:rFonts w:ascii="Times New Roman" w:hAnsi="Times New Roman" w:eastAsia="宋体"/>
          <w:b w:val="0"/>
          <w:i w:val="0"/>
          <w:color w:val="595959"/>
          <w:sz w:val="21"/>
        </w:rPr>
        <w:t>本文件为需求基线。文中业务规则以业务方已确认口径为准；标记为「待业务方确认」的条目，需在需求评审会上逐条闭环后再进入开发排期。</w:t>
      </w:r>
    </w:p>
    <w:p>
      <w:r>
        <w:br w:type="page"/>
      </w:r>
    </w:p>
    <w:p>
      <w:pPr>
        <w:pStyle w:val="Heading1"/>
        <w:keepNext/>
        <w:spacing w:before="360" w:after="200" w:line="312" w:lineRule="auto"/>
        <w:ind w:firstLine="0"/>
      </w:pPr>
      <w:r>
        <w:rPr>
          <w:rFonts w:ascii="Times New Roman" w:hAnsi="Times New Roman" w:eastAsia="黑体"/>
          <w:b/>
          <w:i w:val="0"/>
          <w:sz w:val="32"/>
        </w:rPr>
        <w:t>目　录</w:t>
      </w:r>
    </w:p>
    <w:p>
      <w:pPr>
        <w:ind w:firstLine="0"/>
      </w:pPr>
      <w:r>
        <w:fldChar w:fldCharType="begin"/>
      </w:r>
      <w:r>
        <w:instrText xml:space="preserve"> TOC \o "1-3" \h \z \u </w:instrText>
      </w:r>
      <w:r>
        <w:fldChar w:fldCharType="separate"/>
      </w:r>
      <w:r>
        <w:rPr>
          <w:rFonts w:ascii="Times New Roman" w:hAnsi="Times New Roman" w:eastAsia="宋体"/>
          <w:b w:val="0"/>
          <w:i w:val="0"/>
          <w:color w:val="808080"/>
          <w:sz w:val="21"/>
        </w:rPr>
        <w:t>（在 Word 中按 Ctrl+A 后按 F9 更新）</w:t>
      </w:r>
      <w:r>
        <w:fldChar w:fldCharType="end"/>
      </w:r>
    </w:p>
    <w:p>
      <w:pPr>
        <w:pStyle w:val="Heading1"/>
        <w:keepNext/>
        <w:spacing w:before="360" w:after="200" w:line="312" w:lineRule="auto"/>
        <w:ind w:firstLine="0"/>
      </w:pPr>
      <w:r>
        <w:rPr>
          <w:rFonts w:ascii="Times New Roman" w:hAnsi="Times New Roman" w:eastAsia="黑体"/>
          <w:b/>
          <w:i w:val="0"/>
          <w:sz w:val="32"/>
        </w:rPr>
        <w:t>1　文档说明</w:t>
      </w:r>
    </w:p>
    <w:p>
      <w:pPr>
        <w:pStyle w:val="Heading2"/>
        <w:keepNext/>
        <w:spacing w:before="240" w:after="120" w:line="312" w:lineRule="auto"/>
        <w:ind w:firstLine="0"/>
      </w:pPr>
      <w:r>
        <w:rPr>
          <w:rFonts w:ascii="Times New Roman" w:hAnsi="Times New Roman" w:eastAsia="黑体"/>
          <w:b/>
          <w:i w:val="0"/>
          <w:sz w:val="28"/>
        </w:rPr>
        <w:t>1.1　文档目的</w:t>
      </w:r>
    </w:p>
    <w:p>
      <w:pPr>
        <w:spacing w:before="0" w:after="120" w:line="360" w:lineRule="auto"/>
      </w:pPr>
      <w:r>
        <w:rPr>
          <w:rFonts w:ascii="Times New Roman" w:hAnsi="Times New Roman" w:eastAsia="宋体"/>
          <w:b w:val="0"/>
          <w:i w:val="0"/>
          <w:sz w:val="24"/>
        </w:rPr>
        <w:t>本文件把数字供应链平台全部业务模块的需求，统一整理为一套可评审、可交付、可追溯的需求基线，用于业务确认、开发实现、测试验收与后续变更管理。每个模块采用同一套章节骨架，保证不同模块之间的描述口径、颗粒度与阅读方式一致。</w:t>
      </w:r>
    </w:p>
    <w:p>
      <w:pPr>
        <w:pStyle w:val="Heading2"/>
        <w:keepNext/>
        <w:spacing w:before="240" w:after="120" w:line="312" w:lineRule="auto"/>
        <w:ind w:firstLine="0"/>
      </w:pPr>
      <w:r>
        <w:rPr>
          <w:rFonts w:ascii="Times New Roman" w:hAnsi="Times New Roman" w:eastAsia="黑体"/>
          <w:b/>
          <w:i w:val="0"/>
          <w:sz w:val="28"/>
        </w:rPr>
        <w:t>1.2　适用范围</w:t>
      </w:r>
    </w:p>
    <w:tbl>
      <w:tblPr>
        <w:tblStyle w:val="TableGrid"/>
        <w:tblW w:type="auto" w:w="0"/>
        <w:jc w:val="center"/>
        <w:tblLayout w:type="fixed"/>
        <w:tblLook w:firstColumn="1" w:firstRow="1" w:lastColumn="0" w:lastRow="0" w:noHBand="0" w:noVBand="1" w:val="04A0"/>
      </w:tblPr>
      <w:tblGrid>
        <w:gridCol w:w="4479"/>
        <w:gridCol w:w="4479"/>
      </w:tblGrid>
      <w:tr>
        <w:trPr>
          <w:tblHeader w:val="true"/>
        </w:trPr>
        <w:tc>
          <w:tcPr>
            <w:tcW w:type="dxa" w:w="1701"/>
            <w:shd w:val="clear" w:color="auto" w:fill="DCE6F1"/>
          </w:tcPr>
          <w:p>
            <w:pPr>
              <w:spacing w:before="40" w:after="40" w:line="276" w:lineRule="auto"/>
              <w:jc w:val="center"/>
            </w:pPr>
            <w:r/>
            <w:r>
              <w:rPr>
                <w:rFonts w:ascii="Times New Roman" w:hAnsi="Times New Roman" w:eastAsia="黑体"/>
                <w:b/>
                <w:i w:val="0"/>
                <w:sz w:val="21"/>
              </w:rPr>
              <w:t>项</w:t>
            </w:r>
          </w:p>
        </w:tc>
        <w:tc>
          <w:tcPr>
            <w:tcW w:type="dxa" w:w="7370"/>
            <w:shd w:val="clear" w:color="auto" w:fill="DCE6F1"/>
          </w:tcPr>
          <w:p>
            <w:pPr>
              <w:spacing w:before="40" w:after="40" w:line="276" w:lineRule="auto"/>
              <w:jc w:val="center"/>
            </w:pPr>
            <w:r/>
            <w:r>
              <w:rPr>
                <w:rFonts w:ascii="Times New Roman" w:hAnsi="Times New Roman" w:eastAsia="黑体"/>
                <w:b/>
                <w:i w:val="0"/>
                <w:sz w:val="21"/>
              </w:rPr>
              <w:t>内容</w:t>
            </w:r>
          </w:p>
        </w:tc>
      </w:tr>
      <w:tr>
        <w:tc>
          <w:tcPr>
            <w:tcW w:type="dxa" w:w="1701"/>
          </w:tcPr>
          <w:p>
            <w:pPr>
              <w:spacing w:before="20" w:after="20" w:line="276" w:lineRule="auto"/>
              <w:ind w:firstLine="0"/>
            </w:pPr>
            <w:r/>
            <w:r>
              <w:rPr>
                <w:rFonts w:ascii="Times New Roman" w:hAnsi="Times New Roman" w:eastAsia="宋体"/>
                <w:b w:val="0"/>
                <w:i w:val="0"/>
                <w:sz w:val="21"/>
              </w:rPr>
              <w:t>产品形态</w:t>
            </w:r>
          </w:p>
        </w:tc>
        <w:tc>
          <w:tcPr>
            <w:tcW w:type="dxa" w:w="7370"/>
          </w:tcPr>
          <w:p>
            <w:pPr>
              <w:spacing w:before="20" w:after="20" w:line="276" w:lineRule="auto"/>
              <w:ind w:firstLine="0"/>
            </w:pPr>
            <w:r/>
            <w:r>
              <w:rPr>
                <w:rFonts w:ascii="Times New Roman" w:hAnsi="Times New Roman" w:eastAsia="宋体"/>
                <w:b w:val="0"/>
                <w:i w:val="0"/>
                <w:sz w:val="21"/>
              </w:rPr>
              <w:t>B 端网页应用（PC 端优先，1440–1600px 基准）</w:t>
            </w:r>
          </w:p>
        </w:tc>
      </w:tr>
      <w:tr>
        <w:tc>
          <w:tcPr>
            <w:tcW w:type="dxa" w:w="1701"/>
          </w:tcPr>
          <w:p>
            <w:pPr>
              <w:spacing w:before="20" w:after="20" w:line="276" w:lineRule="auto"/>
              <w:ind w:firstLine="0"/>
            </w:pPr>
            <w:r/>
            <w:r>
              <w:rPr>
                <w:rFonts w:ascii="Times New Roman" w:hAnsi="Times New Roman" w:eastAsia="宋体"/>
                <w:b w:val="0"/>
                <w:i w:val="0"/>
                <w:sz w:val="21"/>
              </w:rPr>
              <w:t>终端范围</w:t>
            </w:r>
          </w:p>
        </w:tc>
        <w:tc>
          <w:tcPr>
            <w:tcW w:type="dxa" w:w="7370"/>
          </w:tcPr>
          <w:p>
            <w:pPr>
              <w:spacing w:before="20" w:after="20" w:line="276" w:lineRule="auto"/>
              <w:ind w:firstLine="0"/>
            </w:pPr>
            <w:r/>
            <w:r>
              <w:rPr>
                <w:rFonts w:ascii="Times New Roman" w:hAnsi="Times New Roman" w:eastAsia="宋体"/>
                <w:b w:val="0"/>
                <w:i w:val="0"/>
                <w:sz w:val="21"/>
              </w:rPr>
              <w:t>本期仅网页端，不含移动端与现场作业端</w:t>
            </w:r>
          </w:p>
        </w:tc>
      </w:tr>
      <w:tr>
        <w:tc>
          <w:tcPr>
            <w:tcW w:type="dxa" w:w="1701"/>
          </w:tcPr>
          <w:p>
            <w:pPr>
              <w:spacing w:before="20" w:after="20" w:line="276" w:lineRule="auto"/>
              <w:ind w:firstLine="0"/>
            </w:pPr>
            <w:r/>
            <w:r>
              <w:rPr>
                <w:rFonts w:ascii="Times New Roman" w:hAnsi="Times New Roman" w:eastAsia="宋体"/>
                <w:b w:val="0"/>
                <w:i w:val="0"/>
                <w:sz w:val="21"/>
              </w:rPr>
              <w:t>覆盖范围</w:t>
            </w:r>
          </w:p>
        </w:tc>
        <w:tc>
          <w:tcPr>
            <w:tcW w:type="dxa" w:w="7370"/>
          </w:tcPr>
          <w:p>
            <w:pPr>
              <w:spacing w:before="20" w:after="20" w:line="276" w:lineRule="auto"/>
              <w:ind w:firstLine="0"/>
            </w:pPr>
            <w:r/>
            <w:r>
              <w:rPr>
                <w:rFonts w:ascii="Times New Roman" w:hAnsi="Times New Roman" w:eastAsia="宋体"/>
                <w:b w:val="0"/>
                <w:i w:val="0"/>
                <w:sz w:val="21"/>
              </w:rPr>
              <w:t>8 个一级菜单、29 个业务模块、118 个原型页面</w:t>
            </w:r>
          </w:p>
        </w:tc>
      </w:tr>
      <w:tr>
        <w:tc>
          <w:tcPr>
            <w:tcW w:type="dxa" w:w="1701"/>
          </w:tcPr>
          <w:p>
            <w:pPr>
              <w:spacing w:before="20" w:after="20" w:line="276" w:lineRule="auto"/>
              <w:ind w:firstLine="0"/>
            </w:pPr>
            <w:r/>
            <w:r>
              <w:rPr>
                <w:rFonts w:ascii="Times New Roman" w:hAnsi="Times New Roman" w:eastAsia="宋体"/>
                <w:b w:val="0"/>
                <w:i w:val="0"/>
                <w:sz w:val="21"/>
              </w:rPr>
              <w:t>不含范围</w:t>
            </w:r>
          </w:p>
        </w:tc>
        <w:tc>
          <w:tcPr>
            <w:tcW w:type="dxa" w:w="7370"/>
          </w:tcPr>
          <w:p>
            <w:pPr>
              <w:spacing w:before="20" w:after="20" w:line="276" w:lineRule="auto"/>
              <w:ind w:firstLine="0"/>
            </w:pPr>
            <w:r/>
            <w:r>
              <w:rPr>
                <w:rFonts w:ascii="Times New Roman" w:hAnsi="Times New Roman" w:eastAsia="宋体"/>
                <w:b w:val="0"/>
                <w:i w:val="0"/>
                <w:sz w:val="21"/>
              </w:rPr>
              <w:t>平台化开放接口、第三方系统直连、移动端、线下作业系统</w:t>
            </w:r>
          </w:p>
        </w:tc>
      </w:tr>
    </w:tbl>
    <w:p>
      <w:pPr>
        <w:spacing w:before="0" w:after="0" w:line="240" w:lineRule="auto"/>
      </w:pPr>
    </w:p>
    <w:p>
      <w:pPr>
        <w:pStyle w:val="Heading2"/>
        <w:keepNext/>
        <w:spacing w:before="240" w:after="120" w:line="312" w:lineRule="auto"/>
        <w:ind w:firstLine="0"/>
      </w:pPr>
      <w:r>
        <w:rPr>
          <w:rFonts w:ascii="Times New Roman" w:hAnsi="Times New Roman" w:eastAsia="黑体"/>
          <w:b/>
          <w:i w:val="0"/>
          <w:sz w:val="28"/>
        </w:rPr>
        <w:t>1.3　阅读对象与读法</w:t>
      </w:r>
    </w:p>
    <w:tbl>
      <w:tblPr>
        <w:tblStyle w:val="TableGrid"/>
        <w:tblW w:type="auto" w:w="0"/>
        <w:jc w:val="center"/>
        <w:tblLayout w:type="fixed"/>
        <w:tblLook w:firstColumn="1" w:firstRow="1" w:lastColumn="0" w:lastRow="0" w:noHBand="0" w:noVBand="1" w:val="04A0"/>
      </w:tblPr>
      <w:tblGrid>
        <w:gridCol w:w="4479"/>
        <w:gridCol w:w="4479"/>
      </w:tblGrid>
      <w:tr>
        <w:trPr>
          <w:tblHeader w:val="true"/>
        </w:trPr>
        <w:tc>
          <w:tcPr>
            <w:tcW w:type="dxa" w:w="1701"/>
            <w:shd w:val="clear" w:color="auto" w:fill="DCE6F1"/>
          </w:tcPr>
          <w:p>
            <w:pPr>
              <w:spacing w:before="40" w:after="40" w:line="276" w:lineRule="auto"/>
              <w:jc w:val="center"/>
            </w:pPr>
            <w:r/>
            <w:r>
              <w:rPr>
                <w:rFonts w:ascii="Times New Roman" w:hAnsi="Times New Roman" w:eastAsia="黑体"/>
                <w:b/>
                <w:i w:val="0"/>
                <w:sz w:val="21"/>
              </w:rPr>
              <w:t>读者</w:t>
            </w:r>
          </w:p>
        </w:tc>
        <w:tc>
          <w:tcPr>
            <w:tcW w:type="dxa" w:w="7370"/>
            <w:shd w:val="clear" w:color="auto" w:fill="DCE6F1"/>
          </w:tcPr>
          <w:p>
            <w:pPr>
              <w:spacing w:before="40" w:after="40" w:line="276" w:lineRule="auto"/>
              <w:jc w:val="center"/>
            </w:pPr>
            <w:r/>
            <w:r>
              <w:rPr>
                <w:rFonts w:ascii="Times New Roman" w:hAnsi="Times New Roman" w:eastAsia="黑体"/>
                <w:b/>
                <w:i w:val="0"/>
                <w:sz w:val="21"/>
              </w:rPr>
              <w:t>建议读法</w:t>
            </w:r>
          </w:p>
        </w:tc>
      </w:tr>
      <w:tr>
        <w:tc>
          <w:tcPr>
            <w:tcW w:type="dxa" w:w="1701"/>
          </w:tcPr>
          <w:p>
            <w:pPr>
              <w:spacing w:before="20" w:after="20" w:line="276" w:lineRule="auto"/>
              <w:ind w:firstLine="0"/>
            </w:pPr>
            <w:r/>
            <w:r>
              <w:rPr>
                <w:rFonts w:ascii="Times New Roman" w:hAnsi="Times New Roman" w:eastAsia="宋体"/>
                <w:b w:val="0"/>
                <w:i w:val="0"/>
                <w:sz w:val="21"/>
              </w:rPr>
              <w:t>业务负责人</w:t>
            </w:r>
          </w:p>
        </w:tc>
        <w:tc>
          <w:tcPr>
            <w:tcW w:type="dxa" w:w="7370"/>
          </w:tcPr>
          <w:p>
            <w:pPr>
              <w:spacing w:before="20" w:after="20" w:line="276" w:lineRule="auto"/>
              <w:ind w:firstLine="0"/>
            </w:pPr>
            <w:r/>
            <w:r>
              <w:rPr>
                <w:rFonts w:ascii="Times New Roman" w:hAnsi="Times New Roman" w:eastAsia="宋体"/>
                <w:b w:val="0"/>
                <w:i w:val="0"/>
                <w:sz w:val="21"/>
              </w:rPr>
              <w:t>第 2 章产品概述 → 各模块「背景与目标」→ 第 5 章待确认问题</w:t>
            </w:r>
          </w:p>
        </w:tc>
      </w:tr>
      <w:tr>
        <w:tc>
          <w:tcPr>
            <w:tcW w:type="dxa" w:w="1701"/>
          </w:tcPr>
          <w:p>
            <w:pPr>
              <w:spacing w:before="20" w:after="20" w:line="276" w:lineRule="auto"/>
              <w:ind w:firstLine="0"/>
            </w:pPr>
            <w:r/>
            <w:r>
              <w:rPr>
                <w:rFonts w:ascii="Times New Roman" w:hAnsi="Times New Roman" w:eastAsia="宋体"/>
                <w:b w:val="0"/>
                <w:i w:val="0"/>
                <w:sz w:val="21"/>
              </w:rPr>
              <w:t>产品经理</w:t>
            </w:r>
          </w:p>
        </w:tc>
        <w:tc>
          <w:tcPr>
            <w:tcW w:type="dxa" w:w="7370"/>
          </w:tcPr>
          <w:p>
            <w:pPr>
              <w:spacing w:before="20" w:after="20" w:line="276" w:lineRule="auto"/>
              <w:ind w:firstLine="0"/>
            </w:pPr>
            <w:r/>
            <w:r>
              <w:rPr>
                <w:rFonts w:ascii="Times New Roman" w:hAnsi="Times New Roman" w:eastAsia="宋体"/>
                <w:b w:val="0"/>
                <w:i w:val="0"/>
                <w:sz w:val="21"/>
              </w:rPr>
              <w:t>全文，重点看各模块功能结构、流程与验收标准</w:t>
            </w:r>
          </w:p>
        </w:tc>
      </w:tr>
      <w:tr>
        <w:tc>
          <w:tcPr>
            <w:tcW w:type="dxa" w:w="1701"/>
          </w:tcPr>
          <w:p>
            <w:pPr>
              <w:spacing w:before="20" w:after="20" w:line="276" w:lineRule="auto"/>
              <w:ind w:firstLine="0"/>
            </w:pPr>
            <w:r/>
            <w:r>
              <w:rPr>
                <w:rFonts w:ascii="Times New Roman" w:hAnsi="Times New Roman" w:eastAsia="宋体"/>
                <w:b w:val="0"/>
                <w:i w:val="0"/>
                <w:sz w:val="21"/>
              </w:rPr>
              <w:t>研发</w:t>
            </w:r>
          </w:p>
        </w:tc>
        <w:tc>
          <w:tcPr>
            <w:tcW w:type="dxa" w:w="7370"/>
          </w:tcPr>
          <w:p>
            <w:pPr>
              <w:spacing w:before="20" w:after="20" w:line="276" w:lineRule="auto"/>
              <w:ind w:firstLine="0"/>
            </w:pPr>
            <w:r/>
            <w:r>
              <w:rPr>
                <w:rFonts w:ascii="Times New Roman" w:hAnsi="Times New Roman" w:eastAsia="宋体"/>
                <w:b w:val="0"/>
                <w:i w:val="0"/>
                <w:sz w:val="21"/>
              </w:rPr>
              <w:t>第 3 章全局规范 → 各模块数据关系、权限、流程、页面说明</w:t>
            </w:r>
          </w:p>
        </w:tc>
      </w:tr>
      <w:tr>
        <w:tc>
          <w:tcPr>
            <w:tcW w:type="dxa" w:w="1701"/>
          </w:tcPr>
          <w:p>
            <w:pPr>
              <w:spacing w:before="20" w:after="20" w:line="276" w:lineRule="auto"/>
              <w:ind w:firstLine="0"/>
            </w:pPr>
            <w:r/>
            <w:r>
              <w:rPr>
                <w:rFonts w:ascii="Times New Roman" w:hAnsi="Times New Roman" w:eastAsia="宋体"/>
                <w:b w:val="0"/>
                <w:i w:val="0"/>
                <w:sz w:val="21"/>
              </w:rPr>
              <w:t>测试</w:t>
            </w:r>
          </w:p>
        </w:tc>
        <w:tc>
          <w:tcPr>
            <w:tcW w:type="dxa" w:w="7370"/>
          </w:tcPr>
          <w:p>
            <w:pPr>
              <w:spacing w:before="20" w:after="20" w:line="276" w:lineRule="auto"/>
              <w:ind w:firstLine="0"/>
            </w:pPr>
            <w:r/>
            <w:r>
              <w:rPr>
                <w:rFonts w:ascii="Times New Roman" w:hAnsi="Times New Roman" w:eastAsia="宋体"/>
                <w:b w:val="0"/>
                <w:i w:val="0"/>
                <w:sz w:val="21"/>
              </w:rPr>
              <w:t>各模块验收标准与异常分支清单</w:t>
            </w:r>
          </w:p>
        </w:tc>
      </w:tr>
      <w:tr>
        <w:tc>
          <w:tcPr>
            <w:tcW w:type="dxa" w:w="1701"/>
          </w:tcPr>
          <w:p>
            <w:pPr>
              <w:spacing w:before="20" w:after="20" w:line="276" w:lineRule="auto"/>
              <w:ind w:firstLine="0"/>
            </w:pPr>
            <w:r/>
            <w:r>
              <w:rPr>
                <w:rFonts w:ascii="Times New Roman" w:hAnsi="Times New Roman" w:eastAsia="宋体"/>
                <w:b w:val="0"/>
                <w:i w:val="0"/>
                <w:sz w:val="21"/>
              </w:rPr>
              <w:t>UI 设计</w:t>
            </w:r>
          </w:p>
        </w:tc>
        <w:tc>
          <w:tcPr>
            <w:tcW w:type="dxa" w:w="7370"/>
          </w:tcPr>
          <w:p>
            <w:pPr>
              <w:spacing w:before="20" w:after="20" w:line="276" w:lineRule="auto"/>
              <w:ind w:firstLine="0"/>
            </w:pPr>
            <w:r/>
            <w:r>
              <w:rPr>
                <w:rFonts w:ascii="Times New Roman" w:hAnsi="Times New Roman" w:eastAsia="宋体"/>
                <w:b w:val="0"/>
                <w:i w:val="0"/>
                <w:sz w:val="21"/>
              </w:rPr>
              <w:t>各模块页面说明表与原型截图</w:t>
            </w:r>
          </w:p>
        </w:tc>
      </w:tr>
    </w:tbl>
    <w:p>
      <w:pPr>
        <w:spacing w:before="0" w:after="0" w:line="240" w:lineRule="auto"/>
      </w:pPr>
    </w:p>
    <w:p>
      <w:pPr>
        <w:pStyle w:val="Heading2"/>
        <w:keepNext/>
        <w:spacing w:before="240" w:after="120" w:line="312" w:lineRule="auto"/>
        <w:ind w:firstLine="0"/>
      </w:pPr>
      <w:r>
        <w:rPr>
          <w:rFonts w:ascii="Times New Roman" w:hAnsi="Times New Roman" w:eastAsia="黑体"/>
          <w:b/>
          <w:i w:val="0"/>
          <w:sz w:val="28"/>
        </w:rPr>
        <w:t>1.4　编写原则</w:t>
      </w:r>
    </w:p>
    <w:p>
      <w:pPr>
        <w:spacing w:before="0" w:after="60" w:line="336" w:lineRule="auto"/>
        <w:ind w:left="510" w:hanging="510"/>
      </w:pPr>
      <w:r>
        <w:rPr>
          <w:rFonts w:ascii="Times New Roman" w:hAnsi="Times New Roman" w:eastAsia="宋体"/>
          <w:b w:val="0"/>
          <w:i w:val="0"/>
          <w:sz w:val="24"/>
        </w:rPr>
        <w:t>1. 只写需求，不写实现：数据关系只到字段口径与对象关系，不写表结构与接口报文</w:t>
      </w:r>
    </w:p>
    <w:p>
      <w:pPr>
        <w:spacing w:before="0" w:after="60" w:line="336" w:lineRule="auto"/>
        <w:ind w:left="510" w:hanging="510"/>
      </w:pPr>
      <w:r>
        <w:rPr>
          <w:rFonts w:ascii="Times New Roman" w:hAnsi="Times New Roman" w:eastAsia="宋体"/>
          <w:b w:val="0"/>
          <w:i w:val="0"/>
          <w:sz w:val="24"/>
        </w:rPr>
        <w:t>2. 每条规则必须可判断、可测试，不使用「适当」「尽快」等模糊表述</w:t>
      </w:r>
    </w:p>
    <w:p>
      <w:pPr>
        <w:spacing w:before="0" w:after="60" w:line="336" w:lineRule="auto"/>
        <w:ind w:left="510" w:hanging="510"/>
      </w:pPr>
      <w:r>
        <w:rPr>
          <w:rFonts w:ascii="Times New Roman" w:hAnsi="Times New Roman" w:eastAsia="宋体"/>
          <w:b w:val="0"/>
          <w:i w:val="0"/>
          <w:sz w:val="24"/>
        </w:rPr>
        <w:t>3. 业务方已确认的裁决口径优先于历史文档中的存疑口径，未裁决项一律进入第 5 章待确认清单</w:t>
      </w:r>
    </w:p>
    <w:p>
      <w:pPr>
        <w:spacing w:before="0" w:after="60" w:line="336" w:lineRule="auto"/>
        <w:ind w:left="510" w:hanging="510"/>
      </w:pPr>
      <w:r>
        <w:rPr>
          <w:rFonts w:ascii="Times New Roman" w:hAnsi="Times New Roman" w:eastAsia="宋体"/>
          <w:b w:val="0"/>
          <w:i w:val="0"/>
          <w:sz w:val="24"/>
        </w:rPr>
        <w:t>4. 资金流转按「线下操作 + 凭证上传 + 系统内确认」建模，系统内不存在线上扣款与打款</w:t>
      </w:r>
    </w:p>
    <w:p>
      <w:pPr>
        <w:spacing w:before="0" w:after="60" w:line="336" w:lineRule="auto"/>
        <w:ind w:left="510" w:hanging="510"/>
      </w:pPr>
      <w:r>
        <w:rPr>
          <w:rFonts w:ascii="Times New Roman" w:hAnsi="Times New Roman" w:eastAsia="宋体"/>
          <w:b w:val="0"/>
          <w:i w:val="0"/>
          <w:sz w:val="24"/>
        </w:rPr>
        <w:t>5. 权限以业务方当前裁决为准（本期未划分角色权限、系统全量权限），文档中出现的角色仅表示典型使用角色</w:t>
      </w:r>
    </w:p>
    <w:p>
      <w:pPr>
        <w:pStyle w:val="Heading2"/>
        <w:keepNext/>
        <w:spacing w:before="240" w:after="120" w:line="312" w:lineRule="auto"/>
        <w:ind w:firstLine="0"/>
      </w:pPr>
      <w:r>
        <w:rPr>
          <w:rFonts w:ascii="Times New Roman" w:hAnsi="Times New Roman" w:eastAsia="黑体"/>
          <w:b/>
          <w:i w:val="0"/>
          <w:sz w:val="28"/>
        </w:rPr>
        <w:t>1.5　文档结构</w:t>
      </w:r>
    </w:p>
    <w:tbl>
      <w:tblPr>
        <w:tblStyle w:val="TableGrid"/>
        <w:tblW w:type="auto" w:w="0"/>
        <w:jc w:val="center"/>
        <w:tblLayout w:type="fixed"/>
        <w:tblLook w:firstColumn="1" w:firstRow="1" w:lastColumn="0" w:lastRow="0" w:noHBand="0" w:noVBand="1" w:val="04A0"/>
      </w:tblPr>
      <w:tblGrid>
        <w:gridCol w:w="4479"/>
        <w:gridCol w:w="4479"/>
      </w:tblGrid>
      <w:tr>
        <w:trPr>
          <w:tblHeader w:val="true"/>
        </w:trPr>
        <w:tc>
          <w:tcPr>
            <w:tcW w:type="dxa" w:w="1701"/>
            <w:shd w:val="clear" w:color="auto" w:fill="DCE6F1"/>
          </w:tcPr>
          <w:p>
            <w:pPr>
              <w:spacing w:before="40" w:after="40" w:line="276" w:lineRule="auto"/>
              <w:jc w:val="center"/>
            </w:pPr>
            <w:r/>
            <w:r>
              <w:rPr>
                <w:rFonts w:ascii="Times New Roman" w:hAnsi="Times New Roman" w:eastAsia="黑体"/>
                <w:b/>
                <w:i w:val="0"/>
                <w:sz w:val="21"/>
              </w:rPr>
              <w:t>章节</w:t>
            </w:r>
          </w:p>
        </w:tc>
        <w:tc>
          <w:tcPr>
            <w:tcW w:type="dxa" w:w="7370"/>
            <w:shd w:val="clear" w:color="auto" w:fill="DCE6F1"/>
          </w:tcPr>
          <w:p>
            <w:pPr>
              <w:spacing w:before="40" w:after="40" w:line="276" w:lineRule="auto"/>
              <w:jc w:val="center"/>
            </w:pPr>
            <w:r/>
            <w:r>
              <w:rPr>
                <w:rFonts w:ascii="Times New Roman" w:hAnsi="Times New Roman" w:eastAsia="黑体"/>
                <w:b/>
                <w:i w:val="0"/>
                <w:sz w:val="21"/>
              </w:rPr>
              <w:t>内容</w:t>
            </w:r>
          </w:p>
        </w:tc>
      </w:tr>
      <w:tr>
        <w:tc>
          <w:tcPr>
            <w:tcW w:type="dxa" w:w="1701"/>
          </w:tcPr>
          <w:p>
            <w:pPr>
              <w:spacing w:before="20" w:after="20" w:line="276" w:lineRule="auto"/>
              <w:ind w:firstLine="0"/>
            </w:pPr>
            <w:r/>
            <w:r>
              <w:rPr>
                <w:rFonts w:ascii="Times New Roman" w:hAnsi="Times New Roman" w:eastAsia="宋体"/>
                <w:b w:val="0"/>
                <w:i w:val="0"/>
                <w:sz w:val="21"/>
              </w:rPr>
              <w:t>第 1 章</w:t>
            </w:r>
          </w:p>
        </w:tc>
        <w:tc>
          <w:tcPr>
            <w:tcW w:type="dxa" w:w="7370"/>
          </w:tcPr>
          <w:p>
            <w:pPr>
              <w:spacing w:before="20" w:after="20" w:line="276" w:lineRule="auto"/>
              <w:ind w:firstLine="0"/>
            </w:pPr>
            <w:r/>
            <w:r>
              <w:rPr>
                <w:rFonts w:ascii="Times New Roman" w:hAnsi="Times New Roman" w:eastAsia="宋体"/>
                <w:b w:val="0"/>
                <w:i w:val="0"/>
                <w:sz w:val="21"/>
              </w:rPr>
              <w:t>文档说明：目的、范围、读法、编写原则</w:t>
            </w:r>
          </w:p>
        </w:tc>
      </w:tr>
      <w:tr>
        <w:tc>
          <w:tcPr>
            <w:tcW w:type="dxa" w:w="1701"/>
          </w:tcPr>
          <w:p>
            <w:pPr>
              <w:spacing w:before="20" w:after="20" w:line="276" w:lineRule="auto"/>
              <w:ind w:firstLine="0"/>
            </w:pPr>
            <w:r/>
            <w:r>
              <w:rPr>
                <w:rFonts w:ascii="Times New Roman" w:hAnsi="Times New Roman" w:eastAsia="宋体"/>
                <w:b w:val="0"/>
                <w:i w:val="0"/>
                <w:sz w:val="21"/>
              </w:rPr>
              <w:t>第 2 章</w:t>
            </w:r>
          </w:p>
        </w:tc>
        <w:tc>
          <w:tcPr>
            <w:tcW w:type="dxa" w:w="7370"/>
          </w:tcPr>
          <w:p>
            <w:pPr>
              <w:spacing w:before="20" w:after="20" w:line="276" w:lineRule="auto"/>
              <w:ind w:firstLine="0"/>
            </w:pPr>
            <w:r/>
            <w:r>
              <w:rPr>
                <w:rFonts w:ascii="Times New Roman" w:hAnsi="Times New Roman" w:eastAsia="宋体"/>
                <w:b w:val="0"/>
                <w:i w:val="0"/>
                <w:sz w:val="21"/>
              </w:rPr>
              <w:t>产品概述：定位、角色总表、模块地图、核心业务链路</w:t>
            </w:r>
          </w:p>
        </w:tc>
      </w:tr>
      <w:tr>
        <w:tc>
          <w:tcPr>
            <w:tcW w:type="dxa" w:w="1701"/>
          </w:tcPr>
          <w:p>
            <w:pPr>
              <w:spacing w:before="20" w:after="20" w:line="276" w:lineRule="auto"/>
              <w:ind w:firstLine="0"/>
            </w:pPr>
            <w:r/>
            <w:r>
              <w:rPr>
                <w:rFonts w:ascii="Times New Roman" w:hAnsi="Times New Roman" w:eastAsia="宋体"/>
                <w:b w:val="0"/>
                <w:i w:val="0"/>
                <w:sz w:val="21"/>
              </w:rPr>
              <w:t>第 3 章</w:t>
            </w:r>
          </w:p>
        </w:tc>
        <w:tc>
          <w:tcPr>
            <w:tcW w:type="dxa" w:w="7370"/>
          </w:tcPr>
          <w:p>
            <w:pPr>
              <w:spacing w:before="20" w:after="20" w:line="276" w:lineRule="auto"/>
              <w:ind w:firstLine="0"/>
            </w:pPr>
            <w:r/>
            <w:r>
              <w:rPr>
                <w:rFonts w:ascii="Times New Roman" w:hAnsi="Times New Roman" w:eastAsia="宋体"/>
                <w:b w:val="0"/>
                <w:i w:val="0"/>
                <w:sz w:val="21"/>
              </w:rPr>
              <w:t>全局规范：权限口径、通用交互与文案、通用异常与空状态、脱敏与合规、资金流转口径</w:t>
            </w:r>
          </w:p>
        </w:tc>
      </w:tr>
      <w:tr>
        <w:tc>
          <w:tcPr>
            <w:tcW w:type="dxa" w:w="1701"/>
          </w:tcPr>
          <w:p>
            <w:pPr>
              <w:spacing w:before="20" w:after="20" w:line="276" w:lineRule="auto"/>
              <w:ind w:firstLine="0"/>
            </w:pPr>
            <w:r/>
            <w:r>
              <w:rPr>
                <w:rFonts w:ascii="Times New Roman" w:hAnsi="Times New Roman" w:eastAsia="宋体"/>
                <w:b w:val="0"/>
                <w:i w:val="0"/>
                <w:sz w:val="21"/>
              </w:rPr>
              <w:t>第 4 章</w:t>
            </w:r>
          </w:p>
        </w:tc>
        <w:tc>
          <w:tcPr>
            <w:tcW w:type="dxa" w:w="7370"/>
          </w:tcPr>
          <w:p>
            <w:pPr>
              <w:spacing w:before="20" w:after="20" w:line="276" w:lineRule="auto"/>
              <w:ind w:firstLine="0"/>
            </w:pPr>
            <w:r/>
            <w:r>
              <w:rPr>
                <w:rFonts w:ascii="Times New Roman" w:hAnsi="Times New Roman" w:eastAsia="宋体"/>
                <w:b w:val="0"/>
                <w:i w:val="0"/>
                <w:sz w:val="21"/>
              </w:rPr>
              <w:t>各模块需求说明（29 个模块，每模块 8 节）</w:t>
            </w:r>
          </w:p>
        </w:tc>
      </w:tr>
      <w:tr>
        <w:tc>
          <w:tcPr>
            <w:tcW w:type="dxa" w:w="1701"/>
          </w:tcPr>
          <w:p>
            <w:pPr>
              <w:spacing w:before="20" w:after="20" w:line="276" w:lineRule="auto"/>
              <w:ind w:firstLine="0"/>
            </w:pPr>
            <w:r/>
            <w:r>
              <w:rPr>
                <w:rFonts w:ascii="Times New Roman" w:hAnsi="Times New Roman" w:eastAsia="宋体"/>
                <w:b w:val="0"/>
                <w:i w:val="0"/>
                <w:sz w:val="21"/>
              </w:rPr>
              <w:t>第 5 章</w:t>
            </w:r>
          </w:p>
        </w:tc>
        <w:tc>
          <w:tcPr>
            <w:tcW w:type="dxa" w:w="7370"/>
          </w:tcPr>
          <w:p>
            <w:pPr>
              <w:spacing w:before="20" w:after="20" w:line="276" w:lineRule="auto"/>
              <w:ind w:firstLine="0"/>
            </w:pPr>
            <w:r/>
            <w:r>
              <w:rPr>
                <w:rFonts w:ascii="Times New Roman" w:hAnsi="Times New Roman" w:eastAsia="宋体"/>
                <w:b w:val="0"/>
                <w:i w:val="0"/>
                <w:sz w:val="21"/>
              </w:rPr>
              <w:t>跨模块待确认问题清单</w:t>
            </w:r>
          </w:p>
        </w:tc>
      </w:tr>
      <w:tr>
        <w:tc>
          <w:tcPr>
            <w:tcW w:type="dxa" w:w="1701"/>
          </w:tcPr>
          <w:p>
            <w:pPr>
              <w:spacing w:before="20" w:after="20" w:line="276" w:lineRule="auto"/>
              <w:ind w:firstLine="0"/>
            </w:pPr>
            <w:r/>
            <w:r>
              <w:rPr>
                <w:rFonts w:ascii="Times New Roman" w:hAnsi="Times New Roman" w:eastAsia="宋体"/>
                <w:b w:val="0"/>
                <w:i w:val="0"/>
                <w:sz w:val="21"/>
              </w:rPr>
              <w:t>附录 A</w:t>
            </w:r>
          </w:p>
        </w:tc>
        <w:tc>
          <w:tcPr>
            <w:tcW w:type="dxa" w:w="7370"/>
          </w:tcPr>
          <w:p>
            <w:pPr>
              <w:spacing w:before="20" w:after="20" w:line="276" w:lineRule="auto"/>
              <w:ind w:firstLine="0"/>
            </w:pPr>
            <w:r/>
            <w:r>
              <w:rPr>
                <w:rFonts w:ascii="Times New Roman" w:hAnsi="Times New Roman" w:eastAsia="宋体"/>
                <w:b w:val="0"/>
                <w:i w:val="0"/>
                <w:sz w:val="21"/>
              </w:rPr>
              <w:t>页面索引（118 个页面 → 所属模块）</w:t>
            </w:r>
          </w:p>
        </w:tc>
      </w:tr>
      <w:tr>
        <w:tc>
          <w:tcPr>
            <w:tcW w:type="dxa" w:w="1701"/>
          </w:tcPr>
          <w:p>
            <w:pPr>
              <w:spacing w:before="20" w:after="20" w:line="276" w:lineRule="auto"/>
              <w:ind w:firstLine="0"/>
            </w:pPr>
            <w:r/>
            <w:r>
              <w:rPr>
                <w:rFonts w:ascii="Times New Roman" w:hAnsi="Times New Roman" w:eastAsia="宋体"/>
                <w:b w:val="0"/>
                <w:i w:val="0"/>
                <w:sz w:val="21"/>
              </w:rPr>
              <w:t>附录 B</w:t>
            </w:r>
          </w:p>
        </w:tc>
        <w:tc>
          <w:tcPr>
            <w:tcW w:type="dxa" w:w="7370"/>
          </w:tcPr>
          <w:p>
            <w:pPr>
              <w:spacing w:before="20" w:after="20" w:line="276" w:lineRule="auto"/>
              <w:ind w:firstLine="0"/>
            </w:pPr>
            <w:r/>
            <w:r>
              <w:rPr>
                <w:rFonts w:ascii="Times New Roman" w:hAnsi="Times New Roman" w:eastAsia="宋体"/>
                <w:b w:val="0"/>
                <w:i w:val="0"/>
                <w:sz w:val="21"/>
              </w:rPr>
              <w:t>术语与缩写</w:t>
            </w:r>
          </w:p>
        </w:tc>
      </w:tr>
    </w:tbl>
    <w:p>
      <w:pPr>
        <w:spacing w:before="0" w:after="0" w:line="240" w:lineRule="auto"/>
      </w:pPr>
    </w:p>
    <w:p>
      <w:r>
        <w:br w:type="page"/>
      </w:r>
    </w:p>
    <w:p>
      <w:pPr>
        <w:pStyle w:val="Heading1"/>
        <w:keepNext/>
        <w:spacing w:before="360" w:after="200" w:line="312" w:lineRule="auto"/>
        <w:ind w:firstLine="0"/>
      </w:pPr>
      <w:r>
        <w:rPr>
          <w:rFonts w:ascii="Times New Roman" w:hAnsi="Times New Roman" w:eastAsia="黑体"/>
          <w:b/>
          <w:i w:val="0"/>
          <w:sz w:val="32"/>
        </w:rPr>
        <w:t>2　产品概述</w:t>
      </w:r>
    </w:p>
    <w:p>
      <w:pPr>
        <w:pStyle w:val="Heading2"/>
        <w:keepNext/>
        <w:spacing w:before="240" w:after="120" w:line="312" w:lineRule="auto"/>
        <w:ind w:firstLine="0"/>
      </w:pPr>
      <w:r>
        <w:rPr>
          <w:rFonts w:ascii="Times New Roman" w:hAnsi="Times New Roman" w:eastAsia="黑体"/>
          <w:b/>
          <w:i w:val="0"/>
          <w:sz w:val="28"/>
        </w:rPr>
        <w:t>2.1　产品定位</w:t>
      </w:r>
    </w:p>
    <w:p>
      <w:pPr>
        <w:spacing w:before="0" w:after="120" w:line="360" w:lineRule="auto"/>
      </w:pPr>
      <w:r>
        <w:rPr>
          <w:rFonts w:ascii="Times New Roman" w:hAnsi="Times New Roman" w:eastAsia="宋体"/>
          <w:b w:val="0"/>
          <w:i w:val="0"/>
          <w:sz w:val="24"/>
        </w:rPr>
        <w:t>面向大宗商品供应链业务全角色（业务员、业务主管、风控、财务、总经办、仓储）的 B 端网页应用，把「准入—合同—履约—仓储—结算—资金—风控」全链路业务，从线下表格与即时通讯群的登记方式，搬进系统内流程化登记、单据可追溯、风险可核查。</w:t>
      </w:r>
    </w:p>
    <w:p>
      <w:pPr>
        <w:pStyle w:val="Heading2"/>
        <w:keepNext/>
        <w:spacing w:before="240" w:after="120" w:line="312" w:lineRule="auto"/>
        <w:ind w:firstLine="0"/>
      </w:pPr>
      <w:r>
        <w:rPr>
          <w:rFonts w:ascii="Times New Roman" w:hAnsi="Times New Roman" w:eastAsia="黑体"/>
          <w:b/>
          <w:i w:val="0"/>
          <w:sz w:val="28"/>
        </w:rPr>
        <w:t>2.2　产品形态与阶段</w:t>
      </w:r>
    </w:p>
    <w:tbl>
      <w:tblPr>
        <w:tblStyle w:val="TableGrid"/>
        <w:tblW w:type="auto" w:w="0"/>
        <w:jc w:val="center"/>
        <w:tblLayout w:type="fixed"/>
        <w:tblLook w:firstColumn="1" w:firstRow="1" w:lastColumn="0" w:lastRow="0" w:noHBand="0" w:noVBand="1" w:val="04A0"/>
      </w:tblPr>
      <w:tblGrid>
        <w:gridCol w:w="4479"/>
        <w:gridCol w:w="4479"/>
      </w:tblGrid>
      <w:tr>
        <w:trPr>
          <w:tblHeader w:val="true"/>
        </w:trPr>
        <w:tc>
          <w:tcPr>
            <w:tcW w:type="dxa" w:w="1701"/>
            <w:shd w:val="clear" w:color="auto" w:fill="DCE6F1"/>
          </w:tcPr>
          <w:p>
            <w:pPr>
              <w:spacing w:before="40" w:after="40" w:line="276" w:lineRule="auto"/>
              <w:jc w:val="center"/>
            </w:pPr>
            <w:r/>
            <w:r>
              <w:rPr>
                <w:rFonts w:ascii="Times New Roman" w:hAnsi="Times New Roman" w:eastAsia="黑体"/>
                <w:b/>
                <w:i w:val="0"/>
                <w:sz w:val="21"/>
              </w:rPr>
              <w:t>项</w:t>
            </w:r>
          </w:p>
        </w:tc>
        <w:tc>
          <w:tcPr>
            <w:tcW w:type="dxa" w:w="7370"/>
            <w:shd w:val="clear" w:color="auto" w:fill="DCE6F1"/>
          </w:tcPr>
          <w:p>
            <w:pPr>
              <w:spacing w:before="40" w:after="40" w:line="276" w:lineRule="auto"/>
              <w:jc w:val="center"/>
            </w:pPr>
            <w:r/>
            <w:r>
              <w:rPr>
                <w:rFonts w:ascii="Times New Roman" w:hAnsi="Times New Roman" w:eastAsia="黑体"/>
                <w:b/>
                <w:i w:val="0"/>
                <w:sz w:val="21"/>
              </w:rPr>
              <w:t>内容</w:t>
            </w:r>
          </w:p>
        </w:tc>
      </w:tr>
      <w:tr>
        <w:tc>
          <w:tcPr>
            <w:tcW w:type="dxa" w:w="1701"/>
          </w:tcPr>
          <w:p>
            <w:pPr>
              <w:spacing w:before="20" w:after="20" w:line="276" w:lineRule="auto"/>
              <w:ind w:firstLine="0"/>
            </w:pPr>
            <w:r/>
            <w:r>
              <w:rPr>
                <w:rFonts w:ascii="Times New Roman" w:hAnsi="Times New Roman" w:eastAsia="宋体"/>
                <w:b w:val="0"/>
                <w:i w:val="0"/>
                <w:sz w:val="21"/>
              </w:rPr>
              <w:t>当前选型</w:t>
            </w:r>
          </w:p>
        </w:tc>
        <w:tc>
          <w:tcPr>
            <w:tcW w:type="dxa" w:w="7370"/>
          </w:tcPr>
          <w:p>
            <w:pPr>
              <w:spacing w:before="20" w:after="20" w:line="276" w:lineRule="auto"/>
              <w:ind w:firstLine="0"/>
            </w:pPr>
            <w:r/>
            <w:r>
              <w:rPr>
                <w:rFonts w:ascii="Times New Roman" w:hAnsi="Times New Roman" w:eastAsia="宋体"/>
                <w:b w:val="0"/>
                <w:i w:val="0"/>
                <w:sz w:val="21"/>
              </w:rPr>
              <w:t>网页 B 端应用（PC 端优先）</w:t>
            </w:r>
          </w:p>
        </w:tc>
      </w:tr>
      <w:tr>
        <w:tc>
          <w:tcPr>
            <w:tcW w:type="dxa" w:w="1701"/>
          </w:tcPr>
          <w:p>
            <w:pPr>
              <w:spacing w:before="20" w:after="20" w:line="276" w:lineRule="auto"/>
              <w:ind w:firstLine="0"/>
            </w:pPr>
            <w:r/>
            <w:r>
              <w:rPr>
                <w:rFonts w:ascii="Times New Roman" w:hAnsi="Times New Roman" w:eastAsia="宋体"/>
                <w:b w:val="0"/>
                <w:i w:val="0"/>
                <w:sz w:val="21"/>
              </w:rPr>
              <w:t>选择理由</w:t>
            </w:r>
          </w:p>
        </w:tc>
        <w:tc>
          <w:tcPr>
            <w:tcW w:type="dxa" w:w="7370"/>
          </w:tcPr>
          <w:p>
            <w:pPr>
              <w:spacing w:before="20" w:after="20" w:line="276" w:lineRule="auto"/>
              <w:ind w:firstLine="0"/>
            </w:pPr>
            <w:r/>
            <w:r>
              <w:rPr>
                <w:rFonts w:ascii="Times New Roman" w:hAnsi="Times New Roman" w:eastAsia="宋体"/>
                <w:b w:val="0"/>
                <w:i w:val="0"/>
                <w:sz w:val="21"/>
              </w:rPr>
              <w:t>功能复杂、多列表对比操作密集、使用者为企业内多部门角色，桌面端优于移动端，且免客户端发版</w:t>
            </w:r>
          </w:p>
        </w:tc>
      </w:tr>
      <w:tr>
        <w:tc>
          <w:tcPr>
            <w:tcW w:type="dxa" w:w="1701"/>
          </w:tcPr>
          <w:p>
            <w:pPr>
              <w:spacing w:before="20" w:after="20" w:line="276" w:lineRule="auto"/>
              <w:ind w:firstLine="0"/>
            </w:pPr>
            <w:r/>
            <w:r>
              <w:rPr>
                <w:rFonts w:ascii="Times New Roman" w:hAnsi="Times New Roman" w:eastAsia="宋体"/>
                <w:b w:val="0"/>
                <w:i w:val="0"/>
                <w:sz w:val="21"/>
              </w:rPr>
              <w:t>终端范围</w:t>
            </w:r>
          </w:p>
        </w:tc>
        <w:tc>
          <w:tcPr>
            <w:tcW w:type="dxa" w:w="7370"/>
          </w:tcPr>
          <w:p>
            <w:pPr>
              <w:spacing w:before="20" w:after="20" w:line="276" w:lineRule="auto"/>
              <w:ind w:firstLine="0"/>
            </w:pPr>
            <w:r/>
            <w:r>
              <w:rPr>
                <w:rFonts w:ascii="Times New Roman" w:hAnsi="Times New Roman" w:eastAsia="宋体"/>
                <w:b w:val="0"/>
                <w:i w:val="0"/>
                <w:sz w:val="21"/>
              </w:rPr>
              <w:t>本期仅网页端</w:t>
            </w:r>
          </w:p>
        </w:tc>
      </w:tr>
      <w:tr>
        <w:tc>
          <w:tcPr>
            <w:tcW w:type="dxa" w:w="1701"/>
          </w:tcPr>
          <w:p>
            <w:pPr>
              <w:spacing w:before="20" w:after="20" w:line="276" w:lineRule="auto"/>
              <w:ind w:firstLine="0"/>
            </w:pPr>
            <w:r/>
            <w:r>
              <w:rPr>
                <w:rFonts w:ascii="Times New Roman" w:hAnsi="Times New Roman" w:eastAsia="宋体"/>
                <w:b w:val="0"/>
                <w:i w:val="0"/>
                <w:sz w:val="21"/>
              </w:rPr>
              <w:t>阶段策略</w:t>
            </w:r>
          </w:p>
        </w:tc>
        <w:tc>
          <w:tcPr>
            <w:tcW w:type="dxa" w:w="7370"/>
          </w:tcPr>
          <w:p>
            <w:pPr>
              <w:spacing w:before="20" w:after="20" w:line="276" w:lineRule="auto"/>
              <w:ind w:firstLine="0"/>
            </w:pPr>
            <w:r/>
            <w:r>
              <w:rPr>
                <w:rFonts w:ascii="Times New Roman" w:hAnsi="Times New Roman" w:eastAsia="宋体"/>
                <w:b w:val="0"/>
                <w:i w:val="0"/>
                <w:sz w:val="21"/>
              </w:rPr>
              <w:t>一期：全链路主流程跑通；二期范围以业务方后续确认为准</w:t>
            </w:r>
          </w:p>
        </w:tc>
      </w:tr>
    </w:tbl>
    <w:p>
      <w:pPr>
        <w:spacing w:before="0" w:after="0" w:line="240" w:lineRule="auto"/>
      </w:pPr>
    </w:p>
    <w:p>
      <w:pPr>
        <w:pStyle w:val="Heading2"/>
        <w:keepNext/>
        <w:spacing w:before="240" w:after="120" w:line="312" w:lineRule="auto"/>
        <w:ind w:firstLine="0"/>
      </w:pPr>
      <w:r>
        <w:rPr>
          <w:rFonts w:ascii="Times New Roman" w:hAnsi="Times New Roman" w:eastAsia="黑体"/>
          <w:b/>
          <w:i w:val="0"/>
          <w:sz w:val="28"/>
        </w:rPr>
        <w:t>2.3　角色总表</w:t>
      </w:r>
    </w:p>
    <w:tbl>
      <w:tblPr>
        <w:tblStyle w:val="TableGrid"/>
        <w:tblW w:type="auto" w:w="0"/>
        <w:jc w:val="center"/>
        <w:tblLayout w:type="fixed"/>
        <w:tblLook w:firstColumn="1" w:firstRow="1" w:lastColumn="0" w:lastRow="0" w:noHBand="0" w:noVBand="1" w:val="04A0"/>
      </w:tblPr>
      <w:tblGrid>
        <w:gridCol w:w="2239"/>
        <w:gridCol w:w="2239"/>
        <w:gridCol w:w="2239"/>
        <w:gridCol w:w="2239"/>
      </w:tblGrid>
      <w:tr>
        <w:trPr>
          <w:tblHeader w:val="true"/>
        </w:trPr>
        <w:tc>
          <w:tcPr>
            <w:tcW w:type="dxa" w:w="1247"/>
            <w:shd w:val="clear" w:color="auto" w:fill="DCE6F1"/>
          </w:tcPr>
          <w:p>
            <w:pPr>
              <w:spacing w:before="40" w:after="40" w:line="276" w:lineRule="auto"/>
              <w:jc w:val="center"/>
            </w:pPr>
            <w:r/>
            <w:r>
              <w:rPr>
                <w:rFonts w:ascii="Times New Roman" w:hAnsi="Times New Roman" w:eastAsia="黑体"/>
                <w:b/>
                <w:i w:val="0"/>
                <w:sz w:val="21"/>
              </w:rPr>
              <w:t>角色</w:t>
            </w:r>
          </w:p>
        </w:tc>
        <w:tc>
          <w:tcPr>
            <w:tcW w:type="dxa" w:w="1020"/>
            <w:shd w:val="clear" w:color="auto" w:fill="DCE6F1"/>
          </w:tcPr>
          <w:p>
            <w:pPr>
              <w:spacing w:before="40" w:after="40" w:line="276" w:lineRule="auto"/>
              <w:jc w:val="center"/>
            </w:pPr>
            <w:r/>
            <w:r>
              <w:rPr>
                <w:rFonts w:ascii="Times New Roman" w:hAnsi="Times New Roman" w:eastAsia="黑体"/>
                <w:b/>
                <w:i w:val="0"/>
                <w:sz w:val="21"/>
              </w:rPr>
              <w:t>所属部门</w:t>
            </w:r>
          </w:p>
        </w:tc>
        <w:tc>
          <w:tcPr>
            <w:tcW w:type="dxa" w:w="3685"/>
            <w:shd w:val="clear" w:color="auto" w:fill="DCE6F1"/>
          </w:tcPr>
          <w:p>
            <w:pPr>
              <w:spacing w:before="40" w:after="40" w:line="276" w:lineRule="auto"/>
              <w:jc w:val="center"/>
            </w:pPr>
            <w:r/>
            <w:r>
              <w:rPr>
                <w:rFonts w:ascii="Times New Roman" w:hAnsi="Times New Roman" w:eastAsia="黑体"/>
                <w:b/>
                <w:i w:val="0"/>
                <w:sz w:val="21"/>
              </w:rPr>
              <w:t>核心诉求</w:t>
            </w:r>
          </w:p>
        </w:tc>
        <w:tc>
          <w:tcPr>
            <w:tcW w:type="dxa" w:w="3118"/>
            <w:shd w:val="clear" w:color="auto" w:fill="DCE6F1"/>
          </w:tcPr>
          <w:p>
            <w:pPr>
              <w:spacing w:before="40" w:after="40" w:line="276" w:lineRule="auto"/>
              <w:jc w:val="center"/>
            </w:pPr>
            <w:r/>
            <w:r>
              <w:rPr>
                <w:rFonts w:ascii="Times New Roman" w:hAnsi="Times New Roman" w:eastAsia="黑体"/>
                <w:b/>
                <w:i w:val="0"/>
                <w:sz w:val="21"/>
              </w:rPr>
              <w:t>主要使用模块</w:t>
            </w:r>
          </w:p>
        </w:tc>
      </w:tr>
      <w:tr>
        <w:tc>
          <w:tcPr>
            <w:tcW w:type="dxa" w:w="1247"/>
          </w:tcPr>
          <w:p>
            <w:pPr>
              <w:spacing w:before="20" w:after="20" w:line="276" w:lineRule="auto"/>
              <w:ind w:firstLine="0"/>
            </w:pPr>
            <w:r/>
            <w:r>
              <w:rPr>
                <w:rFonts w:ascii="Times New Roman" w:hAnsi="Times New Roman" w:eastAsia="宋体"/>
                <w:b w:val="0"/>
                <w:i w:val="0"/>
                <w:sz w:val="21"/>
              </w:rPr>
              <w:t>业务员</w:t>
            </w:r>
          </w:p>
        </w:tc>
        <w:tc>
          <w:tcPr>
            <w:tcW w:type="dxa" w:w="1020"/>
          </w:tcPr>
          <w:p>
            <w:pPr>
              <w:spacing w:before="20" w:after="20" w:line="276" w:lineRule="auto"/>
              <w:ind w:firstLine="0"/>
            </w:pPr>
            <w:r/>
            <w:r>
              <w:rPr>
                <w:rFonts w:ascii="Times New Roman" w:hAnsi="Times New Roman" w:eastAsia="宋体"/>
                <w:b w:val="0"/>
                <w:i w:val="0"/>
                <w:sz w:val="21"/>
              </w:rPr>
              <w:t>业务部</w:t>
            </w:r>
          </w:p>
        </w:tc>
        <w:tc>
          <w:tcPr>
            <w:tcW w:type="dxa" w:w="3685"/>
          </w:tcPr>
          <w:p>
            <w:pPr>
              <w:spacing w:before="20" w:after="20" w:line="276" w:lineRule="auto"/>
              <w:ind w:firstLine="0"/>
            </w:pPr>
            <w:r/>
            <w:r>
              <w:rPr>
                <w:rFonts w:ascii="Times New Roman" w:hAnsi="Times New Roman" w:eastAsia="宋体"/>
                <w:b w:val="0"/>
                <w:i w:val="0"/>
                <w:sz w:val="21"/>
              </w:rPr>
              <w:t>快速发起立项、合同、收发货、货转、付款，把单据录进去不丢</w:t>
            </w:r>
          </w:p>
        </w:tc>
        <w:tc>
          <w:tcPr>
            <w:tcW w:type="dxa" w:w="3118"/>
          </w:tcPr>
          <w:p>
            <w:pPr>
              <w:spacing w:before="20" w:after="20" w:line="276" w:lineRule="auto"/>
              <w:ind w:firstLine="0"/>
            </w:pPr>
            <w:r/>
            <w:r>
              <w:rPr>
                <w:rFonts w:ascii="Times New Roman" w:hAnsi="Times New Roman" w:eastAsia="宋体"/>
                <w:b w:val="0"/>
                <w:i w:val="0"/>
                <w:sz w:val="21"/>
              </w:rPr>
              <w:t>准入、合同、收发货、货转、仓储</w:t>
            </w:r>
          </w:p>
        </w:tc>
      </w:tr>
      <w:tr>
        <w:tc>
          <w:tcPr>
            <w:tcW w:type="dxa" w:w="1247"/>
          </w:tcPr>
          <w:p>
            <w:pPr>
              <w:spacing w:before="20" w:after="20" w:line="276" w:lineRule="auto"/>
              <w:ind w:firstLine="0"/>
            </w:pPr>
            <w:r/>
            <w:r>
              <w:rPr>
                <w:rFonts w:ascii="Times New Roman" w:hAnsi="Times New Roman" w:eastAsia="宋体"/>
                <w:b w:val="0"/>
                <w:i w:val="0"/>
                <w:sz w:val="21"/>
              </w:rPr>
              <w:t>业务主管</w:t>
            </w:r>
          </w:p>
        </w:tc>
        <w:tc>
          <w:tcPr>
            <w:tcW w:type="dxa" w:w="1020"/>
          </w:tcPr>
          <w:p>
            <w:pPr>
              <w:spacing w:before="20" w:after="20" w:line="276" w:lineRule="auto"/>
              <w:ind w:firstLine="0"/>
            </w:pPr>
            <w:r/>
            <w:r>
              <w:rPr>
                <w:rFonts w:ascii="Times New Roman" w:hAnsi="Times New Roman" w:eastAsia="宋体"/>
                <w:b w:val="0"/>
                <w:i w:val="0"/>
                <w:sz w:val="21"/>
              </w:rPr>
              <w:t>业务部</w:t>
            </w:r>
          </w:p>
        </w:tc>
        <w:tc>
          <w:tcPr>
            <w:tcW w:type="dxa" w:w="3685"/>
          </w:tcPr>
          <w:p>
            <w:pPr>
              <w:spacing w:before="20" w:after="20" w:line="276" w:lineRule="auto"/>
              <w:ind w:firstLine="0"/>
            </w:pPr>
            <w:r/>
            <w:r>
              <w:rPr>
                <w:rFonts w:ascii="Times New Roman" w:hAnsi="Times New Roman" w:eastAsia="宋体"/>
                <w:b w:val="0"/>
                <w:i w:val="0"/>
                <w:sz w:val="21"/>
              </w:rPr>
              <w:t>审批下属单据，查看团队待办与业务线进度</w:t>
            </w:r>
          </w:p>
        </w:tc>
        <w:tc>
          <w:tcPr>
            <w:tcW w:type="dxa" w:w="3118"/>
          </w:tcPr>
          <w:p>
            <w:pPr>
              <w:spacing w:before="20" w:after="20" w:line="276" w:lineRule="auto"/>
              <w:ind w:firstLine="0"/>
            </w:pPr>
            <w:r/>
            <w:r>
              <w:rPr>
                <w:rFonts w:ascii="Times New Roman" w:hAnsi="Times New Roman" w:eastAsia="宋体"/>
                <w:b w:val="0"/>
                <w:i w:val="0"/>
                <w:sz w:val="21"/>
              </w:rPr>
              <w:t>各业务模块审批节点</w:t>
            </w:r>
          </w:p>
        </w:tc>
      </w:tr>
      <w:tr>
        <w:tc>
          <w:tcPr>
            <w:tcW w:type="dxa" w:w="1247"/>
          </w:tcPr>
          <w:p>
            <w:pPr>
              <w:spacing w:before="20" w:after="20" w:line="276" w:lineRule="auto"/>
              <w:ind w:firstLine="0"/>
            </w:pPr>
            <w:r/>
            <w:r>
              <w:rPr>
                <w:rFonts w:ascii="Times New Roman" w:hAnsi="Times New Roman" w:eastAsia="宋体"/>
                <w:b w:val="0"/>
                <w:i w:val="0"/>
                <w:sz w:val="21"/>
              </w:rPr>
              <w:t>风控人员</w:t>
            </w:r>
          </w:p>
        </w:tc>
        <w:tc>
          <w:tcPr>
            <w:tcW w:type="dxa" w:w="1020"/>
          </w:tcPr>
          <w:p>
            <w:pPr>
              <w:spacing w:before="20" w:after="20" w:line="276" w:lineRule="auto"/>
              <w:ind w:firstLine="0"/>
            </w:pPr>
            <w:r/>
            <w:r>
              <w:rPr>
                <w:rFonts w:ascii="Times New Roman" w:hAnsi="Times New Roman" w:eastAsia="宋体"/>
                <w:b w:val="0"/>
                <w:i w:val="0"/>
                <w:sz w:val="21"/>
              </w:rPr>
              <w:t>风控部</w:t>
            </w:r>
          </w:p>
        </w:tc>
        <w:tc>
          <w:tcPr>
            <w:tcW w:type="dxa" w:w="3685"/>
          </w:tcPr>
          <w:p>
            <w:pPr>
              <w:spacing w:before="20" w:after="20" w:line="276" w:lineRule="auto"/>
              <w:ind w:firstLine="0"/>
            </w:pPr>
            <w:r/>
            <w:r>
              <w:rPr>
                <w:rFonts w:ascii="Times New Roman" w:hAnsi="Times New Roman" w:eastAsia="宋体"/>
                <w:b w:val="0"/>
                <w:i w:val="0"/>
                <w:sz w:val="21"/>
              </w:rPr>
              <w:t>尽调审查、风险扫描结果复核、盯市监控、预警处置</w:t>
            </w:r>
          </w:p>
        </w:tc>
        <w:tc>
          <w:tcPr>
            <w:tcW w:type="dxa" w:w="3118"/>
          </w:tcPr>
          <w:p>
            <w:pPr>
              <w:spacing w:before="20" w:after="20" w:line="276" w:lineRule="auto"/>
              <w:ind w:firstLine="0"/>
            </w:pPr>
            <w:r/>
            <w:r>
              <w:rPr>
                <w:rFonts w:ascii="Times New Roman" w:hAnsi="Times New Roman" w:eastAsia="宋体"/>
                <w:b w:val="0"/>
                <w:i w:val="0"/>
                <w:sz w:val="21"/>
              </w:rPr>
              <w:t>客户准入、预警中心、盯市、保证金、追保函</w:t>
            </w:r>
          </w:p>
        </w:tc>
      </w:tr>
      <w:tr>
        <w:tc>
          <w:tcPr>
            <w:tcW w:type="dxa" w:w="1247"/>
          </w:tcPr>
          <w:p>
            <w:pPr>
              <w:spacing w:before="20" w:after="20" w:line="276" w:lineRule="auto"/>
              <w:ind w:firstLine="0"/>
            </w:pPr>
            <w:r/>
            <w:r>
              <w:rPr>
                <w:rFonts w:ascii="Times New Roman" w:hAnsi="Times New Roman" w:eastAsia="宋体"/>
                <w:b w:val="0"/>
                <w:i w:val="0"/>
                <w:sz w:val="21"/>
              </w:rPr>
              <w:t>财务人员</w:t>
            </w:r>
          </w:p>
        </w:tc>
        <w:tc>
          <w:tcPr>
            <w:tcW w:type="dxa" w:w="1020"/>
          </w:tcPr>
          <w:p>
            <w:pPr>
              <w:spacing w:before="20" w:after="20" w:line="276" w:lineRule="auto"/>
              <w:ind w:firstLine="0"/>
            </w:pPr>
            <w:r/>
            <w:r>
              <w:rPr>
                <w:rFonts w:ascii="Times New Roman" w:hAnsi="Times New Roman" w:eastAsia="宋体"/>
                <w:b w:val="0"/>
                <w:i w:val="0"/>
                <w:sz w:val="21"/>
              </w:rPr>
              <w:t>财务部</w:t>
            </w:r>
          </w:p>
        </w:tc>
        <w:tc>
          <w:tcPr>
            <w:tcW w:type="dxa" w:w="3685"/>
          </w:tcPr>
          <w:p>
            <w:pPr>
              <w:spacing w:before="20" w:after="20" w:line="276" w:lineRule="auto"/>
              <w:ind w:firstLine="0"/>
            </w:pPr>
            <w:r/>
            <w:r>
              <w:rPr>
                <w:rFonts w:ascii="Times New Roman" w:hAnsi="Times New Roman" w:eastAsia="宋体"/>
                <w:b w:val="0"/>
                <w:i w:val="0"/>
                <w:sz w:val="21"/>
              </w:rPr>
              <w:t>付款、退款、回款、保证金、结算、发票的凭证与金额核对</w:t>
            </w:r>
          </w:p>
        </w:tc>
        <w:tc>
          <w:tcPr>
            <w:tcW w:type="dxa" w:w="3118"/>
          </w:tcPr>
          <w:p>
            <w:pPr>
              <w:spacing w:before="20" w:after="20" w:line="276" w:lineRule="auto"/>
              <w:ind w:firstLine="0"/>
            </w:pPr>
            <w:r/>
            <w:r>
              <w:rPr>
                <w:rFonts w:ascii="Times New Roman" w:hAnsi="Times New Roman" w:eastAsia="宋体"/>
                <w:b w:val="0"/>
                <w:i w:val="0"/>
                <w:sz w:val="21"/>
              </w:rPr>
              <w:t>结算单、资金、发票</w:t>
            </w:r>
          </w:p>
        </w:tc>
      </w:tr>
      <w:tr>
        <w:tc>
          <w:tcPr>
            <w:tcW w:type="dxa" w:w="1247"/>
          </w:tcPr>
          <w:p>
            <w:pPr>
              <w:spacing w:before="20" w:after="20" w:line="276" w:lineRule="auto"/>
              <w:ind w:firstLine="0"/>
            </w:pPr>
            <w:r/>
            <w:r>
              <w:rPr>
                <w:rFonts w:ascii="Times New Roman" w:hAnsi="Times New Roman" w:eastAsia="宋体"/>
                <w:b w:val="0"/>
                <w:i w:val="0"/>
                <w:sz w:val="21"/>
              </w:rPr>
              <w:t>总经办</w:t>
            </w:r>
          </w:p>
        </w:tc>
        <w:tc>
          <w:tcPr>
            <w:tcW w:type="dxa" w:w="1020"/>
          </w:tcPr>
          <w:p>
            <w:pPr>
              <w:spacing w:before="20" w:after="20" w:line="276" w:lineRule="auto"/>
              <w:ind w:firstLine="0"/>
            </w:pPr>
            <w:r/>
            <w:r>
              <w:rPr>
                <w:rFonts w:ascii="Times New Roman" w:hAnsi="Times New Roman" w:eastAsia="宋体"/>
                <w:b w:val="0"/>
                <w:i w:val="0"/>
                <w:sz w:val="21"/>
              </w:rPr>
              <w:t>总经办</w:t>
            </w:r>
          </w:p>
        </w:tc>
        <w:tc>
          <w:tcPr>
            <w:tcW w:type="dxa" w:w="3685"/>
          </w:tcPr>
          <w:p>
            <w:pPr>
              <w:spacing w:before="20" w:after="20" w:line="276" w:lineRule="auto"/>
              <w:ind w:firstLine="0"/>
            </w:pPr>
            <w:r/>
            <w:r>
              <w:rPr>
                <w:rFonts w:ascii="Times New Roman" w:hAnsi="Times New Roman" w:eastAsia="宋体"/>
                <w:b w:val="0"/>
                <w:i w:val="0"/>
                <w:sz w:val="21"/>
              </w:rPr>
              <w:t>高风险事项终审（串行审批链的最终节点）</w:t>
            </w:r>
          </w:p>
        </w:tc>
        <w:tc>
          <w:tcPr>
            <w:tcW w:type="dxa" w:w="3118"/>
          </w:tcPr>
          <w:p>
            <w:pPr>
              <w:spacing w:before="20" w:after="20" w:line="276" w:lineRule="auto"/>
              <w:ind w:firstLine="0"/>
            </w:pPr>
            <w:r/>
            <w:r>
              <w:rPr>
                <w:rFonts w:ascii="Times New Roman" w:hAnsi="Times New Roman" w:eastAsia="宋体"/>
                <w:b w:val="0"/>
                <w:i w:val="0"/>
                <w:sz w:val="21"/>
              </w:rPr>
              <w:t>各模块审批链终审节点</w:t>
            </w:r>
          </w:p>
        </w:tc>
      </w:tr>
      <w:tr>
        <w:tc>
          <w:tcPr>
            <w:tcW w:type="dxa" w:w="1247"/>
          </w:tcPr>
          <w:p>
            <w:pPr>
              <w:spacing w:before="20" w:after="20" w:line="276" w:lineRule="auto"/>
              <w:ind w:firstLine="0"/>
            </w:pPr>
            <w:r/>
            <w:r>
              <w:rPr>
                <w:rFonts w:ascii="Times New Roman" w:hAnsi="Times New Roman" w:eastAsia="宋体"/>
                <w:b w:val="0"/>
                <w:i w:val="0"/>
                <w:sz w:val="21"/>
              </w:rPr>
              <w:t>仓储人员</w:t>
            </w:r>
          </w:p>
        </w:tc>
        <w:tc>
          <w:tcPr>
            <w:tcW w:type="dxa" w:w="1020"/>
          </w:tcPr>
          <w:p>
            <w:pPr>
              <w:spacing w:before="20" w:after="20" w:line="276" w:lineRule="auto"/>
              <w:ind w:firstLine="0"/>
            </w:pPr>
            <w:r/>
            <w:r>
              <w:rPr>
                <w:rFonts w:ascii="Times New Roman" w:hAnsi="Times New Roman" w:eastAsia="宋体"/>
                <w:b w:val="0"/>
                <w:i w:val="0"/>
                <w:sz w:val="21"/>
              </w:rPr>
              <w:t>仓储部</w:t>
            </w:r>
          </w:p>
        </w:tc>
        <w:tc>
          <w:tcPr>
            <w:tcW w:type="dxa" w:w="3685"/>
          </w:tcPr>
          <w:p>
            <w:pPr>
              <w:spacing w:before="20" w:after="20" w:line="276" w:lineRule="auto"/>
              <w:ind w:firstLine="0"/>
            </w:pPr>
            <w:r/>
            <w:r>
              <w:rPr>
                <w:rFonts w:ascii="Times New Roman" w:hAnsi="Times New Roman" w:eastAsia="宋体"/>
                <w:b w:val="0"/>
                <w:i w:val="0"/>
                <w:sz w:val="21"/>
              </w:rPr>
              <w:t>出入库、提放货、库存与巡库作业的现场登记</w:t>
            </w:r>
          </w:p>
        </w:tc>
        <w:tc>
          <w:tcPr>
            <w:tcW w:type="dxa" w:w="3118"/>
          </w:tcPr>
          <w:p>
            <w:pPr>
              <w:spacing w:before="20" w:after="20" w:line="276" w:lineRule="auto"/>
              <w:ind w:firstLine="0"/>
            </w:pPr>
            <w:r/>
            <w:r>
              <w:rPr>
                <w:rFonts w:ascii="Times New Roman" w:hAnsi="Times New Roman" w:eastAsia="宋体"/>
                <w:b w:val="0"/>
                <w:i w:val="0"/>
                <w:sz w:val="21"/>
              </w:rPr>
              <w:t>仓储管理</w:t>
            </w:r>
          </w:p>
        </w:tc>
      </w:tr>
      <w:tr>
        <w:tc>
          <w:tcPr>
            <w:tcW w:type="dxa" w:w="1247"/>
          </w:tcPr>
          <w:p>
            <w:pPr>
              <w:spacing w:before="20" w:after="20" w:line="276" w:lineRule="auto"/>
              <w:ind w:firstLine="0"/>
            </w:pPr>
            <w:r/>
            <w:r>
              <w:rPr>
                <w:rFonts w:ascii="Times New Roman" w:hAnsi="Times New Roman" w:eastAsia="宋体"/>
                <w:b w:val="0"/>
                <w:i w:val="0"/>
                <w:sz w:val="21"/>
              </w:rPr>
              <w:t>平台管理员</w:t>
            </w:r>
          </w:p>
        </w:tc>
        <w:tc>
          <w:tcPr>
            <w:tcW w:type="dxa" w:w="1020"/>
          </w:tcPr>
          <w:p>
            <w:pPr>
              <w:spacing w:before="20" w:after="20" w:line="276" w:lineRule="auto"/>
              <w:ind w:firstLine="0"/>
            </w:pPr>
            <w:r/>
            <w:r>
              <w:rPr>
                <w:rFonts w:ascii="Times New Roman" w:hAnsi="Times New Roman" w:eastAsia="宋体"/>
                <w:b w:val="0"/>
                <w:i w:val="0"/>
                <w:sz w:val="21"/>
              </w:rPr>
              <w:t>运营管理部</w:t>
            </w:r>
          </w:p>
        </w:tc>
        <w:tc>
          <w:tcPr>
            <w:tcW w:type="dxa" w:w="3685"/>
          </w:tcPr>
          <w:p>
            <w:pPr>
              <w:spacing w:before="20" w:after="20" w:line="276" w:lineRule="auto"/>
              <w:ind w:firstLine="0"/>
            </w:pPr>
            <w:r/>
            <w:r>
              <w:rPr>
                <w:rFonts w:ascii="Times New Roman" w:hAnsi="Times New Roman" w:eastAsia="宋体"/>
                <w:b w:val="0"/>
                <w:i w:val="0"/>
                <w:sz w:val="21"/>
              </w:rPr>
              <w:t>配置审批流程与预警规则，维护主数据与权限</w:t>
            </w:r>
          </w:p>
        </w:tc>
        <w:tc>
          <w:tcPr>
            <w:tcW w:type="dxa" w:w="3118"/>
          </w:tcPr>
          <w:p>
            <w:pPr>
              <w:spacing w:before="20" w:after="20" w:line="276" w:lineRule="auto"/>
              <w:ind w:firstLine="0"/>
            </w:pPr>
            <w:r/>
            <w:r>
              <w:rPr>
                <w:rFonts w:ascii="Times New Roman" w:hAnsi="Times New Roman" w:eastAsia="宋体"/>
                <w:b w:val="0"/>
                <w:i w:val="0"/>
                <w:sz w:val="21"/>
              </w:rPr>
              <w:t>审批管理、预警规则配置、账户中心</w:t>
            </w:r>
          </w:p>
        </w:tc>
      </w:tr>
    </w:tbl>
    <w:p>
      <w:pPr>
        <w:spacing w:before="0" w:after="0" w:line="240" w:lineRule="auto"/>
      </w:pPr>
    </w:p>
    <w:p>
      <w:pPr>
        <w:pStyle w:val="Heading2"/>
        <w:keepNext/>
        <w:spacing w:before="240" w:after="120" w:line="312" w:lineRule="auto"/>
        <w:ind w:firstLine="0"/>
      </w:pPr>
      <w:r>
        <w:rPr>
          <w:rFonts w:ascii="Times New Roman" w:hAnsi="Times New Roman" w:eastAsia="黑体"/>
          <w:b/>
          <w:i w:val="0"/>
          <w:sz w:val="28"/>
        </w:rPr>
        <w:t>2.4　模块地图</w:t>
      </w:r>
    </w:p>
    <w:tbl>
      <w:tblPr>
        <w:tblStyle w:val="TableGrid"/>
        <w:tblW w:type="auto" w:w="0"/>
        <w:jc w:val="center"/>
        <w:tblLayout w:type="fixed"/>
        <w:tblLook w:firstColumn="1" w:firstRow="1" w:lastColumn="0" w:lastRow="0" w:noHBand="0" w:noVBand="1" w:val="04A0"/>
      </w:tblPr>
      <w:tblGrid>
        <w:gridCol w:w="4479"/>
        <w:gridCol w:w="4479"/>
      </w:tblGrid>
      <w:tr>
        <w:trPr>
          <w:tblHeader w:val="true"/>
        </w:trPr>
        <w:tc>
          <w:tcPr>
            <w:tcW w:type="dxa" w:w="1701"/>
            <w:shd w:val="clear" w:color="auto" w:fill="DCE6F1"/>
          </w:tcPr>
          <w:p>
            <w:pPr>
              <w:spacing w:before="40" w:after="40" w:line="276" w:lineRule="auto"/>
              <w:jc w:val="center"/>
            </w:pPr>
            <w:r/>
            <w:r>
              <w:rPr>
                <w:rFonts w:ascii="Times New Roman" w:hAnsi="Times New Roman" w:eastAsia="黑体"/>
                <w:b/>
                <w:i w:val="0"/>
                <w:sz w:val="21"/>
              </w:rPr>
              <w:t>一级菜单</w:t>
            </w:r>
          </w:p>
        </w:tc>
        <w:tc>
          <w:tcPr>
            <w:tcW w:type="dxa" w:w="7370"/>
            <w:shd w:val="clear" w:color="auto" w:fill="DCE6F1"/>
          </w:tcPr>
          <w:p>
            <w:pPr>
              <w:spacing w:before="40" w:after="40" w:line="276" w:lineRule="auto"/>
              <w:jc w:val="center"/>
            </w:pPr>
            <w:r/>
            <w:r>
              <w:rPr>
                <w:rFonts w:ascii="Times New Roman" w:hAnsi="Times New Roman" w:eastAsia="黑体"/>
                <w:b/>
                <w:i w:val="0"/>
                <w:sz w:val="21"/>
              </w:rPr>
              <w:t>二级模块</w:t>
            </w:r>
          </w:p>
        </w:tc>
      </w:tr>
      <w:tr>
        <w:tc>
          <w:tcPr>
            <w:tcW w:type="dxa" w:w="1701"/>
          </w:tcPr>
          <w:p>
            <w:pPr>
              <w:spacing w:before="20" w:after="20" w:line="276" w:lineRule="auto"/>
              <w:ind w:firstLine="0"/>
            </w:pPr>
            <w:r/>
            <w:r>
              <w:rPr>
                <w:rFonts w:ascii="Times New Roman" w:hAnsi="Times New Roman" w:eastAsia="宋体"/>
                <w:b w:val="0"/>
                <w:i w:val="0"/>
                <w:sz w:val="21"/>
              </w:rPr>
              <w:t>准入管理</w:t>
            </w:r>
          </w:p>
        </w:tc>
        <w:tc>
          <w:tcPr>
            <w:tcW w:type="dxa" w:w="7370"/>
          </w:tcPr>
          <w:p>
            <w:pPr>
              <w:spacing w:before="20" w:after="20" w:line="276" w:lineRule="auto"/>
              <w:ind w:firstLine="0"/>
            </w:pPr>
            <w:r/>
            <w:r>
              <w:rPr>
                <w:rFonts w:ascii="Times New Roman" w:hAnsi="Times New Roman" w:eastAsia="宋体"/>
                <w:b w:val="0"/>
                <w:i w:val="0"/>
                <w:sz w:val="21"/>
              </w:rPr>
              <w:t>项目准入、客户准入、黑名单管理</w:t>
            </w:r>
          </w:p>
        </w:tc>
      </w:tr>
      <w:tr>
        <w:tc>
          <w:tcPr>
            <w:tcW w:type="dxa" w:w="1701"/>
          </w:tcPr>
          <w:p>
            <w:pPr>
              <w:spacing w:before="20" w:after="20" w:line="276" w:lineRule="auto"/>
              <w:ind w:firstLine="0"/>
            </w:pPr>
            <w:r/>
            <w:r>
              <w:rPr>
                <w:rFonts w:ascii="Times New Roman" w:hAnsi="Times New Roman" w:eastAsia="宋体"/>
                <w:b w:val="0"/>
                <w:i w:val="0"/>
                <w:sz w:val="21"/>
              </w:rPr>
              <w:t>数字供应链</w:t>
            </w:r>
          </w:p>
        </w:tc>
        <w:tc>
          <w:tcPr>
            <w:tcW w:type="dxa" w:w="7370"/>
          </w:tcPr>
          <w:p>
            <w:pPr>
              <w:spacing w:before="20" w:after="20" w:line="276" w:lineRule="auto"/>
              <w:ind w:firstLine="0"/>
            </w:pPr>
            <w:r/>
            <w:r>
              <w:rPr>
                <w:rFonts w:ascii="Times New Roman" w:hAnsi="Times New Roman" w:eastAsia="宋体"/>
                <w:b w:val="0"/>
                <w:i w:val="0"/>
                <w:sz w:val="21"/>
              </w:rPr>
              <w:t>合同管理、业务线管理、收发货管理、货转管理、付款管理、退款管理、回款管理、保证金管理、结算单管理、发票管理、盯市管理、追保函管理、审批管理</w:t>
            </w:r>
          </w:p>
        </w:tc>
      </w:tr>
      <w:tr>
        <w:tc>
          <w:tcPr>
            <w:tcW w:type="dxa" w:w="1701"/>
          </w:tcPr>
          <w:p>
            <w:pPr>
              <w:spacing w:before="20" w:after="20" w:line="276" w:lineRule="auto"/>
              <w:ind w:firstLine="0"/>
            </w:pPr>
            <w:r/>
            <w:r>
              <w:rPr>
                <w:rFonts w:ascii="Times New Roman" w:hAnsi="Times New Roman" w:eastAsia="宋体"/>
                <w:b w:val="0"/>
                <w:i w:val="0"/>
                <w:sz w:val="21"/>
              </w:rPr>
              <w:t>仓储管理</w:t>
            </w:r>
          </w:p>
        </w:tc>
        <w:tc>
          <w:tcPr>
            <w:tcW w:type="dxa" w:w="7370"/>
          </w:tcPr>
          <w:p>
            <w:pPr>
              <w:spacing w:before="20" w:after="20" w:line="276" w:lineRule="auto"/>
              <w:ind w:firstLine="0"/>
            </w:pPr>
            <w:r/>
            <w:r>
              <w:rPr>
                <w:rFonts w:ascii="Times New Roman" w:hAnsi="Times New Roman" w:eastAsia="宋体"/>
                <w:b w:val="0"/>
                <w:i w:val="0"/>
                <w:sz w:val="21"/>
              </w:rPr>
              <w:t>入库管理、出库管理、提放货管理、库存管理、视频监控、巡库管理、系统管理</w:t>
            </w:r>
          </w:p>
        </w:tc>
      </w:tr>
      <w:tr>
        <w:tc>
          <w:tcPr>
            <w:tcW w:type="dxa" w:w="1701"/>
          </w:tcPr>
          <w:p>
            <w:pPr>
              <w:spacing w:before="20" w:after="20" w:line="276" w:lineRule="auto"/>
              <w:ind w:firstLine="0"/>
            </w:pPr>
            <w:r/>
            <w:r>
              <w:rPr>
                <w:rFonts w:ascii="Times New Roman" w:hAnsi="Times New Roman" w:eastAsia="宋体"/>
                <w:b w:val="0"/>
                <w:i w:val="0"/>
                <w:sz w:val="21"/>
              </w:rPr>
              <w:t>数据中心</w:t>
            </w:r>
          </w:p>
        </w:tc>
        <w:tc>
          <w:tcPr>
            <w:tcW w:type="dxa" w:w="7370"/>
          </w:tcPr>
          <w:p>
            <w:pPr>
              <w:spacing w:before="20" w:after="20" w:line="276" w:lineRule="auto"/>
              <w:ind w:firstLine="0"/>
            </w:pPr>
            <w:r/>
            <w:r>
              <w:rPr>
                <w:rFonts w:ascii="Times New Roman" w:hAnsi="Times New Roman" w:eastAsia="宋体"/>
                <w:b w:val="0"/>
                <w:i w:val="0"/>
                <w:sz w:val="21"/>
              </w:rPr>
              <w:t>驾驶舱、项目台账、业务线台账、资金占压、库存明细、应收应付、合规验证报告</w:t>
            </w:r>
          </w:p>
        </w:tc>
      </w:tr>
      <w:tr>
        <w:tc>
          <w:tcPr>
            <w:tcW w:type="dxa" w:w="1701"/>
          </w:tcPr>
          <w:p>
            <w:pPr>
              <w:spacing w:before="20" w:after="20" w:line="276" w:lineRule="auto"/>
              <w:ind w:firstLine="0"/>
            </w:pPr>
            <w:r/>
            <w:r>
              <w:rPr>
                <w:rFonts w:ascii="Times New Roman" w:hAnsi="Times New Roman" w:eastAsia="宋体"/>
                <w:b w:val="0"/>
                <w:i w:val="0"/>
                <w:sz w:val="21"/>
              </w:rPr>
              <w:t>预警中心</w:t>
            </w:r>
          </w:p>
        </w:tc>
        <w:tc>
          <w:tcPr>
            <w:tcW w:type="dxa" w:w="7370"/>
          </w:tcPr>
          <w:p>
            <w:pPr>
              <w:spacing w:before="20" w:after="20" w:line="276" w:lineRule="auto"/>
              <w:ind w:firstLine="0"/>
            </w:pPr>
            <w:r/>
            <w:r>
              <w:rPr>
                <w:rFonts w:ascii="Times New Roman" w:hAnsi="Times New Roman" w:eastAsia="宋体"/>
                <w:b w:val="0"/>
                <w:i w:val="0"/>
                <w:sz w:val="21"/>
              </w:rPr>
              <w:t>预警管理、预警规则配置</w:t>
            </w:r>
          </w:p>
        </w:tc>
      </w:tr>
      <w:tr>
        <w:tc>
          <w:tcPr>
            <w:tcW w:type="dxa" w:w="1701"/>
          </w:tcPr>
          <w:p>
            <w:pPr>
              <w:spacing w:before="20" w:after="20" w:line="276" w:lineRule="auto"/>
              <w:ind w:firstLine="0"/>
            </w:pPr>
            <w:r/>
            <w:r>
              <w:rPr>
                <w:rFonts w:ascii="Times New Roman" w:hAnsi="Times New Roman" w:eastAsia="宋体"/>
                <w:b w:val="0"/>
                <w:i w:val="0"/>
                <w:sz w:val="21"/>
              </w:rPr>
              <w:t>账户中心</w:t>
            </w:r>
          </w:p>
        </w:tc>
        <w:tc>
          <w:tcPr>
            <w:tcW w:type="dxa" w:w="7370"/>
          </w:tcPr>
          <w:p>
            <w:pPr>
              <w:spacing w:before="20" w:after="20" w:line="276" w:lineRule="auto"/>
              <w:ind w:firstLine="0"/>
            </w:pPr>
            <w:r/>
            <w:r>
              <w:rPr>
                <w:rFonts w:ascii="Times New Roman" w:hAnsi="Times New Roman" w:eastAsia="宋体"/>
                <w:b w:val="0"/>
                <w:i w:val="0"/>
                <w:sz w:val="21"/>
              </w:rPr>
              <w:t>个人管理、企业管理</w:t>
            </w:r>
          </w:p>
        </w:tc>
      </w:tr>
      <w:tr>
        <w:tc>
          <w:tcPr>
            <w:tcW w:type="dxa" w:w="1701"/>
          </w:tcPr>
          <w:p>
            <w:pPr>
              <w:spacing w:before="20" w:after="20" w:line="276" w:lineRule="auto"/>
              <w:ind w:firstLine="0"/>
            </w:pPr>
            <w:r/>
            <w:r>
              <w:rPr>
                <w:rFonts w:ascii="Times New Roman" w:hAnsi="Times New Roman" w:eastAsia="宋体"/>
                <w:b w:val="0"/>
                <w:i w:val="0"/>
                <w:sz w:val="21"/>
              </w:rPr>
              <w:t>工作台</w:t>
            </w:r>
          </w:p>
        </w:tc>
        <w:tc>
          <w:tcPr>
            <w:tcW w:type="dxa" w:w="7370"/>
          </w:tcPr>
          <w:p>
            <w:pPr>
              <w:spacing w:before="20" w:after="20" w:line="276" w:lineRule="auto"/>
              <w:ind w:firstLine="0"/>
            </w:pPr>
            <w:r/>
            <w:r>
              <w:rPr>
                <w:rFonts w:ascii="Times New Roman" w:hAnsi="Times New Roman" w:eastAsia="宋体"/>
                <w:b w:val="0"/>
                <w:i w:val="0"/>
                <w:sz w:val="21"/>
              </w:rPr>
              <w:t>工作台（待办与经营概览）</w:t>
            </w:r>
          </w:p>
        </w:tc>
      </w:tr>
    </w:tbl>
    <w:p>
      <w:pPr>
        <w:spacing w:before="0" w:after="0" w:line="240" w:lineRule="auto"/>
      </w:pPr>
    </w:p>
    <w:p>
      <w:pPr>
        <w:pStyle w:val="Heading2"/>
        <w:keepNext/>
        <w:spacing w:before="240" w:after="120" w:line="312" w:lineRule="auto"/>
        <w:ind w:firstLine="0"/>
      </w:pPr>
      <w:r>
        <w:rPr>
          <w:rFonts w:ascii="Times New Roman" w:hAnsi="Times New Roman" w:eastAsia="黑体"/>
          <w:b/>
          <w:i w:val="0"/>
          <w:sz w:val="28"/>
        </w:rPr>
        <w:t>2.5　核心业务链路</w:t>
      </w:r>
    </w:p>
    <w:p>
      <w:pPr>
        <w:spacing w:before="0" w:after="120" w:line="360" w:lineRule="auto"/>
      </w:pPr>
      <w:r>
        <w:rPr>
          <w:rFonts w:ascii="Times New Roman" w:hAnsi="Times New Roman" w:eastAsia="宋体"/>
          <w:b w:val="0"/>
          <w:i w:val="0"/>
          <w:sz w:val="24"/>
        </w:rPr>
        <w:t>平台的主链路以单据流转为主线：</w:t>
      </w:r>
    </w:p>
    <w:p>
      <w:pPr>
        <w:spacing w:before="0" w:after="60" w:line="336" w:lineRule="auto"/>
        <w:ind w:left="510" w:hanging="510"/>
      </w:pPr>
      <w:r>
        <w:rPr>
          <w:rFonts w:ascii="Times New Roman" w:hAnsi="Times New Roman" w:eastAsia="宋体"/>
          <w:b w:val="0"/>
          <w:i w:val="0"/>
          <w:sz w:val="24"/>
        </w:rPr>
        <w:t>1. 准入：立项（关联客户、风险扫描、黑灰名单校验）→ 客户准入审批 → 准入通过后方可发起合同</w:t>
      </w:r>
    </w:p>
    <w:p>
      <w:pPr>
        <w:spacing w:before="0" w:after="60" w:line="336" w:lineRule="auto"/>
        <w:ind w:left="510" w:hanging="510"/>
      </w:pPr>
      <w:r>
        <w:rPr>
          <w:rFonts w:ascii="Times New Roman" w:hAnsi="Times New Roman" w:eastAsia="宋体"/>
          <w:b w:val="0"/>
          <w:i w:val="0"/>
          <w:sz w:val="24"/>
        </w:rPr>
        <w:t>2. 合同：采购/销售/补充协议签订，合同与业务线关联，作为履约与资金计提的依据</w:t>
      </w:r>
    </w:p>
    <w:p>
      <w:pPr>
        <w:spacing w:before="0" w:after="60" w:line="336" w:lineRule="auto"/>
        <w:ind w:left="510" w:hanging="510"/>
      </w:pPr>
      <w:r>
        <w:rPr>
          <w:rFonts w:ascii="Times New Roman" w:hAnsi="Times New Roman" w:eastAsia="宋体"/>
          <w:b w:val="0"/>
          <w:i w:val="0"/>
          <w:sz w:val="24"/>
        </w:rPr>
        <w:t>3. 履约：收发货登记实际货物流转 → 货转管理完成货权转移 → 仓储出入库、提放货完成实物作业</w:t>
      </w:r>
    </w:p>
    <w:p>
      <w:pPr>
        <w:spacing w:before="0" w:after="60" w:line="336" w:lineRule="auto"/>
        <w:ind w:left="510" w:hanging="510"/>
      </w:pPr>
      <w:r>
        <w:rPr>
          <w:rFonts w:ascii="Times New Roman" w:hAnsi="Times New Roman" w:eastAsia="宋体"/>
          <w:b w:val="0"/>
          <w:i w:val="0"/>
          <w:sz w:val="24"/>
        </w:rPr>
        <w:t>4. 结算与资金：结算单生成 → 付款/退款/回款线下操作后上传凭证并在系统内确认 → 发票与保证金处理</w:t>
      </w:r>
    </w:p>
    <w:p>
      <w:pPr>
        <w:spacing w:before="0" w:after="60" w:line="336" w:lineRule="auto"/>
        <w:ind w:left="510" w:hanging="510"/>
      </w:pPr>
      <w:r>
        <w:rPr>
          <w:rFonts w:ascii="Times New Roman" w:hAnsi="Times New Roman" w:eastAsia="宋体"/>
          <w:b w:val="0"/>
          <w:i w:val="0"/>
          <w:sz w:val="24"/>
        </w:rPr>
        <w:t>5. 风控与监控：盯市价格监控 → 预警触发与处置 → 审批链路串起各节点待办与终审</w:t>
      </w:r>
    </w:p>
    <w:p>
      <w:pPr>
        <w:spacing w:before="0" w:after="60" w:line="336" w:lineRule="auto"/>
        <w:ind w:left="510" w:hanging="510"/>
      </w:pPr>
      <w:r>
        <w:rPr>
          <w:rFonts w:ascii="Times New Roman" w:hAnsi="Times New Roman" w:eastAsia="宋体"/>
          <w:b w:val="0"/>
          <w:i w:val="0"/>
          <w:sz w:val="24"/>
        </w:rPr>
        <w:t>6. 数据：驾驶舱与台账报表汇总项目、业务线、资金占压、库存、应收应付与合规验证结果</w:t>
      </w:r>
    </w:p>
    <w:p>
      <w:r>
        <w:br w:type="page"/>
      </w:r>
    </w:p>
    <w:p>
      <w:pPr>
        <w:pStyle w:val="Heading1"/>
        <w:keepNext/>
        <w:spacing w:before="360" w:after="200" w:line="312" w:lineRule="auto"/>
        <w:ind w:firstLine="0"/>
      </w:pPr>
      <w:r>
        <w:rPr>
          <w:rFonts w:ascii="Times New Roman" w:hAnsi="Times New Roman" w:eastAsia="黑体"/>
          <w:b/>
          <w:i w:val="0"/>
          <w:sz w:val="32"/>
        </w:rPr>
        <w:t>3　全局规范与共性约定</w:t>
      </w:r>
    </w:p>
    <w:p>
      <w:pPr>
        <w:pStyle w:val="Heading2"/>
        <w:keepNext/>
        <w:spacing w:before="240" w:after="120" w:line="312" w:lineRule="auto"/>
        <w:ind w:firstLine="0"/>
      </w:pPr>
      <w:r>
        <w:rPr>
          <w:rFonts w:ascii="Times New Roman" w:hAnsi="Times New Roman" w:eastAsia="黑体"/>
          <w:b/>
          <w:i w:val="0"/>
          <w:sz w:val="28"/>
        </w:rPr>
        <w:t>3.1　权限口径（当前状态）</w:t>
      </w:r>
    </w:p>
    <w:p>
      <w:pPr>
        <w:spacing w:before="0" w:after="120" w:line="360" w:lineRule="auto"/>
      </w:pPr>
      <w:r>
        <w:rPr>
          <w:rFonts w:ascii="Times New Roman" w:hAnsi="Times New Roman" w:eastAsia="宋体"/>
          <w:b w:val="0"/>
          <w:i w:val="0"/>
          <w:sz w:val="24"/>
        </w:rPr>
        <w:t>业务方已明确：本期未划分角色权限，所有角色均为系统全量权限。本章及各模块中的角色，仅表示典型使用角色与业务分工，不构成权限分级。权限模型与数据权限划分待后续版本明确。</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361"/>
            <w:shd w:val="clear" w:color="auto" w:fill="DCE6F1"/>
          </w:tcPr>
          <w:p>
            <w:pPr>
              <w:spacing w:before="40" w:after="40" w:line="276" w:lineRule="auto"/>
              <w:jc w:val="center"/>
            </w:pPr>
            <w:r/>
            <w:r>
              <w:rPr>
                <w:rFonts w:ascii="Times New Roman" w:hAnsi="Times New Roman" w:eastAsia="黑体"/>
                <w:b/>
                <w:i w:val="0"/>
                <w:sz w:val="21"/>
              </w:rPr>
              <w:t>事项</w:t>
            </w:r>
          </w:p>
        </w:tc>
        <w:tc>
          <w:tcPr>
            <w:tcW w:type="dxa" w:w="4876"/>
            <w:shd w:val="clear" w:color="auto" w:fill="DCE6F1"/>
          </w:tcPr>
          <w:p>
            <w:pPr>
              <w:spacing w:before="40" w:after="40" w:line="276" w:lineRule="auto"/>
              <w:jc w:val="center"/>
            </w:pPr>
            <w:r/>
            <w:r>
              <w:rPr>
                <w:rFonts w:ascii="Times New Roman" w:hAnsi="Times New Roman" w:eastAsia="黑体"/>
                <w:b/>
                <w:i w:val="0"/>
                <w:sz w:val="21"/>
              </w:rPr>
              <w:t>当前口径</w:t>
            </w:r>
          </w:p>
        </w:tc>
        <w:tc>
          <w:tcPr>
            <w:tcW w:type="dxa" w:w="2835"/>
            <w:shd w:val="clear" w:color="auto" w:fill="DCE6F1"/>
          </w:tcPr>
          <w:p>
            <w:pPr>
              <w:spacing w:before="40" w:after="40" w:line="276" w:lineRule="auto"/>
              <w:jc w:val="center"/>
            </w:pPr>
            <w:r/>
            <w:r>
              <w:rPr>
                <w:rFonts w:ascii="Times New Roman" w:hAnsi="Times New Roman" w:eastAsia="黑体"/>
                <w:b/>
                <w:i w:val="0"/>
                <w:sz w:val="21"/>
              </w:rPr>
              <w:t>后续</w:t>
            </w:r>
          </w:p>
        </w:tc>
      </w:tr>
      <w:tr>
        <w:tc>
          <w:tcPr>
            <w:tcW w:type="dxa" w:w="1361"/>
          </w:tcPr>
          <w:p>
            <w:pPr>
              <w:spacing w:before="20" w:after="20" w:line="276" w:lineRule="auto"/>
              <w:ind w:firstLine="0"/>
            </w:pPr>
            <w:r/>
            <w:r>
              <w:rPr>
                <w:rFonts w:ascii="Times New Roman" w:hAnsi="Times New Roman" w:eastAsia="宋体"/>
                <w:b w:val="0"/>
                <w:i w:val="0"/>
                <w:sz w:val="21"/>
              </w:rPr>
              <w:t>功能权限</w:t>
            </w:r>
          </w:p>
        </w:tc>
        <w:tc>
          <w:tcPr>
            <w:tcW w:type="dxa" w:w="4876"/>
          </w:tcPr>
          <w:p>
            <w:pPr>
              <w:spacing w:before="20" w:after="20" w:line="276" w:lineRule="auto"/>
              <w:ind w:firstLine="0"/>
            </w:pPr>
            <w:r/>
            <w:r>
              <w:rPr>
                <w:rFonts w:ascii="Times New Roman" w:hAnsi="Times New Roman" w:eastAsia="宋体"/>
                <w:b w:val="0"/>
                <w:i w:val="0"/>
                <w:sz w:val="21"/>
              </w:rPr>
              <w:t>系统全量权限，所有登录用户可见全部已上线菜单与功能</w:t>
            </w:r>
          </w:p>
        </w:tc>
        <w:tc>
          <w:tcPr>
            <w:tcW w:type="dxa" w:w="2835"/>
          </w:tcPr>
          <w:p>
            <w:pPr>
              <w:spacing w:before="20" w:after="20" w:line="276" w:lineRule="auto"/>
              <w:ind w:firstLine="0"/>
            </w:pPr>
            <w:r/>
            <w:r>
              <w:rPr>
                <w:rFonts w:ascii="Times New Roman" w:hAnsi="Times New Roman" w:eastAsia="宋体"/>
                <w:b w:val="0"/>
                <w:i w:val="0"/>
                <w:sz w:val="21"/>
              </w:rPr>
              <w:t>待业务方明确角色-功能矩阵</w:t>
            </w:r>
          </w:p>
        </w:tc>
      </w:tr>
      <w:tr>
        <w:tc>
          <w:tcPr>
            <w:tcW w:type="dxa" w:w="1361"/>
          </w:tcPr>
          <w:p>
            <w:pPr>
              <w:spacing w:before="20" w:after="20" w:line="276" w:lineRule="auto"/>
              <w:ind w:firstLine="0"/>
            </w:pPr>
            <w:r/>
            <w:r>
              <w:rPr>
                <w:rFonts w:ascii="Times New Roman" w:hAnsi="Times New Roman" w:eastAsia="宋体"/>
                <w:b w:val="0"/>
                <w:i w:val="0"/>
                <w:sz w:val="21"/>
              </w:rPr>
              <w:t>数据权限</w:t>
            </w:r>
          </w:p>
        </w:tc>
        <w:tc>
          <w:tcPr>
            <w:tcW w:type="dxa" w:w="4876"/>
          </w:tcPr>
          <w:p>
            <w:pPr>
              <w:spacing w:before="20" w:after="20" w:line="276" w:lineRule="auto"/>
              <w:ind w:firstLine="0"/>
            </w:pPr>
            <w:r/>
            <w:r>
              <w:rPr>
                <w:rFonts w:ascii="Times New Roman" w:hAnsi="Times New Roman" w:eastAsia="宋体"/>
                <w:b w:val="0"/>
                <w:i w:val="0"/>
                <w:sz w:val="21"/>
              </w:rPr>
              <w:t>不做数据行级隔离，按单据归属与业务筛选查看</w:t>
            </w:r>
          </w:p>
        </w:tc>
        <w:tc>
          <w:tcPr>
            <w:tcW w:type="dxa" w:w="2835"/>
          </w:tcPr>
          <w:p>
            <w:pPr>
              <w:spacing w:before="20" w:after="20" w:line="276" w:lineRule="auto"/>
              <w:ind w:firstLine="0"/>
            </w:pPr>
            <w:r/>
            <w:r>
              <w:rPr>
                <w:rFonts w:ascii="Times New Roman" w:hAnsi="Times New Roman" w:eastAsia="宋体"/>
                <w:b w:val="0"/>
                <w:i w:val="0"/>
                <w:sz w:val="21"/>
              </w:rPr>
              <w:t>待明确组织维度的数据隔离规则</w:t>
            </w:r>
          </w:p>
        </w:tc>
      </w:tr>
      <w:tr>
        <w:tc>
          <w:tcPr>
            <w:tcW w:type="dxa" w:w="1361"/>
          </w:tcPr>
          <w:p>
            <w:pPr>
              <w:spacing w:before="20" w:after="20" w:line="276" w:lineRule="auto"/>
              <w:ind w:firstLine="0"/>
            </w:pPr>
            <w:r/>
            <w:r>
              <w:rPr>
                <w:rFonts w:ascii="Times New Roman" w:hAnsi="Times New Roman" w:eastAsia="宋体"/>
                <w:b w:val="0"/>
                <w:i w:val="0"/>
                <w:sz w:val="21"/>
              </w:rPr>
              <w:t>敏感字段</w:t>
            </w:r>
          </w:p>
        </w:tc>
        <w:tc>
          <w:tcPr>
            <w:tcW w:type="dxa" w:w="4876"/>
          </w:tcPr>
          <w:p>
            <w:pPr>
              <w:spacing w:before="20" w:after="20" w:line="276" w:lineRule="auto"/>
              <w:ind w:firstLine="0"/>
            </w:pPr>
            <w:r/>
            <w:r>
              <w:rPr>
                <w:rFonts w:ascii="Times New Roman" w:hAnsi="Times New Roman" w:eastAsia="宋体"/>
                <w:b w:val="0"/>
                <w:i w:val="0"/>
                <w:sz w:val="21"/>
              </w:rPr>
              <w:t>运行态可查看真实值，默认打码展示，手动点击查看并留痕</w:t>
            </w:r>
          </w:p>
        </w:tc>
        <w:tc>
          <w:tcPr>
            <w:tcW w:type="dxa" w:w="2835"/>
          </w:tcPr>
          <w:p>
            <w:pPr>
              <w:spacing w:before="20" w:after="20" w:line="276" w:lineRule="auto"/>
              <w:ind w:firstLine="0"/>
            </w:pPr>
            <w:r/>
            <w:r>
              <w:rPr>
                <w:rFonts w:ascii="Times New Roman" w:hAnsi="Times New Roman" w:eastAsia="宋体"/>
                <w:b w:val="0"/>
                <w:i w:val="0"/>
                <w:sz w:val="21"/>
              </w:rPr>
              <w:t>保留留痕机制</w:t>
            </w:r>
          </w:p>
        </w:tc>
      </w:tr>
      <w:tr>
        <w:tc>
          <w:tcPr>
            <w:tcW w:type="dxa" w:w="1361"/>
          </w:tcPr>
          <w:p>
            <w:pPr>
              <w:spacing w:before="20" w:after="20" w:line="276" w:lineRule="auto"/>
              <w:ind w:firstLine="0"/>
            </w:pPr>
            <w:r/>
            <w:r>
              <w:rPr>
                <w:rFonts w:ascii="Times New Roman" w:hAnsi="Times New Roman" w:eastAsia="宋体"/>
                <w:b w:val="0"/>
                <w:i w:val="0"/>
                <w:sz w:val="21"/>
              </w:rPr>
              <w:t>操作留痕</w:t>
            </w:r>
          </w:p>
        </w:tc>
        <w:tc>
          <w:tcPr>
            <w:tcW w:type="dxa" w:w="4876"/>
          </w:tcPr>
          <w:p>
            <w:pPr>
              <w:spacing w:before="20" w:after="20" w:line="276" w:lineRule="auto"/>
              <w:ind w:firstLine="0"/>
            </w:pPr>
            <w:r/>
            <w:r>
              <w:rPr>
                <w:rFonts w:ascii="Times New Roman" w:hAnsi="Times New Roman" w:eastAsia="宋体"/>
                <w:b w:val="0"/>
                <w:i w:val="0"/>
                <w:sz w:val="21"/>
              </w:rPr>
              <w:t>关键操作（查看敏感信息、提交、撤回、审批）记录操作人与时间</w:t>
            </w:r>
          </w:p>
        </w:tc>
        <w:tc>
          <w:tcPr>
            <w:tcW w:type="dxa" w:w="2835"/>
          </w:tcPr>
          <w:p>
            <w:pPr>
              <w:spacing w:before="20" w:after="20" w:line="276" w:lineRule="auto"/>
              <w:ind w:firstLine="0"/>
            </w:pPr>
            <w:r/>
            <w:r>
              <w:rPr>
                <w:rFonts w:ascii="Times New Roman" w:hAnsi="Times New Roman" w:eastAsia="宋体"/>
                <w:b w:val="0"/>
                <w:i w:val="0"/>
                <w:sz w:val="21"/>
              </w:rPr>
              <w:t>持续</w:t>
            </w:r>
          </w:p>
        </w:tc>
      </w:tr>
    </w:tbl>
    <w:p>
      <w:pPr>
        <w:spacing w:before="0" w:after="0" w:line="240" w:lineRule="auto"/>
      </w:pPr>
    </w:p>
    <w:p>
      <w:pPr>
        <w:pStyle w:val="Heading2"/>
        <w:keepNext/>
        <w:spacing w:before="240" w:after="120" w:line="312" w:lineRule="auto"/>
        <w:ind w:firstLine="0"/>
      </w:pPr>
      <w:r>
        <w:rPr>
          <w:rFonts w:ascii="Times New Roman" w:hAnsi="Times New Roman" w:eastAsia="黑体"/>
          <w:b/>
          <w:i w:val="0"/>
          <w:sz w:val="28"/>
        </w:rPr>
        <w:t>3.2　通用交互约定</w:t>
      </w:r>
    </w:p>
    <w:tbl>
      <w:tblPr>
        <w:tblStyle w:val="TableGrid"/>
        <w:tblW w:type="auto" w:w="0"/>
        <w:jc w:val="center"/>
        <w:tblLayout w:type="fixed"/>
        <w:tblLook w:firstColumn="1" w:firstRow="1" w:lastColumn="0" w:lastRow="0" w:noHBand="0" w:noVBand="1" w:val="04A0"/>
      </w:tblPr>
      <w:tblGrid>
        <w:gridCol w:w="4479"/>
        <w:gridCol w:w="4479"/>
      </w:tblGrid>
      <w:tr>
        <w:trPr>
          <w:tblHeader w:val="true"/>
        </w:trPr>
        <w:tc>
          <w:tcPr>
            <w:tcW w:type="dxa" w:w="1474"/>
            <w:shd w:val="clear" w:color="auto" w:fill="DCE6F1"/>
          </w:tcPr>
          <w:p>
            <w:pPr>
              <w:spacing w:before="40" w:after="40" w:line="276" w:lineRule="auto"/>
              <w:jc w:val="center"/>
            </w:pPr>
            <w:r/>
            <w:r>
              <w:rPr>
                <w:rFonts w:ascii="Times New Roman" w:hAnsi="Times New Roman" w:eastAsia="黑体"/>
                <w:b/>
                <w:i w:val="0"/>
                <w:sz w:val="21"/>
              </w:rPr>
              <w:t>约定项</w:t>
            </w:r>
          </w:p>
        </w:tc>
        <w:tc>
          <w:tcPr>
            <w:tcW w:type="dxa" w:w="7597"/>
            <w:shd w:val="clear" w:color="auto" w:fill="DCE6F1"/>
          </w:tcPr>
          <w:p>
            <w:pPr>
              <w:spacing w:before="40" w:after="40" w:line="276" w:lineRule="auto"/>
              <w:jc w:val="center"/>
            </w:pPr>
            <w:r/>
            <w:r>
              <w:rPr>
                <w:rFonts w:ascii="Times New Roman" w:hAnsi="Times New Roman" w:eastAsia="黑体"/>
                <w:b/>
                <w:i w:val="0"/>
                <w:sz w:val="21"/>
              </w:rPr>
              <w:t>规则</w:t>
            </w:r>
          </w:p>
        </w:tc>
      </w:tr>
      <w:tr>
        <w:tc>
          <w:tcPr>
            <w:tcW w:type="dxa" w:w="1474"/>
          </w:tcPr>
          <w:p>
            <w:pPr>
              <w:spacing w:before="20" w:after="20" w:line="276" w:lineRule="auto"/>
              <w:ind w:firstLine="0"/>
            </w:pPr>
            <w:r/>
            <w:r>
              <w:rPr>
                <w:rFonts w:ascii="Times New Roman" w:hAnsi="Times New Roman" w:eastAsia="宋体"/>
                <w:b w:val="0"/>
                <w:i w:val="0"/>
                <w:sz w:val="21"/>
              </w:rPr>
              <w:t>列表页</w:t>
            </w:r>
          </w:p>
        </w:tc>
        <w:tc>
          <w:tcPr>
            <w:tcW w:type="dxa" w:w="7597"/>
          </w:tcPr>
          <w:p>
            <w:pPr>
              <w:spacing w:before="20" w:after="20" w:line="276" w:lineRule="auto"/>
              <w:ind w:firstLine="0"/>
            </w:pPr>
            <w:r/>
            <w:r>
              <w:rPr>
                <w:rFonts w:ascii="Times New Roman" w:hAnsi="Times New Roman" w:eastAsia="宋体"/>
                <w:b w:val="0"/>
                <w:i w:val="0"/>
                <w:sz w:val="21"/>
              </w:rPr>
              <w:t>左标题区 + 筛选区 + 表格区 + 分页；筛选实时生效，不设「查询 / 重置」按钮；已选条件以标签展示并支持单独删除与一键清除</w:t>
            </w:r>
          </w:p>
        </w:tc>
      </w:tr>
      <w:tr>
        <w:tc>
          <w:tcPr>
            <w:tcW w:type="dxa" w:w="1474"/>
          </w:tcPr>
          <w:p>
            <w:pPr>
              <w:spacing w:before="20" w:after="20" w:line="276" w:lineRule="auto"/>
              <w:ind w:firstLine="0"/>
            </w:pPr>
            <w:r/>
            <w:r>
              <w:rPr>
                <w:rFonts w:ascii="Times New Roman" w:hAnsi="Times New Roman" w:eastAsia="宋体"/>
                <w:b w:val="0"/>
                <w:i w:val="0"/>
                <w:sz w:val="21"/>
              </w:rPr>
              <w:t>表单页</w:t>
            </w:r>
          </w:p>
        </w:tc>
        <w:tc>
          <w:tcPr>
            <w:tcW w:type="dxa" w:w="7597"/>
          </w:tcPr>
          <w:p>
            <w:pPr>
              <w:spacing w:before="20" w:after="20" w:line="276" w:lineRule="auto"/>
              <w:ind w:firstLine="0"/>
            </w:pPr>
            <w:r/>
            <w:r>
              <w:rPr>
                <w:rFonts w:ascii="Times New Roman" w:hAnsi="Times New Roman" w:eastAsia="宋体"/>
                <w:b w:val="0"/>
                <w:i w:val="0"/>
                <w:sz w:val="21"/>
              </w:rPr>
              <w:t>字段分组、必填校验、金额与日期格式统一；提交前二次确认关键操作</w:t>
            </w:r>
          </w:p>
        </w:tc>
      </w:tr>
      <w:tr>
        <w:tc>
          <w:tcPr>
            <w:tcW w:type="dxa" w:w="1474"/>
          </w:tcPr>
          <w:p>
            <w:pPr>
              <w:spacing w:before="20" w:after="20" w:line="276" w:lineRule="auto"/>
              <w:ind w:firstLine="0"/>
            </w:pPr>
            <w:r/>
            <w:r>
              <w:rPr>
                <w:rFonts w:ascii="Times New Roman" w:hAnsi="Times New Roman" w:eastAsia="宋体"/>
                <w:b w:val="0"/>
                <w:i w:val="0"/>
                <w:sz w:val="21"/>
              </w:rPr>
              <w:t>详情页</w:t>
            </w:r>
          </w:p>
        </w:tc>
        <w:tc>
          <w:tcPr>
            <w:tcW w:type="dxa" w:w="7597"/>
          </w:tcPr>
          <w:p>
            <w:pPr>
              <w:spacing w:before="20" w:after="20" w:line="276" w:lineRule="auto"/>
              <w:ind w:firstLine="0"/>
            </w:pPr>
            <w:r/>
            <w:r>
              <w:rPr>
                <w:rFonts w:ascii="Times New Roman" w:hAnsi="Times New Roman" w:eastAsia="宋体"/>
                <w:b w:val="0"/>
                <w:i w:val="0"/>
                <w:sz w:val="21"/>
              </w:rPr>
              <w:t>概览区 + 标签页 + 关联单据；审批类单据统一提供审批时间线区块</w:t>
            </w:r>
          </w:p>
        </w:tc>
      </w:tr>
      <w:tr>
        <w:tc>
          <w:tcPr>
            <w:tcW w:type="dxa" w:w="1474"/>
          </w:tcPr>
          <w:p>
            <w:pPr>
              <w:spacing w:before="20" w:after="20" w:line="276" w:lineRule="auto"/>
              <w:ind w:firstLine="0"/>
            </w:pPr>
            <w:r/>
            <w:r>
              <w:rPr>
                <w:rFonts w:ascii="Times New Roman" w:hAnsi="Times New Roman" w:eastAsia="宋体"/>
                <w:b w:val="0"/>
                <w:i w:val="0"/>
                <w:sz w:val="21"/>
              </w:rPr>
              <w:t>操作反馈</w:t>
            </w:r>
          </w:p>
        </w:tc>
        <w:tc>
          <w:tcPr>
            <w:tcW w:type="dxa" w:w="7597"/>
          </w:tcPr>
          <w:p>
            <w:pPr>
              <w:spacing w:before="20" w:after="20" w:line="276" w:lineRule="auto"/>
              <w:ind w:firstLine="0"/>
            </w:pPr>
            <w:r/>
            <w:r>
              <w:rPr>
                <w:rFonts w:ascii="Times New Roman" w:hAnsi="Times New Roman" w:eastAsia="宋体"/>
                <w:b w:val="0"/>
                <w:i w:val="0"/>
                <w:sz w:val="21"/>
              </w:rPr>
              <w:t>成功/失败均给出明确反馈；空状态给出引导动作</w:t>
            </w:r>
          </w:p>
        </w:tc>
      </w:tr>
      <w:tr>
        <w:tc>
          <w:tcPr>
            <w:tcW w:type="dxa" w:w="1474"/>
          </w:tcPr>
          <w:p>
            <w:pPr>
              <w:spacing w:before="20" w:after="20" w:line="276" w:lineRule="auto"/>
              <w:ind w:firstLine="0"/>
            </w:pPr>
            <w:r/>
            <w:r>
              <w:rPr>
                <w:rFonts w:ascii="Times New Roman" w:hAnsi="Times New Roman" w:eastAsia="宋体"/>
                <w:b w:val="0"/>
                <w:i w:val="0"/>
                <w:sz w:val="21"/>
              </w:rPr>
              <w:t>危险操作</w:t>
            </w:r>
          </w:p>
        </w:tc>
        <w:tc>
          <w:tcPr>
            <w:tcW w:type="dxa" w:w="7597"/>
          </w:tcPr>
          <w:p>
            <w:pPr>
              <w:spacing w:before="20" w:after="20" w:line="276" w:lineRule="auto"/>
              <w:ind w:firstLine="0"/>
            </w:pPr>
            <w:r/>
            <w:r>
              <w:rPr>
                <w:rFonts w:ascii="Times New Roman" w:hAnsi="Times New Roman" w:eastAsia="宋体"/>
                <w:b w:val="0"/>
                <w:i w:val="0"/>
                <w:sz w:val="21"/>
              </w:rPr>
              <w:t>删除、撤回、终止、作废等操作必须二次确认，并提示影响范围</w:t>
            </w:r>
          </w:p>
        </w:tc>
      </w:tr>
      <w:tr>
        <w:tc>
          <w:tcPr>
            <w:tcW w:type="dxa" w:w="1474"/>
          </w:tcPr>
          <w:p>
            <w:pPr>
              <w:spacing w:before="20" w:after="20" w:line="276" w:lineRule="auto"/>
              <w:ind w:firstLine="0"/>
            </w:pPr>
            <w:r/>
            <w:r>
              <w:rPr>
                <w:rFonts w:ascii="Times New Roman" w:hAnsi="Times New Roman" w:eastAsia="宋体"/>
                <w:b w:val="0"/>
                <w:i w:val="0"/>
                <w:sz w:val="21"/>
              </w:rPr>
              <w:t>导出</w:t>
            </w:r>
          </w:p>
        </w:tc>
        <w:tc>
          <w:tcPr>
            <w:tcW w:type="dxa" w:w="7597"/>
          </w:tcPr>
          <w:p>
            <w:pPr>
              <w:spacing w:before="20" w:after="20" w:line="276" w:lineRule="auto"/>
              <w:ind w:firstLine="0"/>
            </w:pPr>
            <w:r/>
            <w:r>
              <w:rPr>
                <w:rFonts w:ascii="Times New Roman" w:hAnsi="Times New Roman" w:eastAsia="宋体"/>
                <w:b w:val="0"/>
                <w:i w:val="0"/>
                <w:sz w:val="21"/>
              </w:rPr>
              <w:t>全站详情页与报表页不支持打印；仅准入管理模块的整体报告支持导出 PDF</w:t>
            </w:r>
          </w:p>
        </w:tc>
      </w:tr>
    </w:tbl>
    <w:p>
      <w:pPr>
        <w:spacing w:before="0" w:after="0" w:line="240" w:lineRule="auto"/>
      </w:pPr>
    </w:p>
    <w:p>
      <w:pPr>
        <w:pStyle w:val="Heading2"/>
        <w:keepNext/>
        <w:spacing w:before="240" w:after="120" w:line="312" w:lineRule="auto"/>
        <w:ind w:firstLine="0"/>
      </w:pPr>
      <w:r>
        <w:rPr>
          <w:rFonts w:ascii="Times New Roman" w:hAnsi="Times New Roman" w:eastAsia="黑体"/>
          <w:b/>
          <w:i w:val="0"/>
          <w:sz w:val="28"/>
        </w:rPr>
        <w:t>3.3　通用异常与空状态</w:t>
      </w:r>
    </w:p>
    <w:tbl>
      <w:tblPr>
        <w:tblStyle w:val="TableGrid"/>
        <w:tblW w:type="auto" w:w="0"/>
        <w:jc w:val="center"/>
        <w:tblLayout w:type="fixed"/>
        <w:tblLook w:firstColumn="1" w:firstRow="1" w:lastColumn="0" w:lastRow="0" w:noHBand="0" w:noVBand="1" w:val="04A0"/>
      </w:tblPr>
      <w:tblGrid>
        <w:gridCol w:w="4479"/>
        <w:gridCol w:w="4479"/>
      </w:tblGrid>
      <w:tr>
        <w:trPr>
          <w:tblHeader w:val="true"/>
        </w:trPr>
        <w:tc>
          <w:tcPr>
            <w:tcW w:type="dxa" w:w="1701"/>
            <w:shd w:val="clear" w:color="auto" w:fill="DCE6F1"/>
          </w:tcPr>
          <w:p>
            <w:pPr>
              <w:spacing w:before="40" w:after="40" w:line="276" w:lineRule="auto"/>
              <w:jc w:val="center"/>
            </w:pPr>
            <w:r/>
            <w:r>
              <w:rPr>
                <w:rFonts w:ascii="Times New Roman" w:hAnsi="Times New Roman" w:eastAsia="黑体"/>
                <w:b/>
                <w:i w:val="0"/>
                <w:sz w:val="21"/>
              </w:rPr>
              <w:t>场景</w:t>
            </w:r>
          </w:p>
        </w:tc>
        <w:tc>
          <w:tcPr>
            <w:tcW w:type="dxa" w:w="7370"/>
            <w:shd w:val="clear" w:color="auto" w:fill="DCE6F1"/>
          </w:tcPr>
          <w:p>
            <w:pPr>
              <w:spacing w:before="40" w:after="40" w:line="276" w:lineRule="auto"/>
              <w:jc w:val="center"/>
            </w:pPr>
            <w:r/>
            <w:r>
              <w:rPr>
                <w:rFonts w:ascii="Times New Roman" w:hAnsi="Times New Roman" w:eastAsia="黑体"/>
                <w:b/>
                <w:i w:val="0"/>
                <w:sz w:val="21"/>
              </w:rPr>
              <w:t>系统表现</w:t>
            </w:r>
          </w:p>
        </w:tc>
      </w:tr>
      <w:tr>
        <w:tc>
          <w:tcPr>
            <w:tcW w:type="dxa" w:w="1701"/>
          </w:tcPr>
          <w:p>
            <w:pPr>
              <w:spacing w:before="20" w:after="20" w:line="276" w:lineRule="auto"/>
              <w:ind w:firstLine="0"/>
            </w:pPr>
            <w:r/>
            <w:r>
              <w:rPr>
                <w:rFonts w:ascii="Times New Roman" w:hAnsi="Times New Roman" w:eastAsia="宋体"/>
                <w:b w:val="0"/>
                <w:i w:val="0"/>
                <w:sz w:val="21"/>
              </w:rPr>
              <w:t>无数据</w:t>
            </w:r>
          </w:p>
        </w:tc>
        <w:tc>
          <w:tcPr>
            <w:tcW w:type="dxa" w:w="7370"/>
          </w:tcPr>
          <w:p>
            <w:pPr>
              <w:spacing w:before="20" w:after="20" w:line="276" w:lineRule="auto"/>
              <w:ind w:firstLine="0"/>
            </w:pPr>
            <w:r/>
            <w:r>
              <w:rPr>
                <w:rFonts w:ascii="Times New Roman" w:hAnsi="Times New Roman" w:eastAsia="宋体"/>
                <w:b w:val="0"/>
                <w:i w:val="0"/>
                <w:sz w:val="21"/>
              </w:rPr>
              <w:t>展示空状态文案与引导动作，不显示空白表格</w:t>
            </w:r>
          </w:p>
        </w:tc>
      </w:tr>
      <w:tr>
        <w:tc>
          <w:tcPr>
            <w:tcW w:type="dxa" w:w="1701"/>
          </w:tcPr>
          <w:p>
            <w:pPr>
              <w:spacing w:before="20" w:after="20" w:line="276" w:lineRule="auto"/>
              <w:ind w:firstLine="0"/>
            </w:pPr>
            <w:r/>
            <w:r>
              <w:rPr>
                <w:rFonts w:ascii="Times New Roman" w:hAnsi="Times New Roman" w:eastAsia="宋体"/>
                <w:b w:val="0"/>
                <w:i w:val="0"/>
                <w:sz w:val="21"/>
              </w:rPr>
              <w:t>无权限</w:t>
            </w:r>
          </w:p>
        </w:tc>
        <w:tc>
          <w:tcPr>
            <w:tcW w:type="dxa" w:w="7370"/>
          </w:tcPr>
          <w:p>
            <w:pPr>
              <w:spacing w:before="20" w:after="20" w:line="276" w:lineRule="auto"/>
              <w:ind w:firstLine="0"/>
            </w:pPr>
            <w:r/>
            <w:r>
              <w:rPr>
                <w:rFonts w:ascii="Times New Roman" w:hAnsi="Times New Roman" w:eastAsia="宋体"/>
                <w:b w:val="0"/>
                <w:i w:val="0"/>
                <w:sz w:val="21"/>
              </w:rPr>
              <w:t>菜单不展示该入口；直接访问时提示无权限并返回可访问页面</w:t>
            </w:r>
          </w:p>
        </w:tc>
      </w:tr>
      <w:tr>
        <w:tc>
          <w:tcPr>
            <w:tcW w:type="dxa" w:w="1701"/>
          </w:tcPr>
          <w:p>
            <w:pPr>
              <w:spacing w:before="20" w:after="20" w:line="276" w:lineRule="auto"/>
              <w:ind w:firstLine="0"/>
            </w:pPr>
            <w:r/>
            <w:r>
              <w:rPr>
                <w:rFonts w:ascii="Times New Roman" w:hAnsi="Times New Roman" w:eastAsia="宋体"/>
                <w:b w:val="0"/>
                <w:i w:val="0"/>
                <w:sz w:val="21"/>
              </w:rPr>
              <w:t>加载失败</w:t>
            </w:r>
          </w:p>
        </w:tc>
        <w:tc>
          <w:tcPr>
            <w:tcW w:type="dxa" w:w="7370"/>
          </w:tcPr>
          <w:p>
            <w:pPr>
              <w:spacing w:before="20" w:after="20" w:line="276" w:lineRule="auto"/>
              <w:ind w:firstLine="0"/>
            </w:pPr>
            <w:r/>
            <w:r>
              <w:rPr>
                <w:rFonts w:ascii="Times New Roman" w:hAnsi="Times New Roman" w:eastAsia="宋体"/>
                <w:b w:val="0"/>
                <w:i w:val="0"/>
                <w:sz w:val="21"/>
              </w:rPr>
              <w:t>展示失败提示与「重试」入口，不展示半截数据</w:t>
            </w:r>
          </w:p>
        </w:tc>
      </w:tr>
      <w:tr>
        <w:tc>
          <w:tcPr>
            <w:tcW w:type="dxa" w:w="1701"/>
          </w:tcPr>
          <w:p>
            <w:pPr>
              <w:spacing w:before="20" w:after="20" w:line="276" w:lineRule="auto"/>
              <w:ind w:firstLine="0"/>
            </w:pPr>
            <w:r/>
            <w:r>
              <w:rPr>
                <w:rFonts w:ascii="Times New Roman" w:hAnsi="Times New Roman" w:eastAsia="宋体"/>
                <w:b w:val="0"/>
                <w:i w:val="0"/>
                <w:sz w:val="21"/>
              </w:rPr>
              <w:t>重复提交</w:t>
            </w:r>
          </w:p>
        </w:tc>
        <w:tc>
          <w:tcPr>
            <w:tcW w:type="dxa" w:w="7370"/>
          </w:tcPr>
          <w:p>
            <w:pPr>
              <w:spacing w:before="20" w:after="20" w:line="276" w:lineRule="auto"/>
              <w:ind w:firstLine="0"/>
            </w:pPr>
            <w:r/>
            <w:r>
              <w:rPr>
                <w:rFonts w:ascii="Times New Roman" w:hAnsi="Times New Roman" w:eastAsia="宋体"/>
                <w:b w:val="0"/>
                <w:i w:val="0"/>
                <w:sz w:val="21"/>
              </w:rPr>
              <w:t>提交中禁用主按钮并保持处理中状态，不产生重复单据</w:t>
            </w:r>
          </w:p>
        </w:tc>
      </w:tr>
      <w:tr>
        <w:tc>
          <w:tcPr>
            <w:tcW w:type="dxa" w:w="1701"/>
          </w:tcPr>
          <w:p>
            <w:pPr>
              <w:spacing w:before="20" w:after="20" w:line="276" w:lineRule="auto"/>
              <w:ind w:firstLine="0"/>
            </w:pPr>
            <w:r/>
            <w:r>
              <w:rPr>
                <w:rFonts w:ascii="Times New Roman" w:hAnsi="Times New Roman" w:eastAsia="宋体"/>
                <w:b w:val="0"/>
                <w:i w:val="0"/>
                <w:sz w:val="21"/>
              </w:rPr>
              <w:t>状态冲突</w:t>
            </w:r>
          </w:p>
        </w:tc>
        <w:tc>
          <w:tcPr>
            <w:tcW w:type="dxa" w:w="7370"/>
          </w:tcPr>
          <w:p>
            <w:pPr>
              <w:spacing w:before="20" w:after="20" w:line="276" w:lineRule="auto"/>
              <w:ind w:firstLine="0"/>
            </w:pPr>
            <w:r/>
            <w:r>
              <w:rPr>
                <w:rFonts w:ascii="Times New Roman" w:hAnsi="Times New Roman" w:eastAsia="宋体"/>
                <w:b w:val="0"/>
                <w:i w:val="0"/>
                <w:sz w:val="21"/>
              </w:rPr>
              <w:t>提示当前单据状态已变更，请刷新后重试</w:t>
            </w:r>
          </w:p>
        </w:tc>
      </w:tr>
      <w:tr>
        <w:tc>
          <w:tcPr>
            <w:tcW w:type="dxa" w:w="1701"/>
          </w:tcPr>
          <w:p>
            <w:pPr>
              <w:spacing w:before="20" w:after="20" w:line="276" w:lineRule="auto"/>
              <w:ind w:firstLine="0"/>
            </w:pPr>
            <w:r/>
            <w:r>
              <w:rPr>
                <w:rFonts w:ascii="Times New Roman" w:hAnsi="Times New Roman" w:eastAsia="宋体"/>
                <w:b w:val="0"/>
                <w:i w:val="0"/>
                <w:sz w:val="21"/>
              </w:rPr>
              <w:t>字段越界</w:t>
            </w:r>
          </w:p>
        </w:tc>
        <w:tc>
          <w:tcPr>
            <w:tcW w:type="dxa" w:w="7370"/>
          </w:tcPr>
          <w:p>
            <w:pPr>
              <w:spacing w:before="20" w:after="20" w:line="276" w:lineRule="auto"/>
              <w:ind w:firstLine="0"/>
            </w:pPr>
            <w:r/>
            <w:r>
              <w:rPr>
                <w:rFonts w:ascii="Times New Roman" w:hAnsi="Times New Roman" w:eastAsia="宋体"/>
                <w:b w:val="0"/>
                <w:i w:val="0"/>
                <w:sz w:val="21"/>
              </w:rPr>
              <w:t>在字段下方给出具体原因与修正建议（格式、范围、依赖）</w:t>
            </w:r>
          </w:p>
        </w:tc>
      </w:tr>
      <w:tr>
        <w:tc>
          <w:tcPr>
            <w:tcW w:type="dxa" w:w="1701"/>
          </w:tcPr>
          <w:p>
            <w:pPr>
              <w:spacing w:before="20" w:after="20" w:line="276" w:lineRule="auto"/>
              <w:ind w:firstLine="0"/>
            </w:pPr>
            <w:r/>
            <w:r>
              <w:rPr>
                <w:rFonts w:ascii="Times New Roman" w:hAnsi="Times New Roman" w:eastAsia="宋体"/>
                <w:b w:val="0"/>
                <w:i w:val="0"/>
                <w:sz w:val="21"/>
              </w:rPr>
              <w:t>凭证缺失</w:t>
            </w:r>
          </w:p>
        </w:tc>
        <w:tc>
          <w:tcPr>
            <w:tcW w:type="dxa" w:w="7370"/>
          </w:tcPr>
          <w:p>
            <w:pPr>
              <w:spacing w:before="20" w:after="20" w:line="276" w:lineRule="auto"/>
              <w:ind w:firstLine="0"/>
            </w:pPr>
            <w:r/>
            <w:r>
              <w:rPr>
                <w:rFonts w:ascii="Times New Roman" w:hAnsi="Times New Roman" w:eastAsia="宋体"/>
                <w:b w:val="0"/>
                <w:i w:val="0"/>
                <w:sz w:val="21"/>
              </w:rPr>
              <w:t>单据进入待补充状态并提示所需材料，不阻断流程记录</w:t>
            </w:r>
          </w:p>
        </w:tc>
      </w:tr>
    </w:tbl>
    <w:p>
      <w:pPr>
        <w:spacing w:before="0" w:after="0" w:line="240" w:lineRule="auto"/>
      </w:pPr>
    </w:p>
    <w:p>
      <w:pPr>
        <w:pStyle w:val="Heading2"/>
        <w:keepNext/>
        <w:spacing w:before="240" w:after="120" w:line="312" w:lineRule="auto"/>
        <w:ind w:firstLine="0"/>
      </w:pPr>
      <w:r>
        <w:rPr>
          <w:rFonts w:ascii="Times New Roman" w:hAnsi="Times New Roman" w:eastAsia="黑体"/>
          <w:b/>
          <w:i w:val="0"/>
          <w:sz w:val="28"/>
        </w:rPr>
        <w:t>3.4　脱敏与合规</w:t>
      </w:r>
    </w:p>
    <w:tbl>
      <w:tblPr>
        <w:tblStyle w:val="TableGrid"/>
        <w:tblW w:type="auto" w:w="0"/>
        <w:jc w:val="center"/>
        <w:tblLayout w:type="fixed"/>
        <w:tblLook w:firstColumn="1" w:firstRow="1" w:lastColumn="0" w:lastRow="0" w:noHBand="0" w:noVBand="1" w:val="04A0"/>
      </w:tblPr>
      <w:tblGrid>
        <w:gridCol w:w="4479"/>
        <w:gridCol w:w="4479"/>
      </w:tblGrid>
      <w:tr>
        <w:trPr>
          <w:tblHeader w:val="true"/>
        </w:trPr>
        <w:tc>
          <w:tcPr>
            <w:tcW w:type="dxa" w:w="1701"/>
            <w:shd w:val="clear" w:color="auto" w:fill="DCE6F1"/>
          </w:tcPr>
          <w:p>
            <w:pPr>
              <w:spacing w:before="40" w:after="40" w:line="276" w:lineRule="auto"/>
              <w:jc w:val="center"/>
            </w:pPr>
            <w:r/>
            <w:r>
              <w:rPr>
                <w:rFonts w:ascii="Times New Roman" w:hAnsi="Times New Roman" w:eastAsia="黑体"/>
                <w:b/>
                <w:i w:val="0"/>
                <w:sz w:val="21"/>
              </w:rPr>
              <w:t>对象</w:t>
            </w:r>
          </w:p>
        </w:tc>
        <w:tc>
          <w:tcPr>
            <w:tcW w:type="dxa" w:w="7370"/>
            <w:shd w:val="clear" w:color="auto" w:fill="DCE6F1"/>
          </w:tcPr>
          <w:p>
            <w:pPr>
              <w:spacing w:before="40" w:after="40" w:line="276" w:lineRule="auto"/>
              <w:jc w:val="center"/>
            </w:pPr>
            <w:r/>
            <w:r>
              <w:rPr>
                <w:rFonts w:ascii="Times New Roman" w:hAnsi="Times New Roman" w:eastAsia="黑体"/>
                <w:b/>
                <w:i w:val="0"/>
                <w:sz w:val="21"/>
              </w:rPr>
              <w:t>口径</w:t>
            </w:r>
          </w:p>
        </w:tc>
      </w:tr>
      <w:tr>
        <w:tc>
          <w:tcPr>
            <w:tcW w:type="dxa" w:w="1701"/>
          </w:tcPr>
          <w:p>
            <w:pPr>
              <w:spacing w:before="20" w:after="20" w:line="276" w:lineRule="auto"/>
              <w:ind w:firstLine="0"/>
            </w:pPr>
            <w:r/>
            <w:r>
              <w:rPr>
                <w:rFonts w:ascii="Times New Roman" w:hAnsi="Times New Roman" w:eastAsia="宋体"/>
                <w:b w:val="0"/>
                <w:i w:val="0"/>
                <w:sz w:val="21"/>
              </w:rPr>
              <w:t>交付物脱敏</w:t>
            </w:r>
          </w:p>
        </w:tc>
        <w:tc>
          <w:tcPr>
            <w:tcW w:type="dxa" w:w="7370"/>
          </w:tcPr>
          <w:p>
            <w:pPr>
              <w:spacing w:before="20" w:after="20" w:line="276" w:lineRule="auto"/>
              <w:ind w:firstLine="0"/>
            </w:pPr>
            <w:r/>
            <w:r>
              <w:rPr>
                <w:rFonts w:ascii="Times New Roman" w:hAnsi="Times New Roman" w:eastAsia="宋体"/>
                <w:b w:val="0"/>
                <w:i w:val="0"/>
                <w:sz w:val="21"/>
              </w:rPr>
              <w:t>文档与演示数据中的手机号、证件号、信用代码、银行卡号一律按格式打码</w:t>
            </w:r>
          </w:p>
        </w:tc>
      </w:tr>
      <w:tr>
        <w:tc>
          <w:tcPr>
            <w:tcW w:type="dxa" w:w="1701"/>
          </w:tcPr>
          <w:p>
            <w:pPr>
              <w:spacing w:before="20" w:after="20" w:line="276" w:lineRule="auto"/>
              <w:ind w:firstLine="0"/>
            </w:pPr>
            <w:r/>
            <w:r>
              <w:rPr>
                <w:rFonts w:ascii="Times New Roman" w:hAnsi="Times New Roman" w:eastAsia="宋体"/>
                <w:b w:val="0"/>
                <w:i w:val="0"/>
                <w:sz w:val="21"/>
              </w:rPr>
              <w:t>运行态脱敏</w:t>
            </w:r>
          </w:p>
        </w:tc>
        <w:tc>
          <w:tcPr>
            <w:tcW w:type="dxa" w:w="7370"/>
          </w:tcPr>
          <w:p>
            <w:pPr>
              <w:spacing w:before="20" w:after="20" w:line="276" w:lineRule="auto"/>
              <w:ind w:firstLine="0"/>
            </w:pPr>
            <w:r/>
            <w:r>
              <w:rPr>
                <w:rFonts w:ascii="Times New Roman" w:hAnsi="Times New Roman" w:eastAsia="宋体"/>
                <w:b w:val="0"/>
                <w:i w:val="0"/>
                <w:sz w:val="21"/>
              </w:rPr>
              <w:t>真实手机号、信用代码等前端默认打码，用户手动点击查看完整值，查看行为被记录留痕</w:t>
            </w:r>
          </w:p>
        </w:tc>
      </w:tr>
      <w:tr>
        <w:tc>
          <w:tcPr>
            <w:tcW w:type="dxa" w:w="1701"/>
          </w:tcPr>
          <w:p>
            <w:pPr>
              <w:spacing w:before="20" w:after="20" w:line="276" w:lineRule="auto"/>
              <w:ind w:firstLine="0"/>
            </w:pPr>
            <w:r/>
            <w:r>
              <w:rPr>
                <w:rFonts w:ascii="Times New Roman" w:hAnsi="Times New Roman" w:eastAsia="宋体"/>
                <w:b w:val="0"/>
                <w:i w:val="0"/>
                <w:sz w:val="21"/>
              </w:rPr>
              <w:t>贸易风险合规</w:t>
            </w:r>
          </w:p>
        </w:tc>
        <w:tc>
          <w:tcPr>
            <w:tcW w:type="dxa" w:w="7370"/>
          </w:tcPr>
          <w:p>
            <w:pPr>
              <w:spacing w:before="20" w:after="20" w:line="276" w:lineRule="auto"/>
              <w:ind w:firstLine="0"/>
            </w:pPr>
            <w:r/>
            <w:r>
              <w:rPr>
                <w:rFonts w:ascii="Times New Roman" w:hAnsi="Times New Roman" w:eastAsia="宋体"/>
                <w:b w:val="0"/>
                <w:i w:val="0"/>
                <w:sz w:val="21"/>
              </w:rPr>
              <w:t>客户准入引入外部风险数据源做风险扫描，扫描结论与证据留档并可追溯</w:t>
            </w:r>
          </w:p>
        </w:tc>
      </w:tr>
    </w:tbl>
    <w:p>
      <w:pPr>
        <w:spacing w:before="0" w:after="0" w:line="240" w:lineRule="auto"/>
      </w:pPr>
    </w:p>
    <w:p>
      <w:pPr>
        <w:pStyle w:val="Heading2"/>
        <w:keepNext/>
        <w:spacing w:before="240" w:after="120" w:line="312" w:lineRule="auto"/>
        <w:ind w:firstLine="0"/>
      </w:pPr>
      <w:r>
        <w:rPr>
          <w:rFonts w:ascii="Times New Roman" w:hAnsi="Times New Roman" w:eastAsia="黑体"/>
          <w:b/>
          <w:i w:val="0"/>
          <w:sz w:val="28"/>
        </w:rPr>
        <w:t>3.5　资金流转口径（全平台统一）</w:t>
      </w:r>
    </w:p>
    <w:p>
      <w:pPr>
        <w:spacing w:before="0" w:after="120" w:line="360" w:lineRule="auto"/>
      </w:pPr>
      <w:r>
        <w:rPr>
          <w:rFonts w:ascii="Times New Roman" w:hAnsi="Times New Roman" w:eastAsia="宋体"/>
          <w:b w:val="0"/>
          <w:i w:val="0"/>
          <w:sz w:val="24"/>
        </w:rPr>
        <w:t>平台内所有资金类动作（放款、还款、追保还款、解押还款、受托支付等）一律按以下模型实现：</w:t>
      </w:r>
    </w:p>
    <w:p>
      <w:pPr>
        <w:spacing w:before="0" w:after="60" w:line="336" w:lineRule="auto"/>
        <w:ind w:left="510" w:hanging="510"/>
      </w:pPr>
      <w:r>
        <w:rPr>
          <w:rFonts w:ascii="Times New Roman" w:hAnsi="Times New Roman" w:eastAsia="宋体"/>
          <w:b w:val="0"/>
          <w:i w:val="0"/>
          <w:sz w:val="24"/>
        </w:rPr>
        <w:t>1. 实际资金操作在系统外完成（银行转账、票据或其他方式）</w:t>
      </w:r>
    </w:p>
    <w:p>
      <w:pPr>
        <w:spacing w:before="0" w:after="60" w:line="336" w:lineRule="auto"/>
        <w:ind w:left="510" w:hanging="510"/>
      </w:pPr>
      <w:r>
        <w:rPr>
          <w:rFonts w:ascii="Times New Roman" w:hAnsi="Times New Roman" w:eastAsia="宋体"/>
          <w:b w:val="0"/>
          <w:i w:val="0"/>
          <w:sz w:val="24"/>
        </w:rPr>
        <w:t>2. 发起方在系统内上传凭证：实际金额 + 凭证图片或 PDF</w:t>
      </w:r>
    </w:p>
    <w:p>
      <w:pPr>
        <w:spacing w:before="0" w:after="60" w:line="336" w:lineRule="auto"/>
        <w:ind w:left="510" w:hanging="510"/>
      </w:pPr>
      <w:r>
        <w:rPr>
          <w:rFonts w:ascii="Times New Roman" w:hAnsi="Times New Roman" w:eastAsia="宋体"/>
          <w:b w:val="0"/>
          <w:i w:val="0"/>
          <w:sz w:val="24"/>
        </w:rPr>
        <w:t>3. 收款方在系统内确认，系统据凭证更新单据状态与台账</w:t>
      </w:r>
    </w:p>
    <w:p>
      <w:pPr>
        <w:spacing w:before="0" w:after="60" w:line="336" w:lineRule="auto"/>
        <w:ind w:left="510" w:hanging="510"/>
      </w:pPr>
      <w:r>
        <w:rPr>
          <w:rFonts w:ascii="Times New Roman" w:hAnsi="Times New Roman" w:eastAsia="宋体"/>
          <w:b w:val="0"/>
          <w:i w:val="0"/>
          <w:sz w:val="24"/>
        </w:rPr>
        <w:t>4. 系统内的试算金额仅作参考，不等于实际发生金额，也不驱动线上资金动作</w:t>
      </w:r>
    </w:p>
    <w:p>
      <w:r>
        <w:br w:type="page"/>
      </w:r>
    </w:p>
    <w:p>
      <w:pPr>
        <w:pStyle w:val="Heading1"/>
        <w:keepNext/>
        <w:spacing w:before="360" w:after="200" w:line="312" w:lineRule="auto"/>
        <w:ind w:firstLine="0"/>
      </w:pPr>
      <w:r>
        <w:rPr>
          <w:rFonts w:ascii="Times New Roman" w:hAnsi="Times New Roman" w:eastAsia="黑体"/>
          <w:b/>
          <w:i w:val="0"/>
          <w:sz w:val="32"/>
        </w:rPr>
        <w:t>4　各模块需求说明</w:t>
      </w:r>
    </w:p>
    <w:p>
      <w:pPr>
        <w:spacing w:before="0" w:after="120" w:line="360" w:lineRule="auto"/>
      </w:pPr>
      <w:r>
        <w:rPr>
          <w:rFonts w:ascii="Times New Roman" w:hAnsi="Times New Roman" w:eastAsia="宋体"/>
          <w:b w:val="0"/>
          <w:i w:val="0"/>
          <w:sz w:val="24"/>
        </w:rPr>
        <w:t>以下 29 个模块采用统一骨架：4.x.1 一页结论 → 4.x.2 背景与目标 → 4.x.3 角色与用户需求 → 4.x.4 功能结构与范围 → 4.x.5 数据关系 → 4.x.6 角色权限与数据权限 → 4.x.7 业务流程与页面 → 4.x.8 验收标准与待确认项。</w:t>
      </w:r>
    </w:p>
    <w:p>
      <w:r>
        <w:br w:type="page"/>
      </w:r>
    </w:p>
    <w:p>
      <w:pPr>
        <w:pStyle w:val="Heading2"/>
        <w:keepNext/>
        <w:spacing w:before="240" w:after="120" w:line="312" w:lineRule="auto"/>
        <w:ind w:firstLine="0"/>
      </w:pPr>
      <w:r>
        <w:rPr>
          <w:rFonts w:ascii="Times New Roman" w:hAnsi="Times New Roman" w:eastAsia="黑体"/>
          <w:b/>
          <w:i w:val="0"/>
          <w:sz w:val="28"/>
        </w:rPr>
        <w:t>4.1　项目准入</w:t>
      </w:r>
    </w:p>
    <w:p>
      <w:pPr>
        <w:spacing w:before="0" w:after="160" w:line="360" w:lineRule="auto"/>
      </w:pPr>
      <w:r>
        <w:rPr>
          <w:rFonts w:ascii="Times New Roman" w:hAnsi="Times New Roman" w:eastAsia="宋体"/>
          <w:b w:val="0"/>
          <w:i w:val="0"/>
          <w:color w:val="595959"/>
          <w:sz w:val="21"/>
        </w:rPr>
        <w:t>菜单路径：准入管理 / 项目准入</w:t>
      </w:r>
    </w:p>
    <w:p>
      <w:pPr>
        <w:pStyle w:val="Heading3"/>
        <w:keepNext/>
        <w:spacing w:before="160" w:after="80" w:line="312" w:lineRule="auto"/>
        <w:ind w:firstLine="0"/>
      </w:pPr>
      <w:r>
        <w:rPr>
          <w:rFonts w:ascii="Times New Roman" w:hAnsi="Times New Roman" w:eastAsia="黑体"/>
          <w:b/>
          <w:i w:val="0"/>
          <w:sz w:val="24"/>
        </w:rPr>
        <w:t>4.1.1　一页结论</w:t>
      </w:r>
    </w:p>
    <w:p>
      <w:pPr>
        <w:spacing w:before="0" w:after="120" w:line="360" w:lineRule="auto"/>
      </w:pPr>
      <w:r>
        <w:rPr>
          <w:rFonts w:ascii="Times New Roman" w:hAnsi="Times New Roman" w:eastAsia="宋体"/>
          <w:b w:val="0"/>
          <w:i w:val="0"/>
          <w:sz w:val="24"/>
        </w:rPr>
        <w:t>以 5 步立项流程把新业务的客户尽调、贸易风控合规审查与串行审批串成一条线，产出项目准入凭证并向下游业务提供项目底座。</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928"/>
            <w:shd w:val="clear" w:color="auto" w:fill="DCE6F1"/>
          </w:tcPr>
          <w:p>
            <w:pPr>
              <w:spacing w:before="40" w:after="40" w:line="276" w:lineRule="auto"/>
              <w:jc w:val="center"/>
            </w:pPr>
            <w:r/>
            <w:r>
              <w:rPr>
                <w:rFonts w:ascii="Times New Roman" w:hAnsi="Times New Roman" w:eastAsia="黑体"/>
                <w:b/>
                <w:i w:val="0"/>
                <w:sz w:val="21"/>
              </w:rPr>
              <w:t>问题</w:t>
            </w:r>
          </w:p>
        </w:tc>
        <w:tc>
          <w:tcPr>
            <w:tcW w:type="dxa" w:w="3572"/>
            <w:shd w:val="clear" w:color="auto" w:fill="DCE6F1"/>
          </w:tcPr>
          <w:p>
            <w:pPr>
              <w:spacing w:before="40" w:after="40" w:line="276" w:lineRule="auto"/>
              <w:jc w:val="center"/>
            </w:pPr>
            <w:r/>
            <w:r>
              <w:rPr>
                <w:rFonts w:ascii="Times New Roman" w:hAnsi="Times New Roman" w:eastAsia="黑体"/>
                <w:b/>
                <w:i w:val="0"/>
                <w:sz w:val="21"/>
              </w:rPr>
              <w:t>当前做法</w:t>
            </w:r>
          </w:p>
        </w:tc>
        <w:tc>
          <w:tcPr>
            <w:tcW w:type="dxa" w:w="3572"/>
            <w:shd w:val="clear" w:color="auto" w:fill="DCE6F1"/>
          </w:tcPr>
          <w:p>
            <w:pPr>
              <w:spacing w:before="40" w:after="40" w:line="276" w:lineRule="auto"/>
              <w:jc w:val="center"/>
            </w:pPr>
            <w:r/>
            <w:r>
              <w:rPr>
                <w:rFonts w:ascii="Times New Roman" w:hAnsi="Times New Roman" w:eastAsia="黑体"/>
                <w:b/>
                <w:i w:val="0"/>
                <w:sz w:val="21"/>
              </w:rPr>
              <w:t>本模块解法</w:t>
            </w:r>
          </w:p>
        </w:tc>
      </w:tr>
      <w:tr>
        <w:tc>
          <w:tcPr>
            <w:tcW w:type="dxa" w:w="1928"/>
          </w:tcPr>
          <w:p>
            <w:pPr>
              <w:spacing w:before="20" w:after="20" w:line="276" w:lineRule="auto"/>
              <w:ind w:firstLine="0"/>
            </w:pPr>
            <w:r/>
            <w:r>
              <w:rPr>
                <w:rFonts w:ascii="Times New Roman" w:hAnsi="Times New Roman" w:eastAsia="宋体"/>
                <w:b w:val="0"/>
                <w:i w:val="0"/>
                <w:sz w:val="21"/>
              </w:rPr>
              <w:t>新业务立项涉及多环节多角色，资料与审批进度散落在线下</w:t>
            </w:r>
          </w:p>
        </w:tc>
        <w:tc>
          <w:tcPr>
            <w:tcW w:type="dxa" w:w="3572"/>
          </w:tcPr>
          <w:p>
            <w:pPr>
              <w:spacing w:before="20" w:after="20" w:line="276" w:lineRule="auto"/>
              <w:ind w:firstLine="0"/>
            </w:pPr>
            <w:r/>
            <w:r>
              <w:rPr>
                <w:rFonts w:ascii="Times New Roman" w:hAnsi="Times New Roman" w:eastAsia="宋体"/>
                <w:b w:val="0"/>
                <w:i w:val="0"/>
                <w:sz w:val="21"/>
              </w:rPr>
              <w:t>业务人员线下收集材料并逐级汇报，谁卡在哪一环不透明</w:t>
            </w:r>
          </w:p>
        </w:tc>
        <w:tc>
          <w:tcPr>
            <w:tcW w:type="dxa" w:w="3572"/>
          </w:tcPr>
          <w:p>
            <w:pPr>
              <w:spacing w:before="20" w:after="20" w:line="276" w:lineRule="auto"/>
              <w:ind w:firstLine="0"/>
            </w:pPr>
            <w:r/>
            <w:r>
              <w:rPr>
                <w:rFonts w:ascii="Times New Roman" w:hAnsi="Times New Roman" w:eastAsia="宋体"/>
                <w:b w:val="0"/>
                <w:i w:val="0"/>
                <w:sz w:val="21"/>
              </w:rPr>
              <w:t>以一张立项单据承载 5 步骤流程，状态与审批节点在系统内可视</w:t>
            </w:r>
          </w:p>
        </w:tc>
      </w:tr>
      <w:tr>
        <w:tc>
          <w:tcPr>
            <w:tcW w:type="dxa" w:w="1928"/>
          </w:tcPr>
          <w:p>
            <w:pPr>
              <w:spacing w:before="20" w:after="20" w:line="276" w:lineRule="auto"/>
              <w:ind w:firstLine="0"/>
            </w:pPr>
            <w:r/>
            <w:r>
              <w:rPr>
                <w:rFonts w:ascii="Times New Roman" w:hAnsi="Times New Roman" w:eastAsia="宋体"/>
                <w:b w:val="0"/>
                <w:i w:val="0"/>
                <w:sz w:val="21"/>
              </w:rPr>
              <w:t>上下游、物流、仓储企业的资质材料分散收集，缺项不易发现</w:t>
            </w:r>
          </w:p>
        </w:tc>
        <w:tc>
          <w:tcPr>
            <w:tcW w:type="dxa" w:w="3572"/>
          </w:tcPr>
          <w:p>
            <w:pPr>
              <w:spacing w:before="20" w:after="20" w:line="276" w:lineRule="auto"/>
              <w:ind w:firstLine="0"/>
            </w:pPr>
            <w:r/>
            <w:r>
              <w:rPr>
                <w:rFonts w:ascii="Times New Roman" w:hAnsi="Times New Roman" w:eastAsia="宋体"/>
                <w:b w:val="0"/>
                <w:i w:val="0"/>
                <w:sz w:val="21"/>
              </w:rPr>
              <w:t>材料靠人工整理核对，提交前才发现材料不全</w:t>
            </w:r>
          </w:p>
        </w:tc>
        <w:tc>
          <w:tcPr>
            <w:tcW w:type="dxa" w:w="3572"/>
          </w:tcPr>
          <w:p>
            <w:pPr>
              <w:spacing w:before="20" w:after="20" w:line="276" w:lineRule="auto"/>
              <w:ind w:firstLine="0"/>
            </w:pPr>
            <w:r/>
            <w:r>
              <w:rPr>
                <w:rFonts w:ascii="Times New Roman" w:hAnsi="Times New Roman" w:eastAsia="宋体"/>
                <w:b w:val="0"/>
                <w:i w:val="0"/>
                <w:sz w:val="21"/>
              </w:rPr>
              <w:t>关联企业弹窗内按 13 类客户准入材料清单挂载附件，必填 6 类在提交前校验齐全</w:t>
            </w:r>
          </w:p>
        </w:tc>
      </w:tr>
      <w:tr>
        <w:tc>
          <w:tcPr>
            <w:tcW w:type="dxa" w:w="1928"/>
          </w:tcPr>
          <w:p>
            <w:pPr>
              <w:spacing w:before="20" w:after="20" w:line="276" w:lineRule="auto"/>
              <w:ind w:firstLine="0"/>
            </w:pPr>
            <w:r/>
            <w:r>
              <w:rPr>
                <w:rFonts w:ascii="Times New Roman" w:hAnsi="Times New Roman" w:eastAsia="宋体"/>
                <w:b w:val="0"/>
                <w:i w:val="0"/>
                <w:sz w:val="21"/>
              </w:rPr>
              <w:t>贸易背景中的关联关系与合规风险缺少结构化校验</w:t>
            </w:r>
          </w:p>
        </w:tc>
        <w:tc>
          <w:tcPr>
            <w:tcW w:type="dxa" w:w="3572"/>
          </w:tcPr>
          <w:p>
            <w:pPr>
              <w:spacing w:before="20" w:after="20" w:line="276" w:lineRule="auto"/>
              <w:ind w:firstLine="0"/>
            </w:pPr>
            <w:r/>
            <w:r>
              <w:rPr>
                <w:rFonts w:ascii="Times New Roman" w:hAnsi="Times New Roman" w:eastAsia="宋体"/>
                <w:b w:val="0"/>
                <w:i w:val="0"/>
                <w:sz w:val="21"/>
              </w:rPr>
              <w:t>靠人工翻阅工商与股权资料判断上下游是否同源、交叉持股</w:t>
            </w:r>
          </w:p>
        </w:tc>
        <w:tc>
          <w:tcPr>
            <w:tcW w:type="dxa" w:w="3572"/>
          </w:tcPr>
          <w:p>
            <w:pPr>
              <w:spacing w:before="20" w:after="20" w:line="276" w:lineRule="auto"/>
              <w:ind w:firstLine="0"/>
            </w:pPr>
            <w:r/>
            <w:r>
              <w:rPr>
                <w:rFonts w:ascii="Times New Roman" w:hAnsi="Times New Roman" w:eastAsia="宋体"/>
                <w:b w:val="0"/>
                <w:i w:val="0"/>
                <w:sz w:val="21"/>
              </w:rPr>
              <w:t>以贸易风控合规报告 6 项检查项逐项输出规则、过程与校验结果</w:t>
            </w:r>
          </w:p>
        </w:tc>
      </w:tr>
      <w:tr>
        <w:tc>
          <w:tcPr>
            <w:tcW w:type="dxa" w:w="1928"/>
          </w:tcPr>
          <w:p>
            <w:pPr>
              <w:spacing w:before="20" w:after="20" w:line="276" w:lineRule="auto"/>
              <w:ind w:firstLine="0"/>
            </w:pPr>
            <w:r/>
            <w:r>
              <w:rPr>
                <w:rFonts w:ascii="Times New Roman" w:hAnsi="Times New Roman" w:eastAsia="宋体"/>
                <w:b w:val="0"/>
                <w:i w:val="0"/>
                <w:sz w:val="21"/>
              </w:rPr>
              <w:t>审批单据超时后无人推进，业务反复电话催办</w:t>
            </w:r>
          </w:p>
        </w:tc>
        <w:tc>
          <w:tcPr>
            <w:tcW w:type="dxa" w:w="3572"/>
          </w:tcPr>
          <w:p>
            <w:pPr>
              <w:spacing w:before="20" w:after="20" w:line="276" w:lineRule="auto"/>
              <w:ind w:firstLine="0"/>
            </w:pPr>
            <w:r/>
            <w:r>
              <w:rPr>
                <w:rFonts w:ascii="Times New Roman" w:hAnsi="Times New Roman" w:eastAsia="宋体"/>
                <w:b w:val="0"/>
                <w:i w:val="0"/>
                <w:sz w:val="21"/>
              </w:rPr>
              <w:t>靠人工发现超时并逐个催办，缺少留痕</w:t>
            </w:r>
          </w:p>
        </w:tc>
        <w:tc>
          <w:tcPr>
            <w:tcW w:type="dxa" w:w="3572"/>
          </w:tcPr>
          <w:p>
            <w:pPr>
              <w:spacing w:before="20" w:after="20" w:line="276" w:lineRule="auto"/>
              <w:ind w:firstLine="0"/>
            </w:pPr>
            <w:r/>
            <w:r>
              <w:rPr>
                <w:rFonts w:ascii="Times New Roman" w:hAnsi="Times New Roman" w:eastAsia="宋体"/>
                <w:b w:val="0"/>
                <w:i w:val="0"/>
                <w:sz w:val="21"/>
              </w:rPr>
              <w:t>当前节点超 2 小时自动催办，最多重试 3 次后升级上级，并在时间线留痕</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4.1.2　背景与目标</w:t>
      </w:r>
    </w:p>
    <w:tbl>
      <w:tblPr>
        <w:tblStyle w:val="TableGrid"/>
        <w:tblW w:type="auto" w:w="0"/>
        <w:jc w:val="center"/>
        <w:tblLayout w:type="fixed"/>
        <w:tblLook w:firstColumn="1" w:firstRow="1" w:lastColumn="0" w:lastRow="0" w:noHBand="0" w:noVBand="1" w:val="04A0"/>
      </w:tblPr>
      <w:tblGrid>
        <w:gridCol w:w="8958"/>
      </w:tblGrid>
      <w:tr>
        <w:trPr>
          <w:tblHeader w:val="true"/>
        </w:trPr>
        <w:tc>
          <w:tcPr>
            <w:tcW w:type="dxa" w:w="9071"/>
            <w:shd w:val="clear" w:color="auto" w:fill="DCE6F1"/>
          </w:tcPr>
          <w:p>
            <w:pPr>
              <w:spacing w:before="40" w:after="40" w:line="276" w:lineRule="auto"/>
              <w:jc w:val="center"/>
            </w:pPr>
            <w:r/>
            <w:r>
              <w:rPr>
                <w:rFonts w:ascii="Times New Roman" w:hAnsi="Times New Roman" w:eastAsia="黑体"/>
                <w:b/>
                <w:i w:val="0"/>
                <w:sz w:val="21"/>
              </w:rPr>
              <w:t>目标 / 衡量口径</w:t>
            </w:r>
          </w:p>
        </w:tc>
      </w:tr>
      <w:tr>
        <w:tc>
          <w:tcPr>
            <w:tcW w:type="dxa" w:w="9071"/>
          </w:tcPr>
          <w:p>
            <w:pPr>
              <w:spacing w:before="20" w:after="20" w:line="276" w:lineRule="auto"/>
              <w:ind w:firstLine="0"/>
            </w:pPr>
            <w:r/>
            <w:r>
              <w:rPr>
                <w:rFonts w:ascii="Times New Roman" w:hAnsi="Times New Roman" w:eastAsia="宋体"/>
                <w:b w:val="0"/>
                <w:i w:val="0"/>
                <w:sz w:val="21"/>
              </w:rPr>
              <w:t>流程状态收敛为 6 态（待提交、审批中、执行中、已完结、已驳回、已作废），与状态机完全一致，列表在此之外提供聚合的「全部」Tab</w:t>
            </w:r>
          </w:p>
        </w:tc>
      </w:tr>
      <w:tr>
        <w:tc>
          <w:tcPr>
            <w:tcW w:type="dxa" w:w="9071"/>
          </w:tcPr>
          <w:p>
            <w:pPr>
              <w:spacing w:before="20" w:after="20" w:line="276" w:lineRule="auto"/>
              <w:ind w:firstLine="0"/>
            </w:pPr>
            <w:r/>
            <w:r>
              <w:rPr>
                <w:rFonts w:ascii="Times New Roman" w:hAnsi="Times New Roman" w:eastAsia="宋体"/>
                <w:b w:val="0"/>
                <w:i w:val="0"/>
                <w:sz w:val="21"/>
              </w:rPr>
              <w:t>审批统一为 5 节点串行流（提交、一级业务、风控部、财务部、总经理），前一节点通过后自动流转至后一节点，任一节点驳回即终止</w:t>
            </w:r>
          </w:p>
        </w:tc>
      </w:tr>
      <w:tr>
        <w:tc>
          <w:tcPr>
            <w:tcW w:type="dxa" w:w="9071"/>
          </w:tcPr>
          <w:p>
            <w:pPr>
              <w:spacing w:before="20" w:after="20" w:line="276" w:lineRule="auto"/>
              <w:ind w:firstLine="0"/>
            </w:pPr>
            <w:r/>
            <w:r>
              <w:rPr>
                <w:rFonts w:ascii="Times New Roman" w:hAnsi="Times New Roman" w:eastAsia="宋体"/>
                <w:b w:val="0"/>
                <w:i w:val="0"/>
                <w:sz w:val="21"/>
              </w:rPr>
              <w:t>贸易风控合规报告 6 项检查项全部输出规则与校验结果，企业风险扫描结果按 6 个 Tab 分项呈现</w:t>
            </w:r>
          </w:p>
        </w:tc>
      </w:tr>
      <w:tr>
        <w:tc>
          <w:tcPr>
            <w:tcW w:type="dxa" w:w="9071"/>
          </w:tcPr>
          <w:p>
            <w:pPr>
              <w:spacing w:before="20" w:after="20" w:line="276" w:lineRule="auto"/>
              <w:ind w:firstLine="0"/>
            </w:pPr>
            <w:r/>
            <w:r>
              <w:rPr>
                <w:rFonts w:ascii="Times New Roman" w:hAnsi="Times New Roman" w:eastAsia="宋体"/>
                <w:b w:val="0"/>
                <w:i w:val="0"/>
                <w:sz w:val="21"/>
              </w:rPr>
              <w:t>客户准入材料必填 6 类齐全方可进入尽调，单个附件大小不超过 100MB</w:t>
            </w:r>
          </w:p>
        </w:tc>
      </w:tr>
    </w:tbl>
    <w:p>
      <w:pPr>
        <w:spacing w:before="0" w:after="0" w:line="240" w:lineRule="auto"/>
      </w:pPr>
    </w:p>
    <w:p>
      <w:pPr>
        <w:spacing w:before="80" w:after="120" w:line="360" w:lineRule="auto"/>
      </w:pPr>
      <w:r>
        <w:rPr>
          <w:rFonts w:ascii="Times New Roman" w:hAnsi="Times New Roman" w:eastAsia="宋体"/>
          <w:b w:val="0"/>
          <w:i w:val="0"/>
          <w:color w:val="595959"/>
          <w:sz w:val="21"/>
        </w:rPr>
        <w:t>说明：文中口径以业务方已确认结论为准；未确认项集中列于本章末与第 5 章。</w:t>
      </w:r>
    </w:p>
    <w:p>
      <w:pPr>
        <w:pStyle w:val="Heading3"/>
        <w:keepNext/>
        <w:spacing w:before="160" w:after="80" w:line="312" w:lineRule="auto"/>
        <w:ind w:firstLine="0"/>
      </w:pPr>
      <w:r>
        <w:rPr>
          <w:rFonts w:ascii="Times New Roman" w:hAnsi="Times New Roman" w:eastAsia="黑体"/>
          <w:b/>
          <w:i w:val="0"/>
          <w:sz w:val="24"/>
        </w:rPr>
        <w:t>4.1.3　角色与用户需求</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361"/>
            <w:shd w:val="clear" w:color="auto" w:fill="DCE6F1"/>
          </w:tcPr>
          <w:p>
            <w:pPr>
              <w:spacing w:before="40" w:after="40" w:line="276" w:lineRule="auto"/>
              <w:jc w:val="center"/>
            </w:pPr>
            <w:r/>
            <w:r>
              <w:rPr>
                <w:rFonts w:ascii="Times New Roman" w:hAnsi="Times New Roman" w:eastAsia="黑体"/>
                <w:b/>
                <w:i w:val="0"/>
                <w:sz w:val="21"/>
              </w:rPr>
              <w:t>角色</w:t>
            </w:r>
          </w:p>
        </w:tc>
        <w:tc>
          <w:tcPr>
            <w:tcW w:type="dxa" w:w="1247"/>
            <w:shd w:val="clear" w:color="auto" w:fill="DCE6F1"/>
          </w:tcPr>
          <w:p>
            <w:pPr>
              <w:spacing w:before="40" w:after="40" w:line="276" w:lineRule="auto"/>
              <w:jc w:val="center"/>
            </w:pPr>
            <w:r/>
            <w:r>
              <w:rPr>
                <w:rFonts w:ascii="Times New Roman" w:hAnsi="Times New Roman" w:eastAsia="黑体"/>
                <w:b/>
                <w:i w:val="0"/>
                <w:sz w:val="21"/>
              </w:rPr>
              <w:t>所属部门</w:t>
            </w:r>
          </w:p>
        </w:tc>
        <w:tc>
          <w:tcPr>
            <w:tcW w:type="dxa" w:w="6463"/>
            <w:shd w:val="clear" w:color="auto" w:fill="DCE6F1"/>
          </w:tcPr>
          <w:p>
            <w:pPr>
              <w:spacing w:before="40" w:after="40" w:line="276" w:lineRule="auto"/>
              <w:jc w:val="center"/>
            </w:pPr>
            <w:r/>
            <w:r>
              <w:rPr>
                <w:rFonts w:ascii="Times New Roman" w:hAnsi="Times New Roman" w:eastAsia="黑体"/>
                <w:b/>
                <w:i w:val="0"/>
                <w:sz w:val="21"/>
              </w:rPr>
              <w:t>用户需求（我要…以便…）</w:t>
            </w:r>
          </w:p>
        </w:tc>
      </w:tr>
      <w:tr>
        <w:tc>
          <w:tcPr>
            <w:tcW w:type="dxa" w:w="1361"/>
          </w:tcPr>
          <w:p>
            <w:pPr>
              <w:spacing w:before="20" w:after="20" w:line="276" w:lineRule="auto"/>
              <w:ind w:firstLine="0"/>
            </w:pPr>
            <w:r/>
            <w:r>
              <w:rPr>
                <w:rFonts w:ascii="Times New Roman" w:hAnsi="Times New Roman" w:eastAsia="宋体"/>
                <w:b w:val="0"/>
                <w:i w:val="0"/>
                <w:sz w:val="21"/>
              </w:rPr>
              <w:t>业务员</w:t>
            </w:r>
          </w:p>
        </w:tc>
        <w:tc>
          <w:tcPr>
            <w:tcW w:type="dxa" w:w="1247"/>
          </w:tcPr>
          <w:p>
            <w:pPr>
              <w:spacing w:before="20" w:after="20" w:line="276" w:lineRule="auto"/>
              <w:ind w:firstLine="0"/>
            </w:pPr>
            <w:r/>
            <w:r>
              <w:rPr>
                <w:rFonts w:ascii="Times New Roman" w:hAnsi="Times New Roman" w:eastAsia="宋体"/>
                <w:b w:val="0"/>
                <w:i w:val="0"/>
                <w:sz w:val="21"/>
              </w:rPr>
              <w:t>业务部</w:t>
            </w:r>
          </w:p>
        </w:tc>
        <w:tc>
          <w:tcPr>
            <w:tcW w:type="dxa" w:w="6463"/>
          </w:tcPr>
          <w:p>
            <w:pPr>
              <w:spacing w:before="20" w:after="20" w:line="276" w:lineRule="auto"/>
              <w:ind w:firstLine="0"/>
            </w:pPr>
            <w:r/>
            <w:r>
              <w:rPr>
                <w:rFonts w:ascii="Times New Roman" w:hAnsi="Times New Roman" w:eastAsia="宋体"/>
                <w:b w:val="0"/>
                <w:i w:val="0"/>
                <w:sz w:val="21"/>
              </w:rPr>
              <w:t>我要在一个立项单里录入项目信息、关联企业并上传准入材料，以便项目能进入审批</w:t>
            </w:r>
          </w:p>
        </w:tc>
      </w:tr>
      <w:tr>
        <w:tc>
          <w:tcPr>
            <w:tcW w:type="dxa" w:w="1361"/>
          </w:tcPr>
          <w:p>
            <w:pPr>
              <w:spacing w:before="20" w:after="20" w:line="276" w:lineRule="auto"/>
              <w:ind w:firstLine="0"/>
            </w:pPr>
            <w:r/>
            <w:r>
              <w:rPr>
                <w:rFonts w:ascii="Times New Roman" w:hAnsi="Times New Roman" w:eastAsia="宋体"/>
                <w:b w:val="0"/>
                <w:i w:val="0"/>
                <w:sz w:val="21"/>
              </w:rPr>
              <w:t>业务部负责人</w:t>
            </w:r>
          </w:p>
        </w:tc>
        <w:tc>
          <w:tcPr>
            <w:tcW w:type="dxa" w:w="1247"/>
          </w:tcPr>
          <w:p>
            <w:pPr>
              <w:spacing w:before="20" w:after="20" w:line="276" w:lineRule="auto"/>
              <w:ind w:firstLine="0"/>
            </w:pPr>
            <w:r/>
            <w:r>
              <w:rPr>
                <w:rFonts w:ascii="Times New Roman" w:hAnsi="Times New Roman" w:eastAsia="宋体"/>
                <w:b w:val="0"/>
                <w:i w:val="0"/>
                <w:sz w:val="21"/>
              </w:rPr>
              <w:t>业务部</w:t>
            </w:r>
          </w:p>
        </w:tc>
        <w:tc>
          <w:tcPr>
            <w:tcW w:type="dxa" w:w="6463"/>
          </w:tcPr>
          <w:p>
            <w:pPr>
              <w:spacing w:before="20" w:after="20" w:line="276" w:lineRule="auto"/>
              <w:ind w:firstLine="0"/>
            </w:pPr>
            <w:r/>
            <w:r>
              <w:rPr>
                <w:rFonts w:ascii="Times New Roman" w:hAnsi="Times New Roman" w:eastAsia="宋体"/>
                <w:b w:val="0"/>
                <w:i w:val="0"/>
                <w:sz w:val="21"/>
              </w:rPr>
              <w:t>我要在一级节点审批新项目，以便业务可行性在进入风控前被把关</w:t>
            </w:r>
          </w:p>
        </w:tc>
      </w:tr>
      <w:tr>
        <w:tc>
          <w:tcPr>
            <w:tcW w:type="dxa" w:w="1361"/>
          </w:tcPr>
          <w:p>
            <w:pPr>
              <w:spacing w:before="20" w:after="20" w:line="276" w:lineRule="auto"/>
              <w:ind w:firstLine="0"/>
            </w:pPr>
            <w:r/>
            <w:r>
              <w:rPr>
                <w:rFonts w:ascii="Times New Roman" w:hAnsi="Times New Roman" w:eastAsia="宋体"/>
                <w:b w:val="0"/>
                <w:i w:val="0"/>
                <w:sz w:val="21"/>
              </w:rPr>
              <w:t>风控人员</w:t>
            </w:r>
          </w:p>
        </w:tc>
        <w:tc>
          <w:tcPr>
            <w:tcW w:type="dxa" w:w="1247"/>
          </w:tcPr>
          <w:p>
            <w:pPr>
              <w:spacing w:before="20" w:after="20" w:line="276" w:lineRule="auto"/>
              <w:ind w:firstLine="0"/>
            </w:pPr>
            <w:r/>
            <w:r>
              <w:rPr>
                <w:rFonts w:ascii="Times New Roman" w:hAnsi="Times New Roman" w:eastAsia="宋体"/>
                <w:b w:val="0"/>
                <w:i w:val="0"/>
                <w:sz w:val="21"/>
              </w:rPr>
              <w:t>风控部</w:t>
            </w:r>
          </w:p>
        </w:tc>
        <w:tc>
          <w:tcPr>
            <w:tcW w:type="dxa" w:w="6463"/>
          </w:tcPr>
          <w:p>
            <w:pPr>
              <w:spacing w:before="20" w:after="20" w:line="276" w:lineRule="auto"/>
              <w:ind w:firstLine="0"/>
            </w:pPr>
            <w:r/>
            <w:r>
              <w:rPr>
                <w:rFonts w:ascii="Times New Roman" w:hAnsi="Times New Roman" w:eastAsia="宋体"/>
                <w:b w:val="0"/>
                <w:i w:val="0"/>
                <w:sz w:val="21"/>
              </w:rPr>
              <w:t>我要复核企业风险扫描结果与贸易风控合规报告，以便识别主体、贸易与司法风险</w:t>
            </w:r>
          </w:p>
        </w:tc>
      </w:tr>
      <w:tr>
        <w:tc>
          <w:tcPr>
            <w:tcW w:type="dxa" w:w="1361"/>
          </w:tcPr>
          <w:p>
            <w:pPr>
              <w:spacing w:before="20" w:after="20" w:line="276" w:lineRule="auto"/>
              <w:ind w:firstLine="0"/>
            </w:pPr>
            <w:r/>
            <w:r>
              <w:rPr>
                <w:rFonts w:ascii="Times New Roman" w:hAnsi="Times New Roman" w:eastAsia="宋体"/>
                <w:b w:val="0"/>
                <w:i w:val="0"/>
                <w:sz w:val="21"/>
              </w:rPr>
              <w:t>财务人员</w:t>
            </w:r>
          </w:p>
        </w:tc>
        <w:tc>
          <w:tcPr>
            <w:tcW w:type="dxa" w:w="1247"/>
          </w:tcPr>
          <w:p>
            <w:pPr>
              <w:spacing w:before="20" w:after="20" w:line="276" w:lineRule="auto"/>
              <w:ind w:firstLine="0"/>
            </w:pPr>
            <w:r/>
            <w:r>
              <w:rPr>
                <w:rFonts w:ascii="Times New Roman" w:hAnsi="Times New Roman" w:eastAsia="宋体"/>
                <w:b w:val="0"/>
                <w:i w:val="0"/>
                <w:sz w:val="21"/>
              </w:rPr>
              <w:t>财务部</w:t>
            </w:r>
          </w:p>
        </w:tc>
        <w:tc>
          <w:tcPr>
            <w:tcW w:type="dxa" w:w="6463"/>
          </w:tcPr>
          <w:p>
            <w:pPr>
              <w:spacing w:before="20" w:after="20" w:line="276" w:lineRule="auto"/>
              <w:ind w:firstLine="0"/>
            </w:pPr>
            <w:r/>
            <w:r>
              <w:rPr>
                <w:rFonts w:ascii="Times New Roman" w:hAnsi="Times New Roman" w:eastAsia="宋体"/>
                <w:b w:val="0"/>
                <w:i w:val="0"/>
                <w:sz w:val="21"/>
              </w:rPr>
              <w:t>我要在二级串行节点核验项目资金与投资口径，以便放行到总经理终审</w:t>
            </w:r>
          </w:p>
        </w:tc>
      </w:tr>
      <w:tr>
        <w:tc>
          <w:tcPr>
            <w:tcW w:type="dxa" w:w="1361"/>
          </w:tcPr>
          <w:p>
            <w:pPr>
              <w:spacing w:before="20" w:after="20" w:line="276" w:lineRule="auto"/>
              <w:ind w:firstLine="0"/>
            </w:pPr>
            <w:r/>
            <w:r>
              <w:rPr>
                <w:rFonts w:ascii="Times New Roman" w:hAnsi="Times New Roman" w:eastAsia="宋体"/>
                <w:b w:val="0"/>
                <w:i w:val="0"/>
                <w:sz w:val="21"/>
              </w:rPr>
              <w:t>总经理</w:t>
            </w:r>
          </w:p>
        </w:tc>
        <w:tc>
          <w:tcPr>
            <w:tcW w:type="dxa" w:w="1247"/>
          </w:tcPr>
          <w:p>
            <w:pPr>
              <w:spacing w:before="20" w:after="20" w:line="276" w:lineRule="auto"/>
              <w:ind w:firstLine="0"/>
            </w:pPr>
            <w:r/>
            <w:r>
              <w:rPr>
                <w:rFonts w:ascii="Times New Roman" w:hAnsi="Times New Roman" w:eastAsia="宋体"/>
                <w:b w:val="0"/>
                <w:i w:val="0"/>
                <w:sz w:val="21"/>
              </w:rPr>
              <w:t>总经办</w:t>
            </w:r>
          </w:p>
        </w:tc>
        <w:tc>
          <w:tcPr>
            <w:tcW w:type="dxa" w:w="6463"/>
          </w:tcPr>
          <w:p>
            <w:pPr>
              <w:spacing w:before="20" w:after="20" w:line="276" w:lineRule="auto"/>
              <w:ind w:firstLine="0"/>
            </w:pPr>
            <w:r/>
            <w:r>
              <w:rPr>
                <w:rFonts w:ascii="Times New Roman" w:hAnsi="Times New Roman" w:eastAsia="宋体"/>
                <w:b w:val="0"/>
                <w:i w:val="0"/>
                <w:sz w:val="21"/>
              </w:rPr>
              <w:t>我要在最终节点对高风险立项做终审，以便项目准入有据可依</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4.1.4　功能结构与范围</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474"/>
            <w:shd w:val="clear" w:color="auto" w:fill="DCE6F1"/>
          </w:tcPr>
          <w:p>
            <w:pPr>
              <w:spacing w:before="40" w:after="40" w:line="276" w:lineRule="auto"/>
              <w:jc w:val="center"/>
            </w:pPr>
            <w:r/>
            <w:r>
              <w:rPr>
                <w:rFonts w:ascii="Times New Roman" w:hAnsi="Times New Roman" w:eastAsia="黑体"/>
                <w:b/>
                <w:i w:val="0"/>
                <w:sz w:val="21"/>
              </w:rPr>
              <w:t>功能</w:t>
            </w:r>
          </w:p>
        </w:tc>
        <w:tc>
          <w:tcPr>
            <w:tcW w:type="dxa" w:w="3175"/>
            <w:shd w:val="clear" w:color="auto" w:fill="DCE6F1"/>
          </w:tcPr>
          <w:p>
            <w:pPr>
              <w:spacing w:before="40" w:after="40" w:line="276" w:lineRule="auto"/>
              <w:jc w:val="center"/>
            </w:pPr>
            <w:r/>
            <w:r>
              <w:rPr>
                <w:rFonts w:ascii="Times New Roman" w:hAnsi="Times New Roman" w:eastAsia="黑体"/>
                <w:b/>
                <w:i w:val="0"/>
                <w:sz w:val="21"/>
              </w:rPr>
              <w:t>功能说明</w:t>
            </w:r>
          </w:p>
        </w:tc>
        <w:tc>
          <w:tcPr>
            <w:tcW w:type="dxa" w:w="4422"/>
            <w:shd w:val="clear" w:color="auto" w:fill="DCE6F1"/>
          </w:tcPr>
          <w:p>
            <w:pPr>
              <w:spacing w:before="40" w:after="40" w:line="276" w:lineRule="auto"/>
              <w:jc w:val="center"/>
            </w:pPr>
            <w:r/>
            <w:r>
              <w:rPr>
                <w:rFonts w:ascii="Times New Roman" w:hAnsi="Times New Roman" w:eastAsia="黑体"/>
                <w:b/>
                <w:i w:val="0"/>
                <w:sz w:val="21"/>
              </w:rPr>
              <w:t>关键规则</w:t>
            </w:r>
          </w:p>
        </w:tc>
      </w:tr>
      <w:tr>
        <w:tc>
          <w:tcPr>
            <w:tcW w:type="dxa" w:w="1474"/>
          </w:tcPr>
          <w:p>
            <w:pPr>
              <w:spacing w:before="20" w:after="20" w:line="276" w:lineRule="auto"/>
              <w:ind w:firstLine="0"/>
            </w:pPr>
            <w:r/>
            <w:r>
              <w:rPr>
                <w:rFonts w:ascii="Times New Roman" w:hAnsi="Times New Roman" w:eastAsia="宋体"/>
                <w:b w:val="0"/>
                <w:i w:val="0"/>
                <w:sz w:val="21"/>
              </w:rPr>
              <w:t>新建立项申请与草稿保存</w:t>
            </w:r>
          </w:p>
        </w:tc>
        <w:tc>
          <w:tcPr>
            <w:tcW w:type="dxa" w:w="3175"/>
          </w:tcPr>
          <w:p>
            <w:pPr>
              <w:spacing w:before="20" w:after="20" w:line="276" w:lineRule="auto"/>
              <w:ind w:firstLine="0"/>
            </w:pPr>
            <w:r/>
            <w:r>
              <w:rPr>
                <w:rFonts w:ascii="Times New Roman" w:hAnsi="Times New Roman" w:eastAsia="宋体"/>
                <w:b w:val="0"/>
                <w:i w:val="0"/>
                <w:sz w:val="21"/>
              </w:rPr>
              <w:t>在项目列表页点击「新建立项申请」进入立项表单页，任意步骤可保存草稿并返回列表，新建立项后流程状态为待提交。</w:t>
            </w:r>
          </w:p>
        </w:tc>
        <w:tc>
          <w:tcPr>
            <w:tcW w:type="dxa" w:w="4422"/>
          </w:tcPr>
          <w:p>
            <w:pPr>
              <w:spacing w:before="20" w:after="20" w:line="276" w:lineRule="auto"/>
              <w:ind w:firstLine="0"/>
            </w:pPr>
            <w:r/>
            <w:r>
              <w:rPr>
                <w:rFonts w:ascii="Times New Roman" w:hAnsi="Times New Roman" w:eastAsia="宋体"/>
                <w:b w:val="0"/>
                <w:i w:val="0"/>
                <w:sz w:val="21"/>
              </w:rPr>
              <w:t>步骤 1 必填项为项目名称、业务类型、货物品类、业务周期、业务负责人、项目小组成员；任一未填时阻止提交并提示「请填写：项目名称/业务类型/品类/...」。项目名称限中英常规标点、最大 54 中文字符；业务周期仅支持数字输入且不超过 999；项目主要内容、预计收益、保障措施、呈报事项 4 个文本字段各不超过 200 字。</w:t>
            </w:r>
          </w:p>
        </w:tc>
      </w:tr>
      <w:tr>
        <w:tc>
          <w:tcPr>
            <w:tcW w:type="dxa" w:w="1474"/>
          </w:tcPr>
          <w:p>
            <w:pPr>
              <w:spacing w:before="20" w:after="20" w:line="276" w:lineRule="auto"/>
              <w:ind w:firstLine="0"/>
            </w:pPr>
            <w:r/>
            <w:r>
              <w:rPr>
                <w:rFonts w:ascii="Times New Roman" w:hAnsi="Times New Roman" w:eastAsia="宋体"/>
                <w:b w:val="0"/>
                <w:i w:val="0"/>
                <w:sz w:val="21"/>
              </w:rPr>
              <w:t>关联企业选择与客户准入材料上传</w:t>
            </w:r>
          </w:p>
        </w:tc>
        <w:tc>
          <w:tcPr>
            <w:tcW w:type="dxa" w:w="3175"/>
          </w:tcPr>
          <w:p>
            <w:pPr>
              <w:spacing w:before="20" w:after="20" w:line="276" w:lineRule="auto"/>
              <w:ind w:firstLine="0"/>
            </w:pPr>
            <w:r/>
            <w:r>
              <w:rPr>
                <w:rFonts w:ascii="Times New Roman" w:hAnsi="Times New Roman" w:eastAsia="宋体"/>
                <w:b w:val="0"/>
                <w:i w:val="0"/>
                <w:sz w:val="21"/>
              </w:rPr>
              <w:t>步骤 1 可添加或移除关联企业，在关联企业弹窗内按清单上传客户准入材料，已完成准入的企业自动带入。</w:t>
            </w:r>
          </w:p>
        </w:tc>
        <w:tc>
          <w:tcPr>
            <w:tcW w:type="dxa" w:w="4422"/>
          </w:tcPr>
          <w:p>
            <w:pPr>
              <w:spacing w:before="20" w:after="20" w:line="276" w:lineRule="auto"/>
              <w:ind w:firstLine="0"/>
            </w:pPr>
            <w:r/>
            <w:r>
              <w:rPr>
                <w:rFonts w:ascii="Times New Roman" w:hAnsi="Times New Roman" w:eastAsia="宋体"/>
                <w:b w:val="0"/>
                <w:i w:val="0"/>
                <w:sz w:val="21"/>
              </w:rPr>
              <w:t>发起尽调要求至少关联 1 个企业，为 0 时提示「请至少添加 1 个关联企业」并阻止提交；客户准入材料必填 6 类为营业执照、税务登记证、特殊经营许可证、纳税申报表、完税证明、财务报表，非必填 7 类为法定代表人身份证、代理人身份证、开户许可证、授权委托书、KYC 调查表、周年申报表、其他材料；单个附件大小不超过 100MB。</w:t>
            </w:r>
          </w:p>
        </w:tc>
      </w:tr>
      <w:tr>
        <w:tc>
          <w:tcPr>
            <w:tcW w:type="dxa" w:w="1474"/>
          </w:tcPr>
          <w:p>
            <w:pPr>
              <w:spacing w:before="20" w:after="20" w:line="276" w:lineRule="auto"/>
              <w:ind w:firstLine="0"/>
            </w:pPr>
            <w:r/>
            <w:r>
              <w:rPr>
                <w:rFonts w:ascii="Times New Roman" w:hAnsi="Times New Roman" w:eastAsia="宋体"/>
                <w:b w:val="0"/>
                <w:i w:val="0"/>
                <w:sz w:val="21"/>
              </w:rPr>
              <w:t>企业尽调报告与企业风险扫描结果</w:t>
            </w:r>
          </w:p>
        </w:tc>
        <w:tc>
          <w:tcPr>
            <w:tcW w:type="dxa" w:w="3175"/>
          </w:tcPr>
          <w:p>
            <w:pPr>
              <w:spacing w:before="20" w:after="20" w:line="276" w:lineRule="auto"/>
              <w:ind w:firstLine="0"/>
            </w:pPr>
            <w:r/>
            <w:r>
              <w:rPr>
                <w:rFonts w:ascii="Times New Roman" w:hAnsi="Times New Roman" w:eastAsia="宋体"/>
                <w:b w:val="0"/>
                <w:i w:val="0"/>
                <w:sz w:val="21"/>
              </w:rPr>
              <w:t>步骤 2 按关联企业逐家出具尽调报告，风险扫描结果按贸易风险、主体风险、经营风险、司法风险、关系发现、关键人风险 6 个 Tab 分项呈现，可跳转外部企业信息服务的详细页查看原始信息，并可导出 PDF 风险报告。</w:t>
            </w:r>
          </w:p>
        </w:tc>
        <w:tc>
          <w:tcPr>
            <w:tcW w:type="dxa" w:w="4422"/>
          </w:tcPr>
          <w:p>
            <w:pPr>
              <w:spacing w:before="20" w:after="20" w:line="276" w:lineRule="auto"/>
              <w:ind w:firstLine="0"/>
            </w:pPr>
            <w:r/>
            <w:r>
              <w:rPr>
                <w:rFonts w:ascii="Times New Roman" w:hAnsi="Times New Roman" w:eastAsia="宋体"/>
                <w:b w:val="0"/>
                <w:i w:val="0"/>
                <w:sz w:val="21"/>
              </w:rPr>
              <w:t>外部企业信息接口超时时提示「天眼查接口超时，请重试」并允许重试，单个企业扫描失败不阻断其余企业与区块；命中高风险项达到 2 项时红色警示「企业存在 X 项高风险，建议修改关联企业」，警示不阻断流程；关联报告允许上传 pdf、png、jpg、doc 格式。</w:t>
            </w:r>
          </w:p>
        </w:tc>
      </w:tr>
      <w:tr>
        <w:tc>
          <w:tcPr>
            <w:tcW w:type="dxa" w:w="1474"/>
          </w:tcPr>
          <w:p>
            <w:pPr>
              <w:spacing w:before="20" w:after="20" w:line="276" w:lineRule="auto"/>
              <w:ind w:firstLine="0"/>
            </w:pPr>
            <w:r/>
            <w:r>
              <w:rPr>
                <w:rFonts w:ascii="Times New Roman" w:hAnsi="Times New Roman" w:eastAsia="宋体"/>
                <w:b w:val="0"/>
                <w:i w:val="0"/>
                <w:sz w:val="21"/>
              </w:rPr>
              <w:t>贸易风控合规报告</w:t>
            </w:r>
          </w:p>
        </w:tc>
        <w:tc>
          <w:tcPr>
            <w:tcW w:type="dxa" w:w="3175"/>
          </w:tcPr>
          <w:p>
            <w:pPr>
              <w:spacing w:before="20" w:after="20" w:line="276" w:lineRule="auto"/>
              <w:ind w:firstLine="0"/>
            </w:pPr>
            <w:r/>
            <w:r>
              <w:rPr>
                <w:rFonts w:ascii="Times New Roman" w:hAnsi="Times New Roman" w:eastAsia="宋体"/>
                <w:b w:val="0"/>
                <w:i w:val="0"/>
                <w:sz w:val="21"/>
              </w:rPr>
              <w:t>步骤 3 按 6 项检查项逐项校验上下游企业，顶部显示「6 项扫描」与「2 项风险」计数，表格 5 列为检查分类、校验项、检查规则、检查过程、校验结果。</w:t>
            </w:r>
          </w:p>
        </w:tc>
        <w:tc>
          <w:tcPr>
            <w:tcW w:type="dxa" w:w="4422"/>
          </w:tcPr>
          <w:p>
            <w:pPr>
              <w:spacing w:before="20" w:after="20" w:line="276" w:lineRule="auto"/>
              <w:ind w:firstLine="0"/>
            </w:pPr>
            <w:r/>
            <w:r>
              <w:rPr>
                <w:rFonts w:ascii="Times New Roman" w:hAnsi="Times New Roman" w:eastAsia="宋体"/>
                <w:b w:val="0"/>
                <w:i w:val="0"/>
                <w:sz w:val="21"/>
              </w:rPr>
              <w:t>报告固定 6 项检查项，其中交叉持股比例达到 25%、董监高人员完全重合或交叉任职人数达到 3 人、注册与经营地址及电话邮箱全部完全相同、长期固定合作且价差不变持续 6 个月以上共 4 项有明确阈值；上下游为同一企业或同一实际控制人、一方为另一方贸易合同提供连带责任担保共 2 项的判定规则需业务方补充。</w:t>
            </w:r>
          </w:p>
        </w:tc>
      </w:tr>
      <w:tr>
        <w:tc>
          <w:tcPr>
            <w:tcW w:type="dxa" w:w="1474"/>
          </w:tcPr>
          <w:p>
            <w:pPr>
              <w:spacing w:before="20" w:after="20" w:line="276" w:lineRule="auto"/>
              <w:ind w:firstLine="0"/>
            </w:pPr>
            <w:r/>
            <w:r>
              <w:rPr>
                <w:rFonts w:ascii="Times New Roman" w:hAnsi="Times New Roman" w:eastAsia="宋体"/>
                <w:b w:val="0"/>
                <w:i w:val="0"/>
                <w:sz w:val="21"/>
              </w:rPr>
              <w:t>串行审批与 SLA 自动催办</w:t>
            </w:r>
          </w:p>
        </w:tc>
        <w:tc>
          <w:tcPr>
            <w:tcW w:type="dxa" w:w="3175"/>
          </w:tcPr>
          <w:p>
            <w:pPr>
              <w:spacing w:before="20" w:after="20" w:line="276" w:lineRule="auto"/>
              <w:ind w:firstLine="0"/>
            </w:pPr>
            <w:r/>
            <w:r>
              <w:rPr>
                <w:rFonts w:ascii="Times New Roman" w:hAnsi="Times New Roman" w:eastAsia="宋体"/>
                <w:b w:val="0"/>
                <w:i w:val="0"/>
                <w:sz w:val="21"/>
              </w:rPr>
              <w:t>步骤 4 提交审批后进入 5 节点串行审批链，页面顶部给出当前节点、剩余节点、已耗时、预计完成、外部系统 5 项指标，并记录实时活动时间线。</w:t>
            </w:r>
          </w:p>
        </w:tc>
        <w:tc>
          <w:tcPr>
            <w:tcW w:type="dxa" w:w="4422"/>
          </w:tcPr>
          <w:p>
            <w:pPr>
              <w:spacing w:before="20" w:after="20" w:line="276" w:lineRule="auto"/>
              <w:ind w:firstLine="0"/>
            </w:pPr>
            <w:r/>
            <w:r>
              <w:rPr>
                <w:rFonts w:ascii="Times New Roman" w:hAnsi="Times New Roman" w:eastAsia="宋体"/>
                <w:b w:val="0"/>
                <w:i w:val="0"/>
                <w:sz w:val="21"/>
              </w:rPr>
              <w:t>审批链为提交、一级业务、风控部、财务部、总经理 5 个节点逐级串行，前一节点通过后自动流转至后一节点，任一节点驳回则状态变为已驳回；当前节点超 2 小时未处理触发自动催办，催办最多 3 次后升级上级，驳回时必须填写驳回原因。</w:t>
            </w:r>
          </w:p>
        </w:tc>
      </w:tr>
      <w:tr>
        <w:tc>
          <w:tcPr>
            <w:tcW w:type="dxa" w:w="1474"/>
          </w:tcPr>
          <w:p>
            <w:pPr>
              <w:spacing w:before="20" w:after="20" w:line="276" w:lineRule="auto"/>
              <w:ind w:firstLine="0"/>
            </w:pPr>
            <w:r/>
            <w:r>
              <w:rPr>
                <w:rFonts w:ascii="Times New Roman" w:hAnsi="Times New Roman" w:eastAsia="宋体"/>
                <w:b w:val="0"/>
                <w:i w:val="0"/>
                <w:sz w:val="21"/>
              </w:rPr>
              <w:t>准入完成与准入凭证</w:t>
            </w:r>
          </w:p>
        </w:tc>
        <w:tc>
          <w:tcPr>
            <w:tcW w:type="dxa" w:w="3175"/>
          </w:tcPr>
          <w:p>
            <w:pPr>
              <w:spacing w:before="20" w:after="20" w:line="276" w:lineRule="auto"/>
              <w:ind w:firstLine="0"/>
            </w:pPr>
            <w:r/>
            <w:r>
              <w:rPr>
                <w:rFonts w:ascii="Times New Roman" w:hAnsi="Times New Roman" w:eastAsia="宋体"/>
                <w:b w:val="0"/>
                <w:i w:val="0"/>
                <w:sz w:val="21"/>
              </w:rPr>
              <w:t>步骤 5 展示准入完成结果，可下载准入凭证，并可跳转客户管理或创建合同。</w:t>
            </w:r>
          </w:p>
        </w:tc>
        <w:tc>
          <w:tcPr>
            <w:tcW w:type="dxa" w:w="4422"/>
          </w:tcPr>
          <w:p>
            <w:pPr>
              <w:spacing w:before="20" w:after="20" w:line="276" w:lineRule="auto"/>
              <w:ind w:firstLine="0"/>
            </w:pPr>
            <w:r/>
            <w:r>
              <w:rPr>
                <w:rFonts w:ascii="Times New Roman" w:hAnsi="Times New Roman" w:eastAsia="宋体"/>
                <w:b w:val="0"/>
                <w:i w:val="0"/>
                <w:sz w:val="21"/>
              </w:rPr>
              <w:t>全部审批节点通过后流程状态由审批中自动变为执行中，业务完结或主动终止后变为已完结；项目完结时关联企业从风险报告沉淀到客户台账并记录来源项目与来源尽调报告；已作废与已完结为终态。</w:t>
            </w:r>
          </w:p>
        </w:tc>
      </w:tr>
      <w:tr>
        <w:tc>
          <w:tcPr>
            <w:tcW w:type="dxa" w:w="1474"/>
          </w:tcPr>
          <w:p>
            <w:pPr>
              <w:spacing w:before="20" w:after="20" w:line="276" w:lineRule="auto"/>
              <w:ind w:firstLine="0"/>
            </w:pPr>
            <w:r/>
            <w:r>
              <w:rPr>
                <w:rFonts w:ascii="Times New Roman" w:hAnsi="Times New Roman" w:eastAsia="宋体"/>
                <w:b w:val="0"/>
                <w:i w:val="0"/>
                <w:sz w:val="21"/>
              </w:rPr>
              <w:t>项目列表与状态流转管理</w:t>
            </w:r>
          </w:p>
        </w:tc>
        <w:tc>
          <w:tcPr>
            <w:tcW w:type="dxa" w:w="3175"/>
          </w:tcPr>
          <w:p>
            <w:pPr>
              <w:spacing w:before="20" w:after="20" w:line="276" w:lineRule="auto"/>
              <w:ind w:firstLine="0"/>
            </w:pPr>
            <w:r/>
            <w:r>
              <w:rPr>
                <w:rFonts w:ascii="Times New Roman" w:hAnsi="Times New Roman" w:eastAsia="宋体"/>
                <w:b w:val="0"/>
                <w:i w:val="0"/>
                <w:sz w:val="21"/>
              </w:rPr>
              <w:t>列表页提供 7 个状态 Tab、15 列数据表、筛选区与分页，支持数据导出与行内操作。</w:t>
            </w:r>
          </w:p>
        </w:tc>
        <w:tc>
          <w:tcPr>
            <w:tcW w:type="dxa" w:w="4422"/>
          </w:tcPr>
          <w:p>
            <w:pPr>
              <w:spacing w:before="20" w:after="20" w:line="276" w:lineRule="auto"/>
              <w:ind w:firstLine="0"/>
            </w:pPr>
            <w:r/>
            <w:r>
              <w:rPr>
                <w:rFonts w:ascii="Times New Roman" w:hAnsi="Times New Roman" w:eastAsia="宋体"/>
                <w:b w:val="0"/>
                <w:i w:val="0"/>
                <w:sz w:val="21"/>
              </w:rPr>
              <w:t>列表 Tab 为全部加 6 个流程状态；行操作按状态显隐，待提交可查看、编辑、提交、作废，审批中可查看、撤回，执行中可查看、上传客户准入报告、终止，已驳回可查看、编辑、重新提交、作废，已完结与已作废仅可查看；「撤回申请」限定创建人且状态为审批中。</w:t>
            </w:r>
          </w:p>
        </w:tc>
      </w:tr>
      <w:tr>
        <w:tc>
          <w:tcPr>
            <w:tcW w:type="dxa" w:w="1474"/>
          </w:tcPr>
          <w:p>
            <w:pPr>
              <w:spacing w:before="20" w:after="20" w:line="276" w:lineRule="auto"/>
              <w:ind w:firstLine="0"/>
            </w:pPr>
            <w:r/>
            <w:r>
              <w:rPr>
                <w:rFonts w:ascii="Times New Roman" w:hAnsi="Times New Roman" w:eastAsia="宋体"/>
                <w:b w:val="0"/>
                <w:i w:val="0"/>
                <w:sz w:val="21"/>
              </w:rPr>
              <w:t>整体报告导出</w:t>
            </w:r>
          </w:p>
        </w:tc>
        <w:tc>
          <w:tcPr>
            <w:tcW w:type="dxa" w:w="3175"/>
          </w:tcPr>
          <w:p>
            <w:pPr>
              <w:spacing w:before="20" w:after="20" w:line="276" w:lineRule="auto"/>
              <w:ind w:firstLine="0"/>
            </w:pPr>
            <w:r/>
            <w:r>
              <w:rPr>
                <w:rFonts w:ascii="Times New Roman" w:hAnsi="Times New Roman" w:eastAsia="宋体"/>
                <w:b w:val="0"/>
                <w:i w:val="0"/>
                <w:sz w:val="21"/>
              </w:rPr>
              <w:t>项目准入完成后可导出整体报告，作为项目全过程的书面归档。</w:t>
            </w:r>
          </w:p>
        </w:tc>
        <w:tc>
          <w:tcPr>
            <w:tcW w:type="dxa" w:w="4422"/>
          </w:tcPr>
          <w:p>
            <w:pPr>
              <w:spacing w:before="20" w:after="20" w:line="276" w:lineRule="auto"/>
              <w:ind w:firstLine="0"/>
            </w:pPr>
            <w:r/>
            <w:r>
              <w:rPr>
                <w:rFonts w:ascii="Times New Roman" w:hAnsi="Times New Roman" w:eastAsia="宋体"/>
                <w:b w:val="0"/>
                <w:i w:val="0"/>
                <w:sz w:val="21"/>
              </w:rPr>
              <w:t>全站详情页与报表页不提供打印入口，仅准入管理模块的整体报告可导出为 PDF；整体报告的内容范围与页面入口位置需业务方确认。</w:t>
            </w:r>
          </w:p>
        </w:tc>
      </w:tr>
    </w:tbl>
    <w:p>
      <w:pPr>
        <w:spacing w:before="0" w:after="0" w:line="240" w:lineRule="auto"/>
      </w:pP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tblGrid>
      <w:tr>
        <w:trPr>
          <w:tblHeader w:val="true"/>
        </w:trPr>
        <w:tc>
          <w:tcPr>
            <w:tcW w:type="dxa" w:w="1247"/>
            <w:shd w:val="clear" w:color="auto" w:fill="DCE6F1"/>
          </w:tcPr>
          <w:p>
            <w:pPr>
              <w:spacing w:before="40" w:after="40" w:line="276" w:lineRule="auto"/>
              <w:jc w:val="center"/>
            </w:pPr>
            <w:r/>
            <w:r>
              <w:rPr>
                <w:rFonts w:ascii="Times New Roman" w:hAnsi="Times New Roman" w:eastAsia="黑体"/>
                <w:b/>
                <w:i w:val="0"/>
                <w:sz w:val="19"/>
              </w:rPr>
              <w:t>页面</w:t>
            </w:r>
          </w:p>
        </w:tc>
        <w:tc>
          <w:tcPr>
            <w:tcW w:type="dxa" w:w="1474"/>
            <w:shd w:val="clear" w:color="auto" w:fill="DCE6F1"/>
          </w:tcPr>
          <w:p>
            <w:pPr>
              <w:spacing w:before="40" w:after="40" w:line="276" w:lineRule="auto"/>
              <w:jc w:val="center"/>
            </w:pPr>
            <w:r/>
            <w:r>
              <w:rPr>
                <w:rFonts w:ascii="Times New Roman" w:hAnsi="Times New Roman" w:eastAsia="黑体"/>
                <w:b/>
                <w:i w:val="0"/>
                <w:sz w:val="19"/>
              </w:rPr>
              <w:t>文件</w:t>
            </w:r>
          </w:p>
        </w:tc>
        <w:tc>
          <w:tcPr>
            <w:tcW w:type="dxa" w:w="1134"/>
            <w:shd w:val="clear" w:color="auto" w:fill="DCE6F1"/>
          </w:tcPr>
          <w:p>
            <w:pPr>
              <w:spacing w:before="40" w:after="40" w:line="276" w:lineRule="auto"/>
              <w:jc w:val="center"/>
            </w:pPr>
            <w:r/>
            <w:r>
              <w:rPr>
                <w:rFonts w:ascii="Times New Roman" w:hAnsi="Times New Roman" w:eastAsia="黑体"/>
                <w:b/>
                <w:i w:val="0"/>
                <w:sz w:val="19"/>
              </w:rPr>
              <w:t>入口</w:t>
            </w:r>
          </w:p>
        </w:tc>
        <w:tc>
          <w:tcPr>
            <w:tcW w:type="dxa" w:w="2041"/>
            <w:shd w:val="clear" w:color="auto" w:fill="DCE6F1"/>
          </w:tcPr>
          <w:p>
            <w:pPr>
              <w:spacing w:before="40" w:after="40" w:line="276" w:lineRule="auto"/>
              <w:jc w:val="center"/>
            </w:pPr>
            <w:r/>
            <w:r>
              <w:rPr>
                <w:rFonts w:ascii="Times New Roman" w:hAnsi="Times New Roman" w:eastAsia="黑体"/>
                <w:b/>
                <w:i w:val="0"/>
                <w:sz w:val="19"/>
              </w:rPr>
              <w:t>主要区块</w:t>
            </w:r>
          </w:p>
        </w:tc>
        <w:tc>
          <w:tcPr>
            <w:tcW w:type="dxa" w:w="1701"/>
            <w:shd w:val="clear" w:color="auto" w:fill="DCE6F1"/>
          </w:tcPr>
          <w:p>
            <w:pPr>
              <w:spacing w:before="40" w:after="40" w:line="276" w:lineRule="auto"/>
              <w:jc w:val="center"/>
            </w:pPr>
            <w:r/>
            <w:r>
              <w:rPr>
                <w:rFonts w:ascii="Times New Roman" w:hAnsi="Times New Roman" w:eastAsia="黑体"/>
                <w:b/>
                <w:i w:val="0"/>
                <w:sz w:val="19"/>
              </w:rPr>
              <w:t>主要操作</w:t>
            </w:r>
          </w:p>
        </w:tc>
        <w:tc>
          <w:tcPr>
            <w:tcW w:type="dxa" w:w="1474"/>
            <w:shd w:val="clear" w:color="auto" w:fill="DCE6F1"/>
          </w:tcPr>
          <w:p>
            <w:pPr>
              <w:spacing w:before="40" w:after="40" w:line="276" w:lineRule="auto"/>
              <w:jc w:val="center"/>
            </w:pPr>
            <w:r/>
            <w:r>
              <w:rPr>
                <w:rFonts w:ascii="Times New Roman" w:hAnsi="Times New Roman" w:eastAsia="黑体"/>
                <w:b/>
                <w:i w:val="0"/>
                <w:sz w:val="19"/>
              </w:rPr>
              <w:t>跳转</w:t>
            </w:r>
          </w:p>
        </w:tc>
      </w:tr>
      <w:tr>
        <w:tc>
          <w:tcPr>
            <w:tcW w:type="dxa" w:w="1247"/>
          </w:tcPr>
          <w:p>
            <w:pPr>
              <w:spacing w:before="20" w:after="20" w:line="276" w:lineRule="auto"/>
              <w:ind w:firstLine="0"/>
            </w:pPr>
            <w:r/>
            <w:r>
              <w:rPr>
                <w:rFonts w:ascii="Times New Roman" w:hAnsi="Times New Roman" w:eastAsia="宋体"/>
                <w:b w:val="0"/>
                <w:i w:val="0"/>
                <w:sz w:val="19"/>
              </w:rPr>
              <w:t>项目列表页</w:t>
            </w:r>
          </w:p>
        </w:tc>
        <w:tc>
          <w:tcPr>
            <w:tcW w:type="dxa" w:w="1474"/>
          </w:tcPr>
          <w:p>
            <w:pPr>
              <w:spacing w:before="20" w:after="20" w:line="276" w:lineRule="auto"/>
              <w:ind w:firstLine="0"/>
            </w:pPr>
            <w:r/>
            <w:r>
              <w:rPr>
                <w:rFonts w:ascii="Times New Roman" w:hAnsi="Times New Roman" w:eastAsia="宋体"/>
                <w:b w:val="0"/>
                <w:i w:val="0"/>
                <w:sz w:val="19"/>
              </w:rPr>
              <w:t>project-list.html</w:t>
            </w:r>
          </w:p>
        </w:tc>
        <w:tc>
          <w:tcPr>
            <w:tcW w:type="dxa" w:w="1134"/>
          </w:tcPr>
          <w:p>
            <w:pPr>
              <w:spacing w:before="20" w:after="20" w:line="276" w:lineRule="auto"/>
              <w:ind w:firstLine="0"/>
            </w:pPr>
            <w:r/>
            <w:r>
              <w:rPr>
                <w:rFonts w:ascii="Times New Roman" w:hAnsi="Times New Roman" w:eastAsia="宋体"/>
                <w:b w:val="0"/>
                <w:i w:val="0"/>
                <w:sz w:val="19"/>
              </w:rPr>
              <w:t>准入管理 → 项目准入</w:t>
            </w:r>
          </w:p>
        </w:tc>
        <w:tc>
          <w:tcPr>
            <w:tcW w:type="dxa" w:w="2041"/>
          </w:tcPr>
          <w:p>
            <w:pPr>
              <w:spacing w:before="20" w:after="20" w:line="276" w:lineRule="auto"/>
              <w:ind w:firstLine="0"/>
            </w:pPr>
            <w:r/>
            <w:r>
              <w:rPr>
                <w:rFonts w:ascii="Times New Roman" w:hAnsi="Times New Roman" w:eastAsia="宋体"/>
                <w:b w:val="0"/>
                <w:i w:val="0"/>
                <w:sz w:val="19"/>
              </w:rPr>
              <w:t>标题区与「新建立项申请」主操作、筛选区（立项申请编号、项目名称、企业名称、业务类型、货物品类、业务周期、总投资金额、立项时间、申请时间、业务负责人）、7 个状态 Tab、数据表格 15 列、分页</w:t>
            </w:r>
          </w:p>
        </w:tc>
        <w:tc>
          <w:tcPr>
            <w:tcW w:type="dxa" w:w="1701"/>
          </w:tcPr>
          <w:p>
            <w:pPr>
              <w:spacing w:before="20" w:after="20" w:line="276" w:lineRule="auto"/>
              <w:ind w:firstLine="0"/>
            </w:pPr>
            <w:r/>
            <w:r>
              <w:rPr>
                <w:rFonts w:ascii="Times New Roman" w:hAnsi="Times New Roman" w:eastAsia="宋体"/>
                <w:b w:val="0"/>
                <w:i w:val="0"/>
                <w:sz w:val="19"/>
              </w:rPr>
              <w:t>新建立项申请、查看、编辑、提交、作废、审核、数据导出、清除全部</w:t>
            </w:r>
          </w:p>
        </w:tc>
        <w:tc>
          <w:tcPr>
            <w:tcW w:type="dxa" w:w="1474"/>
          </w:tcPr>
          <w:p>
            <w:pPr>
              <w:spacing w:before="20" w:after="20" w:line="276" w:lineRule="auto"/>
              <w:ind w:firstLine="0"/>
            </w:pPr>
            <w:r/>
            <w:r>
              <w:rPr>
                <w:rFonts w:ascii="Times New Roman" w:hAnsi="Times New Roman" w:eastAsia="宋体"/>
                <w:b w:val="0"/>
                <w:i w:val="0"/>
                <w:sz w:val="19"/>
              </w:rPr>
              <w:t>新建立项申请跳 project-apply.html；查看、编辑、审核跳 project-detail.html</w:t>
            </w:r>
          </w:p>
        </w:tc>
      </w:tr>
      <w:tr>
        <w:tc>
          <w:tcPr>
            <w:tcW w:type="dxa" w:w="1247"/>
          </w:tcPr>
          <w:p>
            <w:pPr>
              <w:spacing w:before="20" w:after="20" w:line="276" w:lineRule="auto"/>
              <w:ind w:firstLine="0"/>
            </w:pPr>
            <w:r/>
            <w:r>
              <w:rPr>
                <w:rFonts w:ascii="Times New Roman" w:hAnsi="Times New Roman" w:eastAsia="宋体"/>
                <w:b w:val="0"/>
                <w:i w:val="0"/>
                <w:sz w:val="19"/>
              </w:rPr>
              <w:t>项目立项申请页</w:t>
            </w:r>
          </w:p>
        </w:tc>
        <w:tc>
          <w:tcPr>
            <w:tcW w:type="dxa" w:w="1474"/>
          </w:tcPr>
          <w:p>
            <w:pPr>
              <w:spacing w:before="20" w:after="20" w:line="276" w:lineRule="auto"/>
              <w:ind w:firstLine="0"/>
            </w:pPr>
            <w:r/>
            <w:r>
              <w:rPr>
                <w:rFonts w:ascii="Times New Roman" w:hAnsi="Times New Roman" w:eastAsia="宋体"/>
                <w:b w:val="0"/>
                <w:i w:val="0"/>
                <w:sz w:val="19"/>
              </w:rPr>
              <w:t>project-apply.html</w:t>
            </w:r>
          </w:p>
        </w:tc>
        <w:tc>
          <w:tcPr>
            <w:tcW w:type="dxa" w:w="1134"/>
          </w:tcPr>
          <w:p>
            <w:pPr>
              <w:spacing w:before="20" w:after="20" w:line="276" w:lineRule="auto"/>
              <w:ind w:firstLine="0"/>
            </w:pPr>
            <w:r/>
            <w:r>
              <w:rPr>
                <w:rFonts w:ascii="Times New Roman" w:hAnsi="Times New Roman" w:eastAsia="宋体"/>
                <w:b w:val="0"/>
                <w:i w:val="0"/>
                <w:sz w:val="19"/>
              </w:rPr>
              <w:t>项目列表页 → 新建立项申请</w:t>
            </w:r>
          </w:p>
        </w:tc>
        <w:tc>
          <w:tcPr>
            <w:tcW w:type="dxa" w:w="2041"/>
          </w:tcPr>
          <w:p>
            <w:pPr>
              <w:spacing w:before="20" w:after="20" w:line="276" w:lineRule="auto"/>
              <w:ind w:firstLine="0"/>
            </w:pPr>
            <w:r/>
            <w:r>
              <w:rPr>
                <w:rFonts w:ascii="Times New Roman" w:hAnsi="Times New Roman" w:eastAsia="宋体"/>
                <w:b w:val="0"/>
                <w:i w:val="0"/>
                <w:sz w:val="19"/>
              </w:rPr>
              <w:t>5 步骤条（项目基本信息、企业尽调报告、贸易风控合规报告、审批详情、准入完成）、各步骤表单与报告区、关键指标卡、实时活动时间线、固定底栏</w:t>
            </w:r>
          </w:p>
        </w:tc>
        <w:tc>
          <w:tcPr>
            <w:tcW w:type="dxa" w:w="1701"/>
          </w:tcPr>
          <w:p>
            <w:pPr>
              <w:spacing w:before="20" w:after="20" w:line="276" w:lineRule="auto"/>
              <w:ind w:firstLine="0"/>
            </w:pPr>
            <w:r/>
            <w:r>
              <w:rPr>
                <w:rFonts w:ascii="Times New Roman" w:hAnsi="Times New Roman" w:eastAsia="宋体"/>
                <w:b w:val="0"/>
                <w:i w:val="0"/>
                <w:sz w:val="19"/>
              </w:rPr>
              <w:t>返回、保存草稿、发起尽调、添加关联企业、移除关联企业、导出报告、提交审批、撤回申请、催办、下载准入凭证、客户管理、创建合同</w:t>
            </w:r>
          </w:p>
        </w:tc>
        <w:tc>
          <w:tcPr>
            <w:tcW w:type="dxa" w:w="1474"/>
          </w:tcPr>
          <w:p>
            <w:pPr>
              <w:spacing w:before="20" w:after="20" w:line="276" w:lineRule="auto"/>
              <w:ind w:firstLine="0"/>
            </w:pPr>
            <w:r/>
            <w:r>
              <w:rPr>
                <w:rFonts w:ascii="Times New Roman" w:hAnsi="Times New Roman" w:eastAsia="宋体"/>
                <w:b w:val="0"/>
                <w:i w:val="0"/>
                <w:sz w:val="19"/>
              </w:rPr>
              <w:t>步骤条可点击切换，已完成步骤可回看；客户管理跳客户准入列表；创建合同跳合同新建并关联项目</w:t>
            </w:r>
          </w:p>
        </w:tc>
      </w:tr>
      <w:tr>
        <w:tc>
          <w:tcPr>
            <w:tcW w:type="dxa" w:w="1247"/>
          </w:tcPr>
          <w:p>
            <w:pPr>
              <w:spacing w:before="20" w:after="20" w:line="276" w:lineRule="auto"/>
              <w:ind w:firstLine="0"/>
            </w:pPr>
            <w:r/>
            <w:r>
              <w:rPr>
                <w:rFonts w:ascii="Times New Roman" w:hAnsi="Times New Roman" w:eastAsia="宋体"/>
                <w:b w:val="0"/>
                <w:i w:val="0"/>
                <w:sz w:val="19"/>
              </w:rPr>
              <w:t>项目详情页</w:t>
            </w:r>
          </w:p>
        </w:tc>
        <w:tc>
          <w:tcPr>
            <w:tcW w:type="dxa" w:w="1474"/>
          </w:tcPr>
          <w:p>
            <w:pPr>
              <w:spacing w:before="20" w:after="20" w:line="276" w:lineRule="auto"/>
              <w:ind w:firstLine="0"/>
            </w:pPr>
            <w:r/>
            <w:r>
              <w:rPr>
                <w:rFonts w:ascii="Times New Roman" w:hAnsi="Times New Roman" w:eastAsia="宋体"/>
                <w:b w:val="0"/>
                <w:i w:val="0"/>
                <w:sz w:val="19"/>
              </w:rPr>
              <w:t>project-detail.html</w:t>
            </w:r>
          </w:p>
        </w:tc>
        <w:tc>
          <w:tcPr>
            <w:tcW w:type="dxa" w:w="1134"/>
          </w:tcPr>
          <w:p>
            <w:pPr>
              <w:spacing w:before="20" w:after="20" w:line="276" w:lineRule="auto"/>
              <w:ind w:firstLine="0"/>
            </w:pPr>
            <w:r/>
            <w:r>
              <w:rPr>
                <w:rFonts w:ascii="Times New Roman" w:hAnsi="Times New Roman" w:eastAsia="宋体"/>
                <w:b w:val="0"/>
                <w:i w:val="0"/>
                <w:sz w:val="19"/>
              </w:rPr>
              <w:t>项目列表页 → 查看 / 编辑 / 审核</w:t>
            </w:r>
          </w:p>
        </w:tc>
        <w:tc>
          <w:tcPr>
            <w:tcW w:type="dxa" w:w="2041"/>
          </w:tcPr>
          <w:p>
            <w:pPr>
              <w:spacing w:before="20" w:after="20" w:line="276" w:lineRule="auto"/>
              <w:ind w:firstLine="0"/>
            </w:pPr>
            <w:r/>
            <w:r>
              <w:rPr>
                <w:rFonts w:ascii="Times New Roman" w:hAnsi="Times New Roman" w:eastAsia="宋体"/>
                <w:b w:val="0"/>
                <w:i w:val="0"/>
                <w:sz w:val="19"/>
              </w:rPr>
              <w:t>项目基本信息、风险扫描结果 6 个 Tab（贸易风险、主体风险、经营风险、司法风险、关系发现、关键人风险）、审批进度与时间线、客户准入材料与附件区、固定底栏</w:t>
            </w:r>
          </w:p>
        </w:tc>
        <w:tc>
          <w:tcPr>
            <w:tcW w:type="dxa" w:w="1701"/>
          </w:tcPr>
          <w:p>
            <w:pPr>
              <w:spacing w:before="20" w:after="20" w:line="276" w:lineRule="auto"/>
              <w:ind w:firstLine="0"/>
            </w:pPr>
            <w:r/>
            <w:r>
              <w:rPr>
                <w:rFonts w:ascii="Times New Roman" w:hAnsi="Times New Roman" w:eastAsia="宋体"/>
                <w:b w:val="0"/>
                <w:i w:val="0"/>
                <w:sz w:val="19"/>
              </w:rPr>
              <w:t>查看、审批通过、驳回审批、上传客户准入报告、复制为新项目</w:t>
            </w:r>
          </w:p>
        </w:tc>
        <w:tc>
          <w:tcPr>
            <w:tcW w:type="dxa" w:w="1474"/>
          </w:tcPr>
          <w:p>
            <w:pPr>
              <w:spacing w:before="20" w:after="20" w:line="276" w:lineRule="auto"/>
              <w:ind w:firstLine="0"/>
            </w:pPr>
            <w:r/>
            <w:r>
              <w:rPr>
                <w:rFonts w:ascii="Times New Roman" w:hAnsi="Times New Roman" w:eastAsia="宋体"/>
                <w:b w:val="0"/>
                <w:i w:val="0"/>
                <w:sz w:val="19"/>
              </w:rPr>
              <w:t>审批通过与驳回审批回到当前审批流并更新流程状态</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4.1.5　数据关系</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474"/>
            <w:shd w:val="clear" w:color="auto" w:fill="DCE6F1"/>
          </w:tcPr>
          <w:p>
            <w:pPr>
              <w:spacing w:before="40" w:after="40" w:line="276" w:lineRule="auto"/>
              <w:jc w:val="center"/>
            </w:pPr>
            <w:r/>
            <w:r>
              <w:rPr>
                <w:rFonts w:ascii="Times New Roman" w:hAnsi="Times New Roman" w:eastAsia="黑体"/>
                <w:b/>
                <w:i w:val="0"/>
                <w:sz w:val="21"/>
              </w:rPr>
              <w:t>业务对象</w:t>
            </w:r>
          </w:p>
        </w:tc>
        <w:tc>
          <w:tcPr>
            <w:tcW w:type="dxa" w:w="4195"/>
            <w:shd w:val="clear" w:color="auto" w:fill="DCE6F1"/>
          </w:tcPr>
          <w:p>
            <w:pPr>
              <w:spacing w:before="40" w:after="40" w:line="276" w:lineRule="auto"/>
              <w:jc w:val="center"/>
            </w:pPr>
            <w:r/>
            <w:r>
              <w:rPr>
                <w:rFonts w:ascii="Times New Roman" w:hAnsi="Times New Roman" w:eastAsia="黑体"/>
                <w:b/>
                <w:i w:val="0"/>
                <w:sz w:val="21"/>
              </w:rPr>
              <w:t>关键字段与口径</w:t>
            </w:r>
          </w:p>
        </w:tc>
        <w:tc>
          <w:tcPr>
            <w:tcW w:type="dxa" w:w="3402"/>
            <w:shd w:val="clear" w:color="auto" w:fill="DCE6F1"/>
          </w:tcPr>
          <w:p>
            <w:pPr>
              <w:spacing w:before="40" w:after="40" w:line="276" w:lineRule="auto"/>
              <w:jc w:val="center"/>
            </w:pPr>
            <w:r/>
            <w:r>
              <w:rPr>
                <w:rFonts w:ascii="Times New Roman" w:hAnsi="Times New Roman" w:eastAsia="黑体"/>
                <w:b/>
                <w:i w:val="0"/>
                <w:sz w:val="21"/>
              </w:rPr>
              <w:t>与其他对象的关系</w:t>
            </w:r>
          </w:p>
        </w:tc>
      </w:tr>
      <w:tr>
        <w:tc>
          <w:tcPr>
            <w:tcW w:type="dxa" w:w="1474"/>
          </w:tcPr>
          <w:p>
            <w:pPr>
              <w:spacing w:before="20" w:after="20" w:line="276" w:lineRule="auto"/>
              <w:ind w:firstLine="0"/>
            </w:pPr>
            <w:r/>
            <w:r>
              <w:rPr>
                <w:rFonts w:ascii="Times New Roman" w:hAnsi="Times New Roman" w:eastAsia="宋体"/>
                <w:b w:val="0"/>
                <w:i w:val="0"/>
                <w:sz w:val="21"/>
              </w:rPr>
              <w:t>项目（立项单）</w:t>
            </w:r>
          </w:p>
        </w:tc>
        <w:tc>
          <w:tcPr>
            <w:tcW w:type="dxa" w:w="4195"/>
          </w:tcPr>
          <w:p>
            <w:pPr>
              <w:spacing w:before="20" w:after="20" w:line="276" w:lineRule="auto"/>
              <w:ind w:firstLine="0"/>
            </w:pPr>
            <w:r/>
            <w:r>
              <w:rPr>
                <w:rFonts w:ascii="Times New Roman" w:hAnsi="Times New Roman" w:eastAsia="宋体"/>
                <w:b w:val="0"/>
                <w:i w:val="0"/>
                <w:sz w:val="21"/>
              </w:rPr>
              <w:t>业务立项编号：系统生成，格式为 LX 加 YYYYMMDD 加 3 位流水，共 14 位无横线</w:t>
            </w:r>
            <w:r>
              <w:br/>
            </w:r>
            <w:r>
              <w:rPr>
                <w:rFonts w:ascii="Times New Roman" w:hAnsi="Times New Roman" w:eastAsia="宋体"/>
                <w:b w:val="0"/>
                <w:i w:val="0"/>
                <w:sz w:val="21"/>
              </w:rPr>
              <w:t>系统项目编号：系统自动生成，不可修改，用于系统侧关联</w:t>
            </w:r>
            <w:r>
              <w:br/>
            </w:r>
            <w:r>
              <w:rPr>
                <w:rFonts w:ascii="Times New Roman" w:hAnsi="Times New Roman" w:eastAsia="宋体"/>
                <w:b w:val="0"/>
                <w:i w:val="0"/>
                <w:sz w:val="21"/>
              </w:rPr>
              <w:t>项目名称：限中英常规标点，最大 54 中文字符</w:t>
            </w:r>
            <w:r>
              <w:br/>
            </w:r>
            <w:r>
              <w:rPr>
                <w:rFonts w:ascii="Times New Roman" w:hAnsi="Times New Roman" w:eastAsia="宋体"/>
                <w:b w:val="0"/>
                <w:i w:val="0"/>
                <w:sz w:val="21"/>
              </w:rPr>
              <w:t>业务类型：存货业务、预付业务、账期业务、购销业务、总代业务</w:t>
            </w:r>
            <w:r>
              <w:br/>
            </w:r>
            <w:r>
              <w:rPr>
                <w:rFonts w:ascii="Times New Roman" w:hAnsi="Times New Roman" w:eastAsia="宋体"/>
                <w:b w:val="0"/>
                <w:i w:val="0"/>
                <w:sz w:val="21"/>
              </w:rPr>
              <w:t>货物品类：淀粉、糖粉、谷物</w:t>
            </w:r>
            <w:r>
              <w:br/>
            </w:r>
            <w:r>
              <w:rPr>
                <w:rFonts w:ascii="Times New Roman" w:hAnsi="Times New Roman" w:eastAsia="宋体"/>
                <w:b w:val="0"/>
                <w:i w:val="0"/>
                <w:sz w:val="21"/>
              </w:rPr>
              <w:t>业务周期：仅支持数字输入，不超过 999，语义为一个时间范围</w:t>
            </w:r>
            <w:r>
              <w:br/>
            </w:r>
            <w:r>
              <w:rPr>
                <w:rFonts w:ascii="Times New Roman" w:hAnsi="Times New Roman" w:eastAsia="宋体"/>
                <w:b w:val="0"/>
                <w:i w:val="0"/>
                <w:sz w:val="21"/>
              </w:rPr>
              <w:t>流程状态：待提交、审批中、执行中、已完结、已驳回、已作废</w:t>
            </w:r>
            <w:r>
              <w:br/>
            </w:r>
            <w:r>
              <w:rPr>
                <w:rFonts w:ascii="Times New Roman" w:hAnsi="Times New Roman" w:eastAsia="宋体"/>
                <w:b w:val="0"/>
                <w:i w:val="0"/>
                <w:sz w:val="21"/>
              </w:rPr>
              <w:t>当前步骤：取值 1 至 5</w:t>
            </w:r>
            <w:r>
              <w:br/>
            </w:r>
            <w:r>
              <w:rPr>
                <w:rFonts w:ascii="Times New Roman" w:hAnsi="Times New Roman" w:eastAsia="宋体"/>
                <w:b w:val="0"/>
                <w:i w:val="0"/>
                <w:sz w:val="21"/>
              </w:rPr>
              <w:t>当前审批节点：取值 1 至 5</w:t>
            </w:r>
          </w:p>
        </w:tc>
        <w:tc>
          <w:tcPr>
            <w:tcW w:type="dxa" w:w="3402"/>
          </w:tcPr>
          <w:p>
            <w:pPr>
              <w:spacing w:before="20" w:after="20" w:line="276" w:lineRule="auto"/>
              <w:ind w:firstLine="0"/>
            </w:pPr>
            <w:r/>
            <w:r>
              <w:rPr>
                <w:rFonts w:ascii="Times New Roman" w:hAnsi="Times New Roman" w:eastAsia="宋体"/>
                <w:b w:val="0"/>
                <w:i w:val="0"/>
                <w:sz w:val="21"/>
              </w:rPr>
              <w:t>是客户准入的上游单据；项目完结后触发关联企业沉淀到客户台账，并允许合同关联项目</w:t>
            </w:r>
          </w:p>
        </w:tc>
      </w:tr>
      <w:tr>
        <w:tc>
          <w:tcPr>
            <w:tcW w:type="dxa" w:w="1474"/>
          </w:tcPr>
          <w:p>
            <w:pPr>
              <w:spacing w:before="20" w:after="20" w:line="276" w:lineRule="auto"/>
              <w:ind w:firstLine="0"/>
            </w:pPr>
            <w:r/>
            <w:r>
              <w:rPr>
                <w:rFonts w:ascii="Times New Roman" w:hAnsi="Times New Roman" w:eastAsia="宋体"/>
                <w:b w:val="0"/>
                <w:i w:val="0"/>
                <w:sz w:val="21"/>
              </w:rPr>
              <w:t>项目关联企业关系</w:t>
            </w:r>
          </w:p>
        </w:tc>
        <w:tc>
          <w:tcPr>
            <w:tcW w:type="dxa" w:w="4195"/>
          </w:tcPr>
          <w:p>
            <w:pPr>
              <w:spacing w:before="20" w:after="20" w:line="276" w:lineRule="auto"/>
              <w:ind w:firstLine="0"/>
            </w:pPr>
            <w:r/>
            <w:r>
              <w:rPr>
                <w:rFonts w:ascii="Times New Roman" w:hAnsi="Times New Roman" w:eastAsia="宋体"/>
                <w:b w:val="0"/>
                <w:i w:val="0"/>
                <w:sz w:val="21"/>
              </w:rPr>
              <w:t>关联类型：上游企业、下游企业、第三方物流、第三方仓储</w:t>
            </w:r>
            <w:r>
              <w:br/>
            </w:r>
            <w:r>
              <w:rPr>
                <w:rFonts w:ascii="Times New Roman" w:hAnsi="Times New Roman" w:eastAsia="宋体"/>
                <w:b w:val="0"/>
                <w:i w:val="0"/>
                <w:sz w:val="21"/>
              </w:rPr>
              <w:t>关联企业数量：至少 1 个</w:t>
            </w:r>
          </w:p>
        </w:tc>
        <w:tc>
          <w:tcPr>
            <w:tcW w:type="dxa" w:w="3402"/>
          </w:tcPr>
          <w:p>
            <w:pPr>
              <w:spacing w:before="20" w:after="20" w:line="276" w:lineRule="auto"/>
              <w:ind w:firstLine="0"/>
            </w:pPr>
            <w:r/>
            <w:r>
              <w:rPr>
                <w:rFonts w:ascii="Times New Roman" w:hAnsi="Times New Roman" w:eastAsia="宋体"/>
                <w:b w:val="0"/>
                <w:i w:val="0"/>
                <w:sz w:val="21"/>
              </w:rPr>
              <w:t>项目与关联企业为多对多关系；关联企业是尽调报告与客户准入材料的承载对象</w:t>
            </w:r>
          </w:p>
        </w:tc>
      </w:tr>
      <w:tr>
        <w:tc>
          <w:tcPr>
            <w:tcW w:type="dxa" w:w="1474"/>
          </w:tcPr>
          <w:p>
            <w:pPr>
              <w:spacing w:before="20" w:after="20" w:line="276" w:lineRule="auto"/>
              <w:ind w:firstLine="0"/>
            </w:pPr>
            <w:r/>
            <w:r>
              <w:rPr>
                <w:rFonts w:ascii="Times New Roman" w:hAnsi="Times New Roman" w:eastAsia="宋体"/>
                <w:b w:val="0"/>
                <w:i w:val="0"/>
                <w:sz w:val="21"/>
              </w:rPr>
              <w:t>企业尽调报告</w:t>
            </w:r>
          </w:p>
        </w:tc>
        <w:tc>
          <w:tcPr>
            <w:tcW w:type="dxa" w:w="4195"/>
          </w:tcPr>
          <w:p>
            <w:pPr>
              <w:spacing w:before="20" w:after="20" w:line="276" w:lineRule="auto"/>
              <w:ind w:firstLine="0"/>
            </w:pPr>
            <w:r/>
            <w:r>
              <w:rPr>
                <w:rFonts w:ascii="Times New Roman" w:hAnsi="Times New Roman" w:eastAsia="宋体"/>
                <w:b w:val="0"/>
                <w:i w:val="0"/>
                <w:sz w:val="21"/>
              </w:rPr>
              <w:t>风险分类 6 个 Tab：贸易风险、主体风险、经营风险、司法风险、关系发现、关键人风险</w:t>
            </w:r>
            <w:r>
              <w:br/>
            </w:r>
            <w:r>
              <w:rPr>
                <w:rFonts w:ascii="Times New Roman" w:hAnsi="Times New Roman" w:eastAsia="宋体"/>
                <w:b w:val="0"/>
                <w:i w:val="0"/>
                <w:sz w:val="21"/>
              </w:rPr>
              <w:t>原始响应：留存外部企业信息服务返回的原始数据</w:t>
            </w:r>
          </w:p>
        </w:tc>
        <w:tc>
          <w:tcPr>
            <w:tcW w:type="dxa" w:w="3402"/>
          </w:tcPr>
          <w:p>
            <w:pPr>
              <w:spacing w:before="20" w:after="20" w:line="276" w:lineRule="auto"/>
              <w:ind w:firstLine="0"/>
            </w:pPr>
            <w:r/>
            <w:r>
              <w:rPr>
                <w:rFonts w:ascii="Times New Roman" w:hAnsi="Times New Roman" w:eastAsia="宋体"/>
                <w:b w:val="0"/>
                <w:i w:val="0"/>
                <w:sz w:val="21"/>
              </w:rPr>
              <w:t>一个关联企业对应一份尽调报告；数据源为外部企业信息服务与平台自建名单库</w:t>
            </w:r>
          </w:p>
        </w:tc>
      </w:tr>
      <w:tr>
        <w:tc>
          <w:tcPr>
            <w:tcW w:type="dxa" w:w="1474"/>
          </w:tcPr>
          <w:p>
            <w:pPr>
              <w:spacing w:before="20" w:after="20" w:line="276" w:lineRule="auto"/>
              <w:ind w:firstLine="0"/>
            </w:pPr>
            <w:r/>
            <w:r>
              <w:rPr>
                <w:rFonts w:ascii="Times New Roman" w:hAnsi="Times New Roman" w:eastAsia="宋体"/>
                <w:b w:val="0"/>
                <w:i w:val="0"/>
                <w:sz w:val="21"/>
              </w:rPr>
              <w:t>贸易风控合规报告</w:t>
            </w:r>
          </w:p>
        </w:tc>
        <w:tc>
          <w:tcPr>
            <w:tcW w:type="dxa" w:w="4195"/>
          </w:tcPr>
          <w:p>
            <w:pPr>
              <w:spacing w:before="20" w:after="20" w:line="276" w:lineRule="auto"/>
              <w:ind w:firstLine="0"/>
            </w:pPr>
            <w:r/>
            <w:r>
              <w:rPr>
                <w:rFonts w:ascii="Times New Roman" w:hAnsi="Times New Roman" w:eastAsia="宋体"/>
                <w:b w:val="0"/>
                <w:i w:val="0"/>
                <w:sz w:val="21"/>
              </w:rPr>
              <w:t>检查项：6 项</w:t>
            </w:r>
            <w:r>
              <w:br/>
            </w:r>
            <w:r>
              <w:rPr>
                <w:rFonts w:ascii="Times New Roman" w:hAnsi="Times New Roman" w:eastAsia="宋体"/>
                <w:b w:val="0"/>
                <w:i w:val="0"/>
                <w:sz w:val="21"/>
              </w:rPr>
              <w:t>扫描计数：6 项扫描</w:t>
            </w:r>
            <w:r>
              <w:br/>
            </w:r>
            <w:r>
              <w:rPr>
                <w:rFonts w:ascii="Times New Roman" w:hAnsi="Times New Roman" w:eastAsia="宋体"/>
                <w:b w:val="0"/>
                <w:i w:val="0"/>
                <w:sz w:val="21"/>
              </w:rPr>
              <w:t>风险计数：2 项风险</w:t>
            </w:r>
          </w:p>
        </w:tc>
        <w:tc>
          <w:tcPr>
            <w:tcW w:type="dxa" w:w="3402"/>
          </w:tcPr>
          <w:p>
            <w:pPr>
              <w:spacing w:before="20" w:after="20" w:line="276" w:lineRule="auto"/>
              <w:ind w:firstLine="0"/>
            </w:pPr>
            <w:r/>
            <w:r>
              <w:rPr>
                <w:rFonts w:ascii="Times New Roman" w:hAnsi="Times New Roman" w:eastAsia="宋体"/>
                <w:b w:val="0"/>
                <w:i w:val="0"/>
                <w:sz w:val="21"/>
              </w:rPr>
              <w:t>以步骤 2 的风险扫描结果为输入，与企业尽调报告共用同一套报告数据</w:t>
            </w:r>
          </w:p>
        </w:tc>
      </w:tr>
      <w:tr>
        <w:tc>
          <w:tcPr>
            <w:tcW w:type="dxa" w:w="1474"/>
          </w:tcPr>
          <w:p>
            <w:pPr>
              <w:spacing w:before="20" w:after="20" w:line="276" w:lineRule="auto"/>
              <w:ind w:firstLine="0"/>
            </w:pPr>
            <w:r/>
            <w:r>
              <w:rPr>
                <w:rFonts w:ascii="Times New Roman" w:hAnsi="Times New Roman" w:eastAsia="宋体"/>
                <w:b w:val="0"/>
                <w:i w:val="0"/>
                <w:sz w:val="21"/>
              </w:rPr>
              <w:t>客户准入材料附件</w:t>
            </w:r>
          </w:p>
        </w:tc>
        <w:tc>
          <w:tcPr>
            <w:tcW w:type="dxa" w:w="4195"/>
          </w:tcPr>
          <w:p>
            <w:pPr>
              <w:spacing w:before="20" w:after="20" w:line="276" w:lineRule="auto"/>
              <w:ind w:firstLine="0"/>
            </w:pPr>
            <w:r/>
            <w:r>
              <w:rPr>
                <w:rFonts w:ascii="Times New Roman" w:hAnsi="Times New Roman" w:eastAsia="宋体"/>
                <w:b w:val="0"/>
                <w:i w:val="0"/>
                <w:sz w:val="21"/>
              </w:rPr>
              <w:t>必填材料 6 类</w:t>
            </w:r>
            <w:r>
              <w:br/>
            </w:r>
            <w:r>
              <w:rPr>
                <w:rFonts w:ascii="Times New Roman" w:hAnsi="Times New Roman" w:eastAsia="宋体"/>
                <w:b w:val="0"/>
                <w:i w:val="0"/>
                <w:sz w:val="21"/>
              </w:rPr>
              <w:t>非必填材料 7 类</w:t>
            </w:r>
            <w:r>
              <w:br/>
            </w:r>
            <w:r>
              <w:rPr>
                <w:rFonts w:ascii="Times New Roman" w:hAnsi="Times New Roman" w:eastAsia="宋体"/>
                <w:b w:val="0"/>
                <w:i w:val="0"/>
                <w:sz w:val="21"/>
              </w:rPr>
              <w:t>单个附件大小：不超过 100MB</w:t>
            </w:r>
          </w:p>
        </w:tc>
        <w:tc>
          <w:tcPr>
            <w:tcW w:type="dxa" w:w="3402"/>
          </w:tcPr>
          <w:p>
            <w:pPr>
              <w:spacing w:before="20" w:after="20" w:line="276" w:lineRule="auto"/>
              <w:ind w:firstLine="0"/>
            </w:pPr>
            <w:r/>
            <w:r>
              <w:rPr>
                <w:rFonts w:ascii="Times New Roman" w:hAnsi="Times New Roman" w:eastAsia="宋体"/>
                <w:b w:val="0"/>
                <w:i w:val="0"/>
                <w:sz w:val="21"/>
              </w:rPr>
              <w:t>挂在关联企业上，审批通过后随客户沉淀到客户台账</w:t>
            </w:r>
          </w:p>
        </w:tc>
      </w:tr>
      <w:tr>
        <w:tc>
          <w:tcPr>
            <w:tcW w:type="dxa" w:w="1474"/>
          </w:tcPr>
          <w:p>
            <w:pPr>
              <w:spacing w:before="20" w:after="20" w:line="276" w:lineRule="auto"/>
              <w:ind w:firstLine="0"/>
            </w:pPr>
            <w:r/>
            <w:r>
              <w:rPr>
                <w:rFonts w:ascii="Times New Roman" w:hAnsi="Times New Roman" w:eastAsia="宋体"/>
                <w:b w:val="0"/>
                <w:i w:val="0"/>
                <w:sz w:val="21"/>
              </w:rPr>
              <w:t>项目审批节点</w:t>
            </w:r>
          </w:p>
        </w:tc>
        <w:tc>
          <w:tcPr>
            <w:tcW w:type="dxa" w:w="4195"/>
          </w:tcPr>
          <w:p>
            <w:pPr>
              <w:spacing w:before="20" w:after="20" w:line="276" w:lineRule="auto"/>
              <w:ind w:firstLine="0"/>
            </w:pPr>
            <w:r/>
            <w:r>
              <w:rPr>
                <w:rFonts w:ascii="Times New Roman" w:hAnsi="Times New Roman" w:eastAsia="宋体"/>
                <w:b w:val="0"/>
                <w:i w:val="0"/>
                <w:sz w:val="21"/>
              </w:rPr>
              <w:t>节点数：5（提交、一级业务、风控部、财务部、总经理）</w:t>
            </w:r>
            <w:r>
              <w:br/>
            </w:r>
            <w:r>
              <w:rPr>
                <w:rFonts w:ascii="Times New Roman" w:hAnsi="Times New Roman" w:eastAsia="宋体"/>
                <w:b w:val="0"/>
                <w:i w:val="0"/>
                <w:sz w:val="21"/>
              </w:rPr>
              <w:t>加签标记：加签节点需记录加签人与加签原因</w:t>
            </w:r>
            <w:r>
              <w:br/>
            </w:r>
            <w:r>
              <w:rPr>
                <w:rFonts w:ascii="Times New Roman" w:hAnsi="Times New Roman" w:eastAsia="宋体"/>
                <w:b w:val="0"/>
                <w:i w:val="0"/>
                <w:sz w:val="21"/>
              </w:rPr>
              <w:t>催办计数：单节点最多催办 3 次，之后升级上级</w:t>
            </w:r>
          </w:p>
        </w:tc>
        <w:tc>
          <w:tcPr>
            <w:tcW w:type="dxa" w:w="3402"/>
          </w:tcPr>
          <w:p>
            <w:pPr>
              <w:spacing w:before="20" w:after="20" w:line="276" w:lineRule="auto"/>
              <w:ind w:firstLine="0"/>
            </w:pPr>
            <w:r/>
            <w:r>
              <w:rPr>
                <w:rFonts w:ascii="Times New Roman" w:hAnsi="Times New Roman" w:eastAsia="宋体"/>
                <w:b w:val="0"/>
                <w:i w:val="0"/>
                <w:sz w:val="21"/>
              </w:rPr>
              <w:t>审批链全部通过后项目从审批中进入执行中，任一节点驳回则进入已驳回</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4.1.6　角色权限与数据权限</w:t>
      </w:r>
    </w:p>
    <w:p>
      <w:pPr>
        <w:spacing w:before="0" w:after="120" w:line="360" w:lineRule="auto"/>
      </w:pPr>
      <w:r>
        <w:rPr>
          <w:rFonts w:ascii="Times New Roman" w:hAnsi="Times New Roman" w:eastAsia="宋体"/>
          <w:b w:val="0"/>
          <w:i w:val="0"/>
          <w:sz w:val="24"/>
        </w:rPr>
        <w:t>本期为系统全量权限（业务方裁决 D17）；下表角色为典型使用角色，非权限分级。模块内保留明确的按钮可见性规则：列表行操作按流程状态显隐（如作废仅待提交可见、审核仅审批中可见、撤回申请限定创建人且状态为审批中），审批节点按业务部负责人、风控部、财务部、总经理顺序串行流转，同一时刻仅 1 个审批人可操作。</w:t>
      </w:r>
    </w:p>
    <w:p>
      <w:pPr>
        <w:spacing w:before="0" w:after="80" w:line="360" w:lineRule="auto"/>
      </w:pPr>
      <w:r>
        <w:rPr>
          <w:rFonts w:ascii="Times New Roman" w:hAnsi="Times New Roman" w:eastAsia="宋体"/>
          <w:b w:val="0"/>
          <w:i w:val="0"/>
          <w:sz w:val="24"/>
        </w:rPr>
        <w:t>数据可见性：按单据归属与业务筛选查看；手机号、统一社会信用代码等敏感字段默认打码，手动点击查看完整值且查看行为留痕。</w:t>
      </w:r>
    </w:p>
    <w:p>
      <w:pPr>
        <w:pStyle w:val="Heading3"/>
        <w:keepNext/>
        <w:spacing w:before="160" w:after="80" w:line="312" w:lineRule="auto"/>
        <w:ind w:firstLine="0"/>
      </w:pPr>
      <w:r>
        <w:rPr>
          <w:rFonts w:ascii="Times New Roman" w:hAnsi="Times New Roman" w:eastAsia="黑体"/>
          <w:b/>
          <w:i w:val="0"/>
          <w:sz w:val="24"/>
        </w:rPr>
        <w:t>4.1.7　业务流程与页面</w:t>
      </w:r>
    </w:p>
    <w:p>
      <w:pPr>
        <w:spacing w:before="120" w:after="60"/>
        <w:ind w:firstLine="0"/>
        <w:jc w:val="center"/>
      </w:pPr>
      <w:r>
        <w:drawing>
          <wp:inline xmlns:a="http://schemas.openxmlformats.org/drawingml/2006/main" xmlns:pic="http://schemas.openxmlformats.org/drawingml/2006/picture">
            <wp:extent cx="5616000" cy="1775172"/>
            <wp:docPr id="1" name="Picture 1"/>
            <wp:cNvGraphicFramePr>
              <a:graphicFrameLocks noChangeAspect="1"/>
            </wp:cNvGraphicFramePr>
            <a:graphic>
              <a:graphicData uri="http://schemas.openxmlformats.org/drawingml/2006/picture">
                <pic:pic>
                  <pic:nvPicPr>
                    <pic:cNvPr id="0" name="mermaid-project-apply.png"/>
                    <pic:cNvPicPr/>
                  </pic:nvPicPr>
                  <pic:blipFill>
                    <a:blip r:embed="rId11"/>
                    <a:stretch>
                      <a:fillRect/>
                    </a:stretch>
                  </pic:blipFill>
                  <pic:spPr>
                    <a:xfrm>
                      <a:off x="0" y="0"/>
                      <a:ext cx="5616000" cy="1775172"/>
                    </a:xfrm>
                    <a:prstGeom prst="rect"/>
                  </pic:spPr>
                </pic:pic>
              </a:graphicData>
            </a:graphic>
          </wp:inline>
        </w:drawing>
      </w:r>
    </w:p>
    <w:p>
      <w:pPr>
        <w:spacing w:before="0" w:after="200" w:line="240" w:lineRule="auto"/>
        <w:ind w:firstLine="0"/>
        <w:jc w:val="center"/>
      </w:pPr>
      <w:r>
        <w:rPr>
          <w:rFonts w:ascii="Times New Roman" w:hAnsi="Times New Roman" w:eastAsia="宋体"/>
          <w:b w:val="0"/>
          <w:i w:val="0"/>
          <w:sz w:val="21"/>
        </w:rPr>
        <w:t>图 4-1-1　项目准入 主业务流程</w:t>
      </w:r>
    </w:p>
    <w:p>
      <w:pPr>
        <w:spacing w:before="0" w:after="60" w:line="360" w:lineRule="auto"/>
      </w:pPr>
      <w:r>
        <w:rPr>
          <w:rFonts w:ascii="Times New Roman" w:hAnsi="Times New Roman" w:eastAsia="宋体"/>
          <w:b/>
          <w:i w:val="0"/>
          <w:sz w:val="24"/>
        </w:rPr>
        <w:t>主流程步骤：</w:t>
      </w:r>
    </w:p>
    <w:p>
      <w:pPr>
        <w:spacing w:before="0" w:after="60" w:line="336" w:lineRule="auto"/>
        <w:ind w:left="510" w:hanging="510"/>
      </w:pPr>
      <w:r>
        <w:rPr>
          <w:rFonts w:ascii="Times New Roman" w:hAnsi="Times New Roman" w:eastAsia="宋体"/>
          <w:b w:val="0"/>
          <w:i w:val="0"/>
          <w:sz w:val="24"/>
        </w:rPr>
        <w:t>1. 业务人员在项目列表点击「新建立项申请」创建立项申请，流程状态为待提交</w:t>
      </w:r>
    </w:p>
    <w:p>
      <w:pPr>
        <w:spacing w:before="0" w:after="60" w:line="336" w:lineRule="auto"/>
        <w:ind w:left="510" w:hanging="510"/>
      </w:pPr>
      <w:r>
        <w:rPr>
          <w:rFonts w:ascii="Times New Roman" w:hAnsi="Times New Roman" w:eastAsia="宋体"/>
          <w:b w:val="0"/>
          <w:i w:val="0"/>
          <w:sz w:val="24"/>
        </w:rPr>
        <w:t>2. 步骤 1 录入项目基本信息与项目小组成员，添加关联企业并上传客户准入材料</w:t>
      </w:r>
    </w:p>
    <w:p>
      <w:pPr>
        <w:spacing w:before="0" w:after="60" w:line="336" w:lineRule="auto"/>
        <w:ind w:left="510" w:hanging="510"/>
      </w:pPr>
      <w:r>
        <w:rPr>
          <w:rFonts w:ascii="Times New Roman" w:hAnsi="Times New Roman" w:eastAsia="宋体"/>
          <w:b w:val="0"/>
          <w:i w:val="0"/>
          <w:sz w:val="24"/>
        </w:rPr>
        <w:t>3. 步骤 1 必填项齐全且关联企业不少于 1 个后发起尽调，进入步骤 2 企业尽调报告</w:t>
      </w:r>
    </w:p>
    <w:p>
      <w:pPr>
        <w:spacing w:before="0" w:after="60" w:line="336" w:lineRule="auto"/>
        <w:ind w:left="510" w:hanging="510"/>
      </w:pPr>
      <w:r>
        <w:rPr>
          <w:rFonts w:ascii="Times New Roman" w:hAnsi="Times New Roman" w:eastAsia="宋体"/>
          <w:b w:val="0"/>
          <w:i w:val="0"/>
          <w:sz w:val="24"/>
        </w:rPr>
        <w:t>4. 步骤 2 按关联企业逐家出具企业风险扫描结果（6 个 Tab），并填写准入意见</w:t>
      </w:r>
    </w:p>
    <w:p>
      <w:pPr>
        <w:spacing w:before="0" w:after="60" w:line="336" w:lineRule="auto"/>
        <w:ind w:left="510" w:hanging="510"/>
      </w:pPr>
      <w:r>
        <w:rPr>
          <w:rFonts w:ascii="Times New Roman" w:hAnsi="Times New Roman" w:eastAsia="宋体"/>
          <w:b w:val="0"/>
          <w:i w:val="0"/>
          <w:sz w:val="24"/>
        </w:rPr>
        <w:t>5. 步骤 3 生成贸易风控合规报告，逐项输出 6 项检查规则与校验结果</w:t>
      </w:r>
    </w:p>
    <w:p>
      <w:pPr>
        <w:spacing w:before="0" w:after="60" w:line="336" w:lineRule="auto"/>
        <w:ind w:left="510" w:hanging="510"/>
      </w:pPr>
      <w:r>
        <w:rPr>
          <w:rFonts w:ascii="Times New Roman" w:hAnsi="Times New Roman" w:eastAsia="宋体"/>
          <w:b w:val="0"/>
          <w:i w:val="0"/>
          <w:sz w:val="24"/>
        </w:rPr>
        <w:t>6. 步骤 4 提交审批，进入 5 节点串行审批链并记录审批时间线</w:t>
      </w:r>
    </w:p>
    <w:p>
      <w:pPr>
        <w:spacing w:before="0" w:after="60" w:line="336" w:lineRule="auto"/>
        <w:ind w:left="510" w:hanging="510"/>
      </w:pPr>
      <w:r>
        <w:rPr>
          <w:rFonts w:ascii="Times New Roman" w:hAnsi="Times New Roman" w:eastAsia="宋体"/>
          <w:b w:val="0"/>
          <w:i w:val="0"/>
          <w:sz w:val="24"/>
        </w:rPr>
        <w:t>7. 当前审批节点超 2 小时未处理，系统自动催办，最多重试 3 次后升级上级</w:t>
      </w:r>
    </w:p>
    <w:p>
      <w:pPr>
        <w:spacing w:before="0" w:after="60" w:line="336" w:lineRule="auto"/>
        <w:ind w:left="510" w:hanging="510"/>
      </w:pPr>
      <w:r>
        <w:rPr>
          <w:rFonts w:ascii="Times New Roman" w:hAnsi="Times New Roman" w:eastAsia="宋体"/>
          <w:b w:val="0"/>
          <w:i w:val="0"/>
          <w:sz w:val="24"/>
        </w:rPr>
        <w:t>8. 任一审批节点驳回，流程状态变为已驳回，申请人编辑后可重新提交</w:t>
      </w:r>
    </w:p>
    <w:p>
      <w:pPr>
        <w:spacing w:before="0" w:after="60" w:line="336" w:lineRule="auto"/>
        <w:ind w:left="510" w:hanging="510"/>
      </w:pPr>
      <w:r>
        <w:rPr>
          <w:rFonts w:ascii="Times New Roman" w:hAnsi="Times New Roman" w:eastAsia="宋体"/>
          <w:b w:val="0"/>
          <w:i w:val="0"/>
          <w:sz w:val="24"/>
        </w:rPr>
        <w:t>9. 全部节点通过后流程状态自动进入执行中，业务完结或主动终止后变为已完结</w:t>
      </w:r>
    </w:p>
    <w:p>
      <w:pPr>
        <w:spacing w:before="0" w:after="60" w:line="336" w:lineRule="auto"/>
        <w:ind w:left="510" w:hanging="510"/>
      </w:pPr>
      <w:r>
        <w:rPr>
          <w:rFonts w:ascii="Times New Roman" w:hAnsi="Times New Roman" w:eastAsia="宋体"/>
          <w:b w:val="0"/>
          <w:i w:val="0"/>
          <w:sz w:val="24"/>
        </w:rPr>
        <w:t>10. 步骤 5 准入完成，下载准入凭证，关联企业沉淀到客户台账并可创建合同</w:t>
      </w:r>
    </w:p>
    <w:p>
      <w:pPr>
        <w:spacing w:before="120" w:after="60" w:line="360" w:lineRule="auto"/>
      </w:pPr>
      <w:r>
        <w:rPr>
          <w:rFonts w:ascii="Times New Roman" w:hAnsi="Times New Roman" w:eastAsia="宋体"/>
          <w:b/>
          <w:i w:val="0"/>
          <w:sz w:val="24"/>
        </w:rPr>
        <w:t>异常分支：</w:t>
      </w:r>
    </w:p>
    <w:tbl>
      <w:tblPr>
        <w:tblStyle w:val="TableGrid"/>
        <w:tblW w:type="auto" w:w="0"/>
        <w:jc w:val="center"/>
        <w:tblLayout w:type="fixed"/>
        <w:tblLook w:firstColumn="1" w:firstRow="1" w:lastColumn="0" w:lastRow="0" w:noHBand="0" w:noVBand="1" w:val="04A0"/>
      </w:tblPr>
      <w:tblGrid>
        <w:gridCol w:w="4479"/>
        <w:gridCol w:w="4479"/>
      </w:tblGrid>
      <w:tr>
        <w:trPr>
          <w:tblHeader w:val="true"/>
        </w:trPr>
        <w:tc>
          <w:tcPr>
            <w:tcW w:type="dxa" w:w="2835"/>
            <w:shd w:val="clear" w:color="auto" w:fill="DCE6F1"/>
          </w:tcPr>
          <w:p>
            <w:pPr>
              <w:spacing w:before="40" w:after="40" w:line="276" w:lineRule="auto"/>
              <w:jc w:val="center"/>
            </w:pPr>
            <w:r/>
            <w:r>
              <w:rPr>
                <w:rFonts w:ascii="Times New Roman" w:hAnsi="Times New Roman" w:eastAsia="黑体"/>
                <w:b/>
                <w:i w:val="0"/>
                <w:sz w:val="21"/>
              </w:rPr>
              <w:t>异常场景</w:t>
            </w:r>
          </w:p>
        </w:tc>
        <w:tc>
          <w:tcPr>
            <w:tcW w:type="dxa" w:w="6236"/>
            <w:shd w:val="clear" w:color="auto" w:fill="DCE6F1"/>
          </w:tcPr>
          <w:p>
            <w:pPr>
              <w:spacing w:before="40" w:after="40" w:line="276" w:lineRule="auto"/>
              <w:jc w:val="center"/>
            </w:pPr>
            <w:r/>
            <w:r>
              <w:rPr>
                <w:rFonts w:ascii="Times New Roman" w:hAnsi="Times New Roman" w:eastAsia="黑体"/>
                <w:b/>
                <w:i w:val="0"/>
                <w:sz w:val="21"/>
              </w:rPr>
              <w:t>系统处理</w:t>
            </w:r>
          </w:p>
        </w:tc>
      </w:tr>
      <w:tr>
        <w:tc>
          <w:tcPr>
            <w:tcW w:type="dxa" w:w="2835"/>
          </w:tcPr>
          <w:p>
            <w:pPr>
              <w:spacing w:before="20" w:after="20" w:line="276" w:lineRule="auto"/>
              <w:ind w:firstLine="0"/>
            </w:pPr>
            <w:r/>
            <w:r>
              <w:rPr>
                <w:rFonts w:ascii="Times New Roman" w:hAnsi="Times New Roman" w:eastAsia="宋体"/>
                <w:b w:val="0"/>
                <w:i w:val="0"/>
                <w:sz w:val="21"/>
              </w:rPr>
              <w:t>无权限访问</w:t>
            </w:r>
          </w:p>
        </w:tc>
        <w:tc>
          <w:tcPr>
            <w:tcW w:type="dxa" w:w="6236"/>
          </w:tcPr>
          <w:p>
            <w:pPr>
              <w:spacing w:before="20" w:after="20" w:line="276" w:lineRule="auto"/>
              <w:ind w:firstLine="0"/>
            </w:pPr>
            <w:r/>
            <w:r>
              <w:rPr>
                <w:rFonts w:ascii="Times New Roman" w:hAnsi="Times New Roman" w:eastAsia="宋体"/>
                <w:b w:val="0"/>
                <w:i w:val="0"/>
                <w:sz w:val="21"/>
              </w:rPr>
              <w:t>状态不满足条件的按钮灰化不可点并给出原因提示；模块整页的无访问权限兜底方式尚未定义</w:t>
            </w:r>
          </w:p>
        </w:tc>
      </w:tr>
      <w:tr>
        <w:tc>
          <w:tcPr>
            <w:tcW w:type="dxa" w:w="2835"/>
          </w:tcPr>
          <w:p>
            <w:pPr>
              <w:spacing w:before="20" w:after="20" w:line="276" w:lineRule="auto"/>
              <w:ind w:firstLine="0"/>
            </w:pPr>
            <w:r/>
            <w:r>
              <w:rPr>
                <w:rFonts w:ascii="Times New Roman" w:hAnsi="Times New Roman" w:eastAsia="宋体"/>
                <w:b w:val="0"/>
                <w:i w:val="0"/>
                <w:sz w:val="21"/>
              </w:rPr>
              <w:t>空数据</w:t>
            </w:r>
          </w:p>
        </w:tc>
        <w:tc>
          <w:tcPr>
            <w:tcW w:type="dxa" w:w="6236"/>
          </w:tcPr>
          <w:p>
            <w:pPr>
              <w:spacing w:before="20" w:after="20" w:line="276" w:lineRule="auto"/>
              <w:ind w:firstLine="0"/>
            </w:pPr>
            <w:r/>
            <w:r>
              <w:rPr>
                <w:rFonts w:ascii="Times New Roman" w:hAnsi="Times New Roman" w:eastAsia="宋体"/>
                <w:b w:val="0"/>
                <w:i w:val="0"/>
                <w:sz w:val="21"/>
              </w:rPr>
              <w:t>列表无数据显示「暂无数据」，存在筛选条件时提示「请调整筛选条件」；关联企业选择器为空时提示「暂无可关联的企业」并说明前置条件</w:t>
            </w:r>
          </w:p>
        </w:tc>
      </w:tr>
      <w:tr>
        <w:tc>
          <w:tcPr>
            <w:tcW w:type="dxa" w:w="2835"/>
          </w:tcPr>
          <w:p>
            <w:pPr>
              <w:spacing w:before="20" w:after="20" w:line="276" w:lineRule="auto"/>
              <w:ind w:firstLine="0"/>
            </w:pPr>
            <w:r/>
            <w:r>
              <w:rPr>
                <w:rFonts w:ascii="Times New Roman" w:hAnsi="Times New Roman" w:eastAsia="宋体"/>
                <w:b w:val="0"/>
                <w:i w:val="0"/>
                <w:sz w:val="21"/>
              </w:rPr>
              <w:t>重复提交</w:t>
            </w:r>
          </w:p>
        </w:tc>
        <w:tc>
          <w:tcPr>
            <w:tcW w:type="dxa" w:w="6236"/>
          </w:tcPr>
          <w:p>
            <w:pPr>
              <w:spacing w:before="20" w:after="20" w:line="276" w:lineRule="auto"/>
              <w:ind w:firstLine="0"/>
            </w:pPr>
            <w:r/>
            <w:r>
              <w:rPr>
                <w:rFonts w:ascii="Times New Roman" w:hAnsi="Times New Roman" w:eastAsia="宋体"/>
                <w:b w:val="0"/>
                <w:i w:val="0"/>
                <w:sz w:val="21"/>
              </w:rPr>
              <w:t>关联企业数量为 0 时点击发起尽调，提示「请至少添加 1 个关联企业」并阻止提交；提交动作进行中按钮置为加载态并禁用，避免重复提交</w:t>
            </w:r>
          </w:p>
        </w:tc>
      </w:tr>
      <w:tr>
        <w:tc>
          <w:tcPr>
            <w:tcW w:type="dxa" w:w="2835"/>
          </w:tcPr>
          <w:p>
            <w:pPr>
              <w:spacing w:before="20" w:after="20" w:line="276" w:lineRule="auto"/>
              <w:ind w:firstLine="0"/>
            </w:pPr>
            <w:r/>
            <w:r>
              <w:rPr>
                <w:rFonts w:ascii="Times New Roman" w:hAnsi="Times New Roman" w:eastAsia="宋体"/>
                <w:b w:val="0"/>
                <w:i w:val="0"/>
                <w:sz w:val="21"/>
              </w:rPr>
              <w:t>接口失败</w:t>
            </w:r>
          </w:p>
        </w:tc>
        <w:tc>
          <w:tcPr>
            <w:tcW w:type="dxa" w:w="6236"/>
          </w:tcPr>
          <w:p>
            <w:pPr>
              <w:spacing w:before="20" w:after="20" w:line="276" w:lineRule="auto"/>
              <w:ind w:firstLine="0"/>
            </w:pPr>
            <w:r/>
            <w:r>
              <w:rPr>
                <w:rFonts w:ascii="Times New Roman" w:hAnsi="Times New Roman" w:eastAsia="宋体"/>
                <w:b w:val="0"/>
                <w:i w:val="0"/>
                <w:sz w:val="21"/>
              </w:rPr>
              <w:t>外部企业信息服务超时提示「天眼查接口超时，请重试」并允许重试，单企业扫描失败不阻断其余企业；消息推送失败提示「消息推送失败，请重试」，外部 OA 通道失败提示「OA 系统连接失败」，两者均允许重试</w:t>
            </w:r>
          </w:p>
        </w:tc>
      </w:tr>
      <w:tr>
        <w:tc>
          <w:tcPr>
            <w:tcW w:type="dxa" w:w="2835"/>
          </w:tcPr>
          <w:p>
            <w:pPr>
              <w:spacing w:before="20" w:after="20" w:line="276" w:lineRule="auto"/>
              <w:ind w:firstLine="0"/>
            </w:pPr>
            <w:r/>
            <w:r>
              <w:rPr>
                <w:rFonts w:ascii="Times New Roman" w:hAnsi="Times New Roman" w:eastAsia="宋体"/>
                <w:b w:val="0"/>
                <w:i w:val="0"/>
                <w:sz w:val="21"/>
              </w:rPr>
              <w:t>状态冲突</w:t>
            </w:r>
          </w:p>
        </w:tc>
        <w:tc>
          <w:tcPr>
            <w:tcW w:type="dxa" w:w="6236"/>
          </w:tcPr>
          <w:p>
            <w:pPr>
              <w:spacing w:before="20" w:after="20" w:line="276" w:lineRule="auto"/>
              <w:ind w:firstLine="0"/>
            </w:pPr>
            <w:r/>
            <w:r>
              <w:rPr>
                <w:rFonts w:ascii="Times New Roman" w:hAnsi="Times New Roman" w:eastAsia="宋体"/>
                <w:b w:val="0"/>
                <w:i w:val="0"/>
                <w:sz w:val="21"/>
              </w:rPr>
              <w:t>审批中点击「撤回申请」须同时满足创建人与审批中两个条件，撤回后状态回到待提交；审批人未配置时提示「审批人未配置，请联系管理员」且状态保持不变；驳回后状态为已驳回，可编辑后重新提交</w:t>
            </w:r>
          </w:p>
        </w:tc>
      </w:tr>
      <w:tr>
        <w:tc>
          <w:tcPr>
            <w:tcW w:type="dxa" w:w="2835"/>
          </w:tcPr>
          <w:p>
            <w:pPr>
              <w:spacing w:before="20" w:after="20" w:line="276" w:lineRule="auto"/>
              <w:ind w:firstLine="0"/>
            </w:pPr>
            <w:r/>
            <w:r>
              <w:rPr>
                <w:rFonts w:ascii="Times New Roman" w:hAnsi="Times New Roman" w:eastAsia="宋体"/>
                <w:b w:val="0"/>
                <w:i w:val="0"/>
                <w:sz w:val="21"/>
              </w:rPr>
              <w:t>超限</w:t>
            </w:r>
          </w:p>
        </w:tc>
        <w:tc>
          <w:tcPr>
            <w:tcW w:type="dxa" w:w="6236"/>
          </w:tcPr>
          <w:p>
            <w:pPr>
              <w:spacing w:before="20" w:after="20" w:line="276" w:lineRule="auto"/>
              <w:ind w:firstLine="0"/>
            </w:pPr>
            <w:r/>
            <w:r>
              <w:rPr>
                <w:rFonts w:ascii="Times New Roman" w:hAnsi="Times New Roman" w:eastAsia="宋体"/>
                <w:b w:val="0"/>
                <w:i w:val="0"/>
                <w:sz w:val="21"/>
              </w:rPr>
              <w:t>业务周期超过 999 提示「项目周期最大 999 月」并阻止；项目名称超过 54 字、文本字段超过 200 字、附件超过 100MB 均阻止提交，附件失败提示「文件格式不支持或过大」</w:t>
            </w:r>
          </w:p>
        </w:tc>
      </w:tr>
    </w:tbl>
    <w:p>
      <w:pPr>
        <w:spacing w:before="0" w:after="0" w:line="240" w:lineRule="auto"/>
      </w:pPr>
    </w:p>
    <w:p>
      <w:pPr>
        <w:spacing w:before="120" w:after="60"/>
        <w:ind w:firstLine="0"/>
        <w:jc w:val="center"/>
      </w:pPr>
      <w:r>
        <w:drawing>
          <wp:inline xmlns:a="http://schemas.openxmlformats.org/drawingml/2006/main" xmlns:pic="http://schemas.openxmlformats.org/drawingml/2006/picture">
            <wp:extent cx="5616000" cy="3334500"/>
            <wp:docPr id="2" name="Picture 2"/>
            <wp:cNvGraphicFramePr>
              <a:graphicFrameLocks noChangeAspect="1"/>
            </wp:cNvGraphicFramePr>
            <a:graphic>
              <a:graphicData uri="http://schemas.openxmlformats.org/drawingml/2006/picture">
                <pic:pic>
                  <pic:nvPicPr>
                    <pic:cNvPr id="0" name="project-apply.png"/>
                    <pic:cNvPicPr/>
                  </pic:nvPicPr>
                  <pic:blipFill>
                    <a:blip r:embed="rId12"/>
                    <a:stretch>
                      <a:fillRect/>
                    </a:stretch>
                  </pic:blipFill>
                  <pic:spPr>
                    <a:xfrm>
                      <a:off x="0" y="0"/>
                      <a:ext cx="5616000" cy="3334500"/>
                    </a:xfrm>
                    <a:prstGeom prst="rect"/>
                  </pic:spPr>
                </pic:pic>
              </a:graphicData>
            </a:graphic>
          </wp:inline>
        </w:drawing>
      </w:r>
    </w:p>
    <w:p>
      <w:pPr>
        <w:spacing w:before="0" w:after="200" w:line="240" w:lineRule="auto"/>
        <w:ind w:firstLine="0"/>
        <w:jc w:val="center"/>
      </w:pPr>
      <w:r>
        <w:rPr>
          <w:rFonts w:ascii="Times New Roman" w:hAnsi="Times New Roman" w:eastAsia="宋体"/>
          <w:b w:val="0"/>
          <w:i w:val="0"/>
          <w:sz w:val="21"/>
        </w:rPr>
        <w:t>图 4-1-2　项目准入 原型页面</w:t>
      </w:r>
    </w:p>
    <w:p>
      <w:pPr>
        <w:spacing w:before="80" w:after="60" w:line="360" w:lineRule="auto"/>
      </w:pPr>
      <w:r>
        <w:rPr>
          <w:rFonts w:ascii="Times New Roman" w:hAnsi="Times New Roman" w:eastAsia="宋体"/>
          <w:b/>
          <w:i w:val="0"/>
          <w:sz w:val="24"/>
        </w:rPr>
        <w:t>页面级说明：</w:t>
      </w: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tblGrid>
      <w:tr>
        <w:trPr>
          <w:tblHeader w:val="true"/>
        </w:trPr>
        <w:tc>
          <w:tcPr>
            <w:tcW w:type="dxa" w:w="1178"/>
            <w:shd w:val="clear" w:color="auto" w:fill="DCE6F1"/>
          </w:tcPr>
          <w:p>
            <w:pPr>
              <w:spacing w:before="40" w:after="40" w:line="276" w:lineRule="auto"/>
              <w:jc w:val="center"/>
            </w:pPr>
            <w:r/>
            <w:r>
              <w:rPr>
                <w:rFonts w:ascii="Times New Roman" w:hAnsi="Times New Roman" w:eastAsia="黑体"/>
                <w:b/>
                <w:i w:val="0"/>
                <w:sz w:val="19"/>
              </w:rPr>
              <w:t>页面</w:t>
            </w:r>
          </w:p>
        </w:tc>
        <w:tc>
          <w:tcPr>
            <w:tcW w:type="dxa" w:w="1531"/>
            <w:shd w:val="clear" w:color="auto" w:fill="DCE6F1"/>
          </w:tcPr>
          <w:p>
            <w:pPr>
              <w:spacing w:before="40" w:after="40" w:line="276" w:lineRule="auto"/>
              <w:jc w:val="center"/>
            </w:pPr>
            <w:r/>
            <w:r>
              <w:rPr>
                <w:rFonts w:ascii="Times New Roman" w:hAnsi="Times New Roman" w:eastAsia="黑体"/>
                <w:b/>
                <w:i w:val="0"/>
                <w:sz w:val="19"/>
              </w:rPr>
              <w:t>原型文件</w:t>
            </w:r>
          </w:p>
        </w:tc>
        <w:tc>
          <w:tcPr>
            <w:tcW w:type="dxa" w:w="1119"/>
            <w:shd w:val="clear" w:color="auto" w:fill="DCE6F1"/>
          </w:tcPr>
          <w:p>
            <w:pPr>
              <w:spacing w:before="40" w:after="40" w:line="276" w:lineRule="auto"/>
              <w:jc w:val="center"/>
            </w:pPr>
            <w:r/>
            <w:r>
              <w:rPr>
                <w:rFonts w:ascii="Times New Roman" w:hAnsi="Times New Roman" w:eastAsia="黑体"/>
                <w:b/>
                <w:i w:val="0"/>
                <w:sz w:val="19"/>
              </w:rPr>
              <w:t>进入方式</w:t>
            </w:r>
          </w:p>
        </w:tc>
        <w:tc>
          <w:tcPr>
            <w:tcW w:type="dxa" w:w="2062"/>
            <w:shd w:val="clear" w:color="auto" w:fill="DCE6F1"/>
          </w:tcPr>
          <w:p>
            <w:pPr>
              <w:spacing w:before="40" w:after="40" w:line="276" w:lineRule="auto"/>
              <w:jc w:val="center"/>
            </w:pPr>
            <w:r/>
            <w:r>
              <w:rPr>
                <w:rFonts w:ascii="Times New Roman" w:hAnsi="Times New Roman" w:eastAsia="黑体"/>
                <w:b/>
                <w:i w:val="0"/>
                <w:sz w:val="19"/>
              </w:rPr>
              <w:t>关键区块</w:t>
            </w:r>
          </w:p>
        </w:tc>
        <w:tc>
          <w:tcPr>
            <w:tcW w:type="dxa" w:w="1767"/>
            <w:shd w:val="clear" w:color="auto" w:fill="DCE6F1"/>
          </w:tcPr>
          <w:p>
            <w:pPr>
              <w:spacing w:before="40" w:after="40" w:line="276" w:lineRule="auto"/>
              <w:jc w:val="center"/>
            </w:pPr>
            <w:r/>
            <w:r>
              <w:rPr>
                <w:rFonts w:ascii="Times New Roman" w:hAnsi="Times New Roman" w:eastAsia="黑体"/>
                <w:b/>
                <w:i w:val="0"/>
                <w:sz w:val="19"/>
              </w:rPr>
              <w:t>主要按钮与行为</w:t>
            </w:r>
          </w:p>
        </w:tc>
        <w:tc>
          <w:tcPr>
            <w:tcW w:type="dxa" w:w="1414"/>
            <w:shd w:val="clear" w:color="auto" w:fill="DCE6F1"/>
          </w:tcPr>
          <w:p>
            <w:pPr>
              <w:spacing w:before="40" w:after="40" w:line="276" w:lineRule="auto"/>
              <w:jc w:val="center"/>
            </w:pPr>
            <w:r/>
            <w:r>
              <w:rPr>
                <w:rFonts w:ascii="Times New Roman" w:hAnsi="Times New Roman" w:eastAsia="黑体"/>
                <w:b/>
                <w:i w:val="0"/>
                <w:sz w:val="19"/>
              </w:rPr>
              <w:t>跳转去向</w:t>
            </w:r>
          </w:p>
        </w:tc>
      </w:tr>
      <w:tr>
        <w:tc>
          <w:tcPr>
            <w:tcW w:type="dxa" w:w="1178"/>
          </w:tcPr>
          <w:p>
            <w:pPr>
              <w:spacing w:before="20" w:after="20" w:line="276" w:lineRule="auto"/>
              <w:ind w:firstLine="0"/>
            </w:pPr>
            <w:r/>
            <w:r>
              <w:rPr>
                <w:rFonts w:ascii="Times New Roman" w:hAnsi="Times New Roman" w:eastAsia="宋体"/>
                <w:b w:val="0"/>
                <w:i w:val="0"/>
                <w:sz w:val="19"/>
              </w:rPr>
              <w:t>项目列表页</w:t>
            </w:r>
          </w:p>
        </w:tc>
        <w:tc>
          <w:tcPr>
            <w:tcW w:type="dxa" w:w="1531"/>
          </w:tcPr>
          <w:p>
            <w:pPr>
              <w:spacing w:before="20" w:after="20" w:line="276" w:lineRule="auto"/>
              <w:ind w:firstLine="0"/>
            </w:pPr>
            <w:r/>
            <w:r>
              <w:rPr>
                <w:rFonts w:ascii="Times New Roman" w:hAnsi="Times New Roman" w:eastAsia="宋体"/>
                <w:b w:val="0"/>
                <w:i w:val="0"/>
                <w:sz w:val="19"/>
              </w:rPr>
              <w:t>project-list.html</w:t>
            </w:r>
          </w:p>
        </w:tc>
        <w:tc>
          <w:tcPr>
            <w:tcW w:type="dxa" w:w="1119"/>
          </w:tcPr>
          <w:p>
            <w:pPr>
              <w:spacing w:before="20" w:after="20" w:line="276" w:lineRule="auto"/>
              <w:ind w:firstLine="0"/>
            </w:pPr>
            <w:r/>
            <w:r>
              <w:rPr>
                <w:rFonts w:ascii="Times New Roman" w:hAnsi="Times New Roman" w:eastAsia="宋体"/>
                <w:b w:val="0"/>
                <w:i w:val="0"/>
                <w:sz w:val="19"/>
              </w:rPr>
              <w:t>准入管理 → 项目准入</w:t>
            </w:r>
          </w:p>
        </w:tc>
        <w:tc>
          <w:tcPr>
            <w:tcW w:type="dxa" w:w="2062"/>
          </w:tcPr>
          <w:p>
            <w:pPr>
              <w:spacing w:before="20" w:after="20" w:line="276" w:lineRule="auto"/>
              <w:ind w:firstLine="0"/>
            </w:pPr>
            <w:r/>
            <w:r>
              <w:rPr>
                <w:rFonts w:ascii="Times New Roman" w:hAnsi="Times New Roman" w:eastAsia="宋体"/>
                <w:b w:val="0"/>
                <w:i w:val="0"/>
                <w:sz w:val="19"/>
              </w:rPr>
              <w:t>标题区与「新建立项申请」主操作、筛选区（立项申请编号、项目名称、企业名称、业务类型、货物品类、业务周期、总投资金额、立项时间、申请时间、业务负责人）、7 个状态 Tab、数据表格 15 列、分页</w:t>
            </w:r>
          </w:p>
        </w:tc>
        <w:tc>
          <w:tcPr>
            <w:tcW w:type="dxa" w:w="1767"/>
          </w:tcPr>
          <w:p>
            <w:pPr>
              <w:spacing w:before="20" w:after="20" w:line="276" w:lineRule="auto"/>
              <w:ind w:firstLine="0"/>
            </w:pPr>
            <w:r/>
            <w:r>
              <w:rPr>
                <w:rFonts w:ascii="Times New Roman" w:hAnsi="Times New Roman" w:eastAsia="宋体"/>
                <w:b w:val="0"/>
                <w:i w:val="0"/>
                <w:sz w:val="19"/>
              </w:rPr>
              <w:t>新建立项申请、查看、编辑、提交、作废、审核、数据导出、清除全部</w:t>
            </w:r>
          </w:p>
        </w:tc>
        <w:tc>
          <w:tcPr>
            <w:tcW w:type="dxa" w:w="1414"/>
          </w:tcPr>
          <w:p>
            <w:pPr>
              <w:spacing w:before="20" w:after="20" w:line="276" w:lineRule="auto"/>
              <w:ind w:firstLine="0"/>
            </w:pPr>
            <w:r/>
            <w:r>
              <w:rPr>
                <w:rFonts w:ascii="Times New Roman" w:hAnsi="Times New Roman" w:eastAsia="宋体"/>
                <w:b w:val="0"/>
                <w:i w:val="0"/>
                <w:sz w:val="19"/>
              </w:rPr>
              <w:t>新建立项申请跳 project-apply.html；查看、编辑、审核跳 project-detail.html</w:t>
            </w:r>
          </w:p>
        </w:tc>
      </w:tr>
      <w:tr>
        <w:tc>
          <w:tcPr>
            <w:tcW w:type="dxa" w:w="1178"/>
          </w:tcPr>
          <w:p>
            <w:pPr>
              <w:spacing w:before="20" w:after="20" w:line="276" w:lineRule="auto"/>
              <w:ind w:firstLine="0"/>
            </w:pPr>
            <w:r/>
            <w:r>
              <w:rPr>
                <w:rFonts w:ascii="Times New Roman" w:hAnsi="Times New Roman" w:eastAsia="宋体"/>
                <w:b w:val="0"/>
                <w:i w:val="0"/>
                <w:sz w:val="19"/>
              </w:rPr>
              <w:t>项目立项申请页</w:t>
            </w:r>
          </w:p>
        </w:tc>
        <w:tc>
          <w:tcPr>
            <w:tcW w:type="dxa" w:w="1531"/>
          </w:tcPr>
          <w:p>
            <w:pPr>
              <w:spacing w:before="20" w:after="20" w:line="276" w:lineRule="auto"/>
              <w:ind w:firstLine="0"/>
            </w:pPr>
            <w:r/>
            <w:r>
              <w:rPr>
                <w:rFonts w:ascii="Times New Roman" w:hAnsi="Times New Roman" w:eastAsia="宋体"/>
                <w:b w:val="0"/>
                <w:i w:val="0"/>
                <w:sz w:val="19"/>
              </w:rPr>
              <w:t>project-apply.html</w:t>
            </w:r>
          </w:p>
        </w:tc>
        <w:tc>
          <w:tcPr>
            <w:tcW w:type="dxa" w:w="1119"/>
          </w:tcPr>
          <w:p>
            <w:pPr>
              <w:spacing w:before="20" w:after="20" w:line="276" w:lineRule="auto"/>
              <w:ind w:firstLine="0"/>
            </w:pPr>
            <w:r/>
            <w:r>
              <w:rPr>
                <w:rFonts w:ascii="Times New Roman" w:hAnsi="Times New Roman" w:eastAsia="宋体"/>
                <w:b w:val="0"/>
                <w:i w:val="0"/>
                <w:sz w:val="19"/>
              </w:rPr>
              <w:t>项目列表页 → 新建立项申请</w:t>
            </w:r>
          </w:p>
        </w:tc>
        <w:tc>
          <w:tcPr>
            <w:tcW w:type="dxa" w:w="2062"/>
          </w:tcPr>
          <w:p>
            <w:pPr>
              <w:spacing w:before="20" w:after="20" w:line="276" w:lineRule="auto"/>
              <w:ind w:firstLine="0"/>
            </w:pPr>
            <w:r/>
            <w:r>
              <w:rPr>
                <w:rFonts w:ascii="Times New Roman" w:hAnsi="Times New Roman" w:eastAsia="宋体"/>
                <w:b w:val="0"/>
                <w:i w:val="0"/>
                <w:sz w:val="19"/>
              </w:rPr>
              <w:t>5 步骤条（项目基本信息、企业尽调报告、贸易风控合规报告、审批详情、准入完成）、各步骤表单与报告区、关键指标卡、实时活动时间线、固定底栏</w:t>
            </w:r>
          </w:p>
        </w:tc>
        <w:tc>
          <w:tcPr>
            <w:tcW w:type="dxa" w:w="1767"/>
          </w:tcPr>
          <w:p>
            <w:pPr>
              <w:spacing w:before="20" w:after="20" w:line="276" w:lineRule="auto"/>
              <w:ind w:firstLine="0"/>
            </w:pPr>
            <w:r/>
            <w:r>
              <w:rPr>
                <w:rFonts w:ascii="Times New Roman" w:hAnsi="Times New Roman" w:eastAsia="宋体"/>
                <w:b w:val="0"/>
                <w:i w:val="0"/>
                <w:sz w:val="19"/>
              </w:rPr>
              <w:t>返回、保存草稿、发起尽调、添加关联企业、移除关联企业、导出报告、提交审批、撤回申请、催办、下载准入凭证、客户管理、创建合同</w:t>
            </w:r>
          </w:p>
        </w:tc>
        <w:tc>
          <w:tcPr>
            <w:tcW w:type="dxa" w:w="1414"/>
          </w:tcPr>
          <w:p>
            <w:pPr>
              <w:spacing w:before="20" w:after="20" w:line="276" w:lineRule="auto"/>
              <w:ind w:firstLine="0"/>
            </w:pPr>
            <w:r/>
            <w:r>
              <w:rPr>
                <w:rFonts w:ascii="Times New Roman" w:hAnsi="Times New Roman" w:eastAsia="宋体"/>
                <w:b w:val="0"/>
                <w:i w:val="0"/>
                <w:sz w:val="19"/>
              </w:rPr>
              <w:t>步骤条可点击切换，已完成步骤可回看；客户管理跳客户准入列表；创建合同跳合同新建并关联项目</w:t>
            </w:r>
          </w:p>
        </w:tc>
      </w:tr>
      <w:tr>
        <w:tc>
          <w:tcPr>
            <w:tcW w:type="dxa" w:w="1178"/>
          </w:tcPr>
          <w:p>
            <w:pPr>
              <w:spacing w:before="20" w:after="20" w:line="276" w:lineRule="auto"/>
              <w:ind w:firstLine="0"/>
            </w:pPr>
            <w:r/>
            <w:r>
              <w:rPr>
                <w:rFonts w:ascii="Times New Roman" w:hAnsi="Times New Roman" w:eastAsia="宋体"/>
                <w:b w:val="0"/>
                <w:i w:val="0"/>
                <w:sz w:val="19"/>
              </w:rPr>
              <w:t>项目详情页</w:t>
            </w:r>
          </w:p>
        </w:tc>
        <w:tc>
          <w:tcPr>
            <w:tcW w:type="dxa" w:w="1531"/>
          </w:tcPr>
          <w:p>
            <w:pPr>
              <w:spacing w:before="20" w:after="20" w:line="276" w:lineRule="auto"/>
              <w:ind w:firstLine="0"/>
            </w:pPr>
            <w:r/>
            <w:r>
              <w:rPr>
                <w:rFonts w:ascii="Times New Roman" w:hAnsi="Times New Roman" w:eastAsia="宋体"/>
                <w:b w:val="0"/>
                <w:i w:val="0"/>
                <w:sz w:val="19"/>
              </w:rPr>
              <w:t>project-detail.html</w:t>
            </w:r>
          </w:p>
        </w:tc>
        <w:tc>
          <w:tcPr>
            <w:tcW w:type="dxa" w:w="1119"/>
          </w:tcPr>
          <w:p>
            <w:pPr>
              <w:spacing w:before="20" w:after="20" w:line="276" w:lineRule="auto"/>
              <w:ind w:firstLine="0"/>
            </w:pPr>
            <w:r/>
            <w:r>
              <w:rPr>
                <w:rFonts w:ascii="Times New Roman" w:hAnsi="Times New Roman" w:eastAsia="宋体"/>
                <w:b w:val="0"/>
                <w:i w:val="0"/>
                <w:sz w:val="19"/>
              </w:rPr>
              <w:t>项目列表页 → 查看 / 编辑 / 审核</w:t>
            </w:r>
          </w:p>
        </w:tc>
        <w:tc>
          <w:tcPr>
            <w:tcW w:type="dxa" w:w="2062"/>
          </w:tcPr>
          <w:p>
            <w:pPr>
              <w:spacing w:before="20" w:after="20" w:line="276" w:lineRule="auto"/>
              <w:ind w:firstLine="0"/>
            </w:pPr>
            <w:r/>
            <w:r>
              <w:rPr>
                <w:rFonts w:ascii="Times New Roman" w:hAnsi="Times New Roman" w:eastAsia="宋体"/>
                <w:b w:val="0"/>
                <w:i w:val="0"/>
                <w:sz w:val="19"/>
              </w:rPr>
              <w:t>项目基本信息、风险扫描结果 6 个 Tab（贸易风险、主体风险、经营风险、司法风险、关系发现、关键人风险）、审批进度与时间线、客户准入材料与附件区、固定底栏</w:t>
            </w:r>
          </w:p>
        </w:tc>
        <w:tc>
          <w:tcPr>
            <w:tcW w:type="dxa" w:w="1767"/>
          </w:tcPr>
          <w:p>
            <w:pPr>
              <w:spacing w:before="20" w:after="20" w:line="276" w:lineRule="auto"/>
              <w:ind w:firstLine="0"/>
            </w:pPr>
            <w:r/>
            <w:r>
              <w:rPr>
                <w:rFonts w:ascii="Times New Roman" w:hAnsi="Times New Roman" w:eastAsia="宋体"/>
                <w:b w:val="0"/>
                <w:i w:val="0"/>
                <w:sz w:val="19"/>
              </w:rPr>
              <w:t>查看、审批通过、驳回审批、上传客户准入报告、复制为新项目</w:t>
            </w:r>
          </w:p>
        </w:tc>
        <w:tc>
          <w:tcPr>
            <w:tcW w:type="dxa" w:w="1414"/>
          </w:tcPr>
          <w:p>
            <w:pPr>
              <w:spacing w:before="20" w:after="20" w:line="276" w:lineRule="auto"/>
              <w:ind w:firstLine="0"/>
            </w:pPr>
            <w:r/>
            <w:r>
              <w:rPr>
                <w:rFonts w:ascii="Times New Roman" w:hAnsi="Times New Roman" w:eastAsia="宋体"/>
                <w:b w:val="0"/>
                <w:i w:val="0"/>
                <w:sz w:val="19"/>
              </w:rPr>
              <w:t>审批通过与驳回审批回到当前审批流并更新流程状态</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4.1.8　验收标准与待确认项</w:t>
      </w:r>
    </w:p>
    <w:tbl>
      <w:tblPr>
        <w:tblStyle w:val="TableGrid"/>
        <w:tblW w:type="auto" w:w="0"/>
        <w:jc w:val="center"/>
        <w:tblLayout w:type="fixed"/>
        <w:tblLook w:firstColumn="1" w:firstRow="1" w:lastColumn="0" w:lastRow="0" w:noHBand="0" w:noVBand="1" w:val="04A0"/>
      </w:tblPr>
      <w:tblGrid>
        <w:gridCol w:w="4479"/>
        <w:gridCol w:w="4479"/>
      </w:tblGrid>
      <w:tr>
        <w:trPr>
          <w:tblHeader w:val="true"/>
        </w:trPr>
        <w:tc>
          <w:tcPr>
            <w:tcW w:type="dxa" w:w="1701"/>
            <w:shd w:val="clear" w:color="auto" w:fill="DCE6F1"/>
          </w:tcPr>
          <w:p>
            <w:pPr>
              <w:spacing w:before="40" w:after="40" w:line="276" w:lineRule="auto"/>
              <w:jc w:val="center"/>
            </w:pPr>
            <w:r/>
            <w:r>
              <w:rPr>
                <w:rFonts w:ascii="Times New Roman" w:hAnsi="Times New Roman" w:eastAsia="黑体"/>
                <w:b/>
                <w:i w:val="0"/>
                <w:sz w:val="21"/>
              </w:rPr>
              <w:t>功能</w:t>
            </w:r>
          </w:p>
        </w:tc>
        <w:tc>
          <w:tcPr>
            <w:tcW w:type="dxa" w:w="7370"/>
            <w:shd w:val="clear" w:color="auto" w:fill="DCE6F1"/>
          </w:tcPr>
          <w:p>
            <w:pPr>
              <w:spacing w:before="40" w:after="40" w:line="276" w:lineRule="auto"/>
              <w:jc w:val="center"/>
            </w:pPr>
            <w:r/>
            <w:r>
              <w:rPr>
                <w:rFonts w:ascii="Times New Roman" w:hAnsi="Times New Roman" w:eastAsia="黑体"/>
                <w:b/>
                <w:i w:val="0"/>
                <w:sz w:val="21"/>
              </w:rPr>
              <w:t>验收要点（由关键规则转写）</w:t>
            </w:r>
          </w:p>
        </w:tc>
      </w:tr>
      <w:tr>
        <w:tc>
          <w:tcPr>
            <w:tcW w:type="dxa" w:w="1701"/>
          </w:tcPr>
          <w:p>
            <w:pPr>
              <w:spacing w:before="20" w:after="20" w:line="276" w:lineRule="auto"/>
              <w:ind w:firstLine="0"/>
            </w:pPr>
            <w:r/>
            <w:r>
              <w:rPr>
                <w:rFonts w:ascii="Times New Roman" w:hAnsi="Times New Roman" w:eastAsia="宋体"/>
                <w:b w:val="0"/>
                <w:i w:val="0"/>
                <w:sz w:val="21"/>
              </w:rPr>
              <w:t>新建立项申请与草稿保存</w:t>
            </w:r>
          </w:p>
        </w:tc>
        <w:tc>
          <w:tcPr>
            <w:tcW w:type="dxa" w:w="7370"/>
          </w:tcPr>
          <w:p>
            <w:pPr>
              <w:spacing w:before="20" w:after="20" w:line="276" w:lineRule="auto"/>
              <w:ind w:firstLine="0"/>
            </w:pPr>
            <w:r/>
            <w:r>
              <w:rPr>
                <w:rFonts w:ascii="Times New Roman" w:hAnsi="Times New Roman" w:eastAsia="宋体"/>
                <w:b w:val="0"/>
                <w:i w:val="0"/>
                <w:sz w:val="21"/>
              </w:rPr>
              <w:t>步骤 1 必填项为项目名称、业务类型、货物品类、业务周期、业务负责人、项目小组成员；任一未填时阻止提交并提示「请填写：项目名称/业务类型/品类/...」。项目名称限中英常规标点、最大 54 中文字符；业务周期仅支持数字输入且不超过 999；项目主要内容、预计收益、保障措施、呈报事项 4 个文本字段各不超过 200 字。</w:t>
            </w:r>
          </w:p>
        </w:tc>
      </w:tr>
      <w:tr>
        <w:tc>
          <w:tcPr>
            <w:tcW w:type="dxa" w:w="1701"/>
          </w:tcPr>
          <w:p>
            <w:pPr>
              <w:spacing w:before="20" w:after="20" w:line="276" w:lineRule="auto"/>
              <w:ind w:firstLine="0"/>
            </w:pPr>
            <w:r/>
            <w:r>
              <w:rPr>
                <w:rFonts w:ascii="Times New Roman" w:hAnsi="Times New Roman" w:eastAsia="宋体"/>
                <w:b w:val="0"/>
                <w:i w:val="0"/>
                <w:sz w:val="21"/>
              </w:rPr>
              <w:t>关联企业选择与客户准入材料上传</w:t>
            </w:r>
          </w:p>
        </w:tc>
        <w:tc>
          <w:tcPr>
            <w:tcW w:type="dxa" w:w="7370"/>
          </w:tcPr>
          <w:p>
            <w:pPr>
              <w:spacing w:before="20" w:after="20" w:line="276" w:lineRule="auto"/>
              <w:ind w:firstLine="0"/>
            </w:pPr>
            <w:r/>
            <w:r>
              <w:rPr>
                <w:rFonts w:ascii="Times New Roman" w:hAnsi="Times New Roman" w:eastAsia="宋体"/>
                <w:b w:val="0"/>
                <w:i w:val="0"/>
                <w:sz w:val="21"/>
              </w:rPr>
              <w:t>发起尽调要求至少关联 1 个企业，为 0 时提示「请至少添加 1 个关联企业」并阻止提交；客户准入材料必填 6 类为营业执照、税务登记证、特殊经营许可证、纳税申报表、完税证明、财务报表，非必填 7 类为法定代表人身份证、代理人身份证、开户许可证、授权委托书、KYC 调查表、周年申报表、其他材料；单个附件大小不超过 100MB。</w:t>
            </w:r>
          </w:p>
        </w:tc>
      </w:tr>
      <w:tr>
        <w:tc>
          <w:tcPr>
            <w:tcW w:type="dxa" w:w="1701"/>
          </w:tcPr>
          <w:p>
            <w:pPr>
              <w:spacing w:before="20" w:after="20" w:line="276" w:lineRule="auto"/>
              <w:ind w:firstLine="0"/>
            </w:pPr>
            <w:r/>
            <w:r>
              <w:rPr>
                <w:rFonts w:ascii="Times New Roman" w:hAnsi="Times New Roman" w:eastAsia="宋体"/>
                <w:b w:val="0"/>
                <w:i w:val="0"/>
                <w:sz w:val="21"/>
              </w:rPr>
              <w:t>企业尽调报告与企业风险扫描结果</w:t>
            </w:r>
          </w:p>
        </w:tc>
        <w:tc>
          <w:tcPr>
            <w:tcW w:type="dxa" w:w="7370"/>
          </w:tcPr>
          <w:p>
            <w:pPr>
              <w:spacing w:before="20" w:after="20" w:line="276" w:lineRule="auto"/>
              <w:ind w:firstLine="0"/>
            </w:pPr>
            <w:r/>
            <w:r>
              <w:rPr>
                <w:rFonts w:ascii="Times New Roman" w:hAnsi="Times New Roman" w:eastAsia="宋体"/>
                <w:b w:val="0"/>
                <w:i w:val="0"/>
                <w:sz w:val="21"/>
              </w:rPr>
              <w:t>外部企业信息接口超时时提示「天眼查接口超时，请重试」并允许重试，单个企业扫描失败不阻断其余企业与区块；命中高风险项达到 2 项时红色警示「企业存在 X 项高风险，建议修改关联企业」，警示不阻断流程；关联报告允许上传 pdf、png、jpg、doc 格式。</w:t>
            </w:r>
          </w:p>
        </w:tc>
      </w:tr>
      <w:tr>
        <w:tc>
          <w:tcPr>
            <w:tcW w:type="dxa" w:w="1701"/>
          </w:tcPr>
          <w:p>
            <w:pPr>
              <w:spacing w:before="20" w:after="20" w:line="276" w:lineRule="auto"/>
              <w:ind w:firstLine="0"/>
            </w:pPr>
            <w:r/>
            <w:r>
              <w:rPr>
                <w:rFonts w:ascii="Times New Roman" w:hAnsi="Times New Roman" w:eastAsia="宋体"/>
                <w:b w:val="0"/>
                <w:i w:val="0"/>
                <w:sz w:val="21"/>
              </w:rPr>
              <w:t>贸易风控合规报告</w:t>
            </w:r>
          </w:p>
        </w:tc>
        <w:tc>
          <w:tcPr>
            <w:tcW w:type="dxa" w:w="7370"/>
          </w:tcPr>
          <w:p>
            <w:pPr>
              <w:spacing w:before="20" w:after="20" w:line="276" w:lineRule="auto"/>
              <w:ind w:firstLine="0"/>
            </w:pPr>
            <w:r/>
            <w:r>
              <w:rPr>
                <w:rFonts w:ascii="Times New Roman" w:hAnsi="Times New Roman" w:eastAsia="宋体"/>
                <w:b w:val="0"/>
                <w:i w:val="0"/>
                <w:sz w:val="21"/>
              </w:rPr>
              <w:t>报告固定 6 项检查项，其中交叉持股比例达到 25%、董监高人员完全重合或交叉任职人数达到 3 人、注册与经营地址及电话邮箱全部完全相同、长期固定合作且价差不变持续 6 个月以上共 4 项有明确阈值；上下游为同一企业或同一实际控制人、一方为另一方贸易合同提供连带责任担保共 2 项的判定规则需业务方补充。</w:t>
            </w:r>
          </w:p>
        </w:tc>
      </w:tr>
      <w:tr>
        <w:tc>
          <w:tcPr>
            <w:tcW w:type="dxa" w:w="1701"/>
          </w:tcPr>
          <w:p>
            <w:pPr>
              <w:spacing w:before="20" w:after="20" w:line="276" w:lineRule="auto"/>
              <w:ind w:firstLine="0"/>
            </w:pPr>
            <w:r/>
            <w:r>
              <w:rPr>
                <w:rFonts w:ascii="Times New Roman" w:hAnsi="Times New Roman" w:eastAsia="宋体"/>
                <w:b w:val="0"/>
                <w:i w:val="0"/>
                <w:sz w:val="21"/>
              </w:rPr>
              <w:t>串行审批与 SLA 自动催办</w:t>
            </w:r>
          </w:p>
        </w:tc>
        <w:tc>
          <w:tcPr>
            <w:tcW w:type="dxa" w:w="7370"/>
          </w:tcPr>
          <w:p>
            <w:pPr>
              <w:spacing w:before="20" w:after="20" w:line="276" w:lineRule="auto"/>
              <w:ind w:firstLine="0"/>
            </w:pPr>
            <w:r/>
            <w:r>
              <w:rPr>
                <w:rFonts w:ascii="Times New Roman" w:hAnsi="Times New Roman" w:eastAsia="宋体"/>
                <w:b w:val="0"/>
                <w:i w:val="0"/>
                <w:sz w:val="21"/>
              </w:rPr>
              <w:t>审批链为提交、一级业务、风控部、财务部、总经理 5 个节点逐级串行，前一节点通过后自动流转至后一节点，任一节点驳回则状态变为已驳回；当前节点超 2 小时未处理触发自动催办，催办最多 3 次后升级上级，驳回时必须填写驳回原因。</w:t>
            </w:r>
          </w:p>
        </w:tc>
      </w:tr>
      <w:tr>
        <w:tc>
          <w:tcPr>
            <w:tcW w:type="dxa" w:w="1701"/>
          </w:tcPr>
          <w:p>
            <w:pPr>
              <w:spacing w:before="20" w:after="20" w:line="276" w:lineRule="auto"/>
              <w:ind w:firstLine="0"/>
            </w:pPr>
            <w:r/>
            <w:r>
              <w:rPr>
                <w:rFonts w:ascii="Times New Roman" w:hAnsi="Times New Roman" w:eastAsia="宋体"/>
                <w:b w:val="0"/>
                <w:i w:val="0"/>
                <w:sz w:val="21"/>
              </w:rPr>
              <w:t>准入完成与准入凭证</w:t>
            </w:r>
          </w:p>
        </w:tc>
        <w:tc>
          <w:tcPr>
            <w:tcW w:type="dxa" w:w="7370"/>
          </w:tcPr>
          <w:p>
            <w:pPr>
              <w:spacing w:before="20" w:after="20" w:line="276" w:lineRule="auto"/>
              <w:ind w:firstLine="0"/>
            </w:pPr>
            <w:r/>
            <w:r>
              <w:rPr>
                <w:rFonts w:ascii="Times New Roman" w:hAnsi="Times New Roman" w:eastAsia="宋体"/>
                <w:b w:val="0"/>
                <w:i w:val="0"/>
                <w:sz w:val="21"/>
              </w:rPr>
              <w:t>全部审批节点通过后流程状态由审批中自动变为执行中，业务完结或主动终止后变为已完结；项目完结时关联企业从风险报告沉淀到客户台账并记录来源项目与来源尽调报告；已作废与已完结为终态。</w:t>
            </w:r>
          </w:p>
        </w:tc>
      </w:tr>
      <w:tr>
        <w:tc>
          <w:tcPr>
            <w:tcW w:type="dxa" w:w="1701"/>
          </w:tcPr>
          <w:p>
            <w:pPr>
              <w:spacing w:before="20" w:after="20" w:line="276" w:lineRule="auto"/>
              <w:ind w:firstLine="0"/>
            </w:pPr>
            <w:r/>
            <w:r>
              <w:rPr>
                <w:rFonts w:ascii="Times New Roman" w:hAnsi="Times New Roman" w:eastAsia="宋体"/>
                <w:b w:val="0"/>
                <w:i w:val="0"/>
                <w:sz w:val="21"/>
              </w:rPr>
              <w:t>项目列表与状态流转管理</w:t>
            </w:r>
          </w:p>
        </w:tc>
        <w:tc>
          <w:tcPr>
            <w:tcW w:type="dxa" w:w="7370"/>
          </w:tcPr>
          <w:p>
            <w:pPr>
              <w:spacing w:before="20" w:after="20" w:line="276" w:lineRule="auto"/>
              <w:ind w:firstLine="0"/>
            </w:pPr>
            <w:r/>
            <w:r>
              <w:rPr>
                <w:rFonts w:ascii="Times New Roman" w:hAnsi="Times New Roman" w:eastAsia="宋体"/>
                <w:b w:val="0"/>
                <w:i w:val="0"/>
                <w:sz w:val="21"/>
              </w:rPr>
              <w:t>列表 Tab 为全部加 6 个流程状态；行操作按状态显隐，待提交可查看、编辑、提交、作废，审批中可查看、撤回，执行中可查看、上传客户准入报告、终止，已驳回可查看、编辑、重新提交、作废，已完结与已作废仅可查看；「撤回申请」限定创建人且状态为审批中。</w:t>
            </w:r>
          </w:p>
        </w:tc>
      </w:tr>
      <w:tr>
        <w:tc>
          <w:tcPr>
            <w:tcW w:type="dxa" w:w="1701"/>
          </w:tcPr>
          <w:p>
            <w:pPr>
              <w:spacing w:before="20" w:after="20" w:line="276" w:lineRule="auto"/>
              <w:ind w:firstLine="0"/>
            </w:pPr>
            <w:r/>
            <w:r>
              <w:rPr>
                <w:rFonts w:ascii="Times New Roman" w:hAnsi="Times New Roman" w:eastAsia="宋体"/>
                <w:b w:val="0"/>
                <w:i w:val="0"/>
                <w:sz w:val="21"/>
              </w:rPr>
              <w:t>整体报告导出</w:t>
            </w:r>
          </w:p>
        </w:tc>
        <w:tc>
          <w:tcPr>
            <w:tcW w:type="dxa" w:w="7370"/>
          </w:tcPr>
          <w:p>
            <w:pPr>
              <w:spacing w:before="20" w:after="20" w:line="276" w:lineRule="auto"/>
              <w:ind w:firstLine="0"/>
            </w:pPr>
            <w:r/>
            <w:r>
              <w:rPr>
                <w:rFonts w:ascii="Times New Roman" w:hAnsi="Times New Roman" w:eastAsia="宋体"/>
                <w:b w:val="0"/>
                <w:i w:val="0"/>
                <w:sz w:val="21"/>
              </w:rPr>
              <w:t>全站详情页与报表页不提供打印入口，仅准入管理模块的整体报告可导出为 PDF；整体报告的内容范围与页面入口位置需业务方确认。</w:t>
            </w:r>
          </w:p>
        </w:tc>
      </w:tr>
    </w:tbl>
    <w:p>
      <w:pPr>
        <w:spacing w:before="0" w:after="0" w:line="240" w:lineRule="auto"/>
      </w:pPr>
    </w:p>
    <w:p>
      <w:pPr>
        <w:spacing w:before="120" w:after="60" w:line="360" w:lineRule="auto"/>
      </w:pPr>
      <w:r>
        <w:rPr>
          <w:rFonts w:ascii="Times New Roman" w:hAnsi="Times New Roman" w:eastAsia="宋体"/>
          <w:b/>
          <w:i w:val="0"/>
          <w:sz w:val="24"/>
        </w:rPr>
        <w:t>待业务方确认：</w:t>
      </w:r>
    </w:p>
    <w:p>
      <w:pPr>
        <w:spacing w:before="0" w:after="60" w:line="336" w:lineRule="auto"/>
        <w:ind w:left="340" w:firstLine="0"/>
      </w:pPr>
      <w:r>
        <w:rPr>
          <w:rFonts w:ascii="Times New Roman" w:hAnsi="Times New Roman" w:eastAsia="宋体"/>
          <w:b w:val="0"/>
          <w:i w:val="0"/>
          <w:sz w:val="24"/>
        </w:rPr>
        <w:t>· 待业务方确认：业务类型与货物品类的匹配矩阵，现有口径仅明确提示文案「业务类型 X 与品类 Y 不匹配」，各业务类型可搭配的品类清单未给出</w:t>
      </w:r>
    </w:p>
    <w:p>
      <w:pPr>
        <w:spacing w:before="0" w:after="60" w:line="336" w:lineRule="auto"/>
        <w:ind w:left="340" w:firstLine="0"/>
      </w:pPr>
      <w:r>
        <w:rPr>
          <w:rFonts w:ascii="Times New Roman" w:hAnsi="Times New Roman" w:eastAsia="宋体"/>
          <w:b w:val="0"/>
          <w:i w:val="0"/>
          <w:sz w:val="24"/>
        </w:rPr>
        <w:t>· 待业务方确认：贸易风控合规报告 6 项检查项中「上下游为同一企业或同一实际控制人」与「一方为另一方贸易合同提供连带责任担保」两项的判定规则</w:t>
      </w:r>
    </w:p>
    <w:p>
      <w:pPr>
        <w:spacing w:before="0" w:after="60" w:line="336" w:lineRule="auto"/>
        <w:ind w:left="340" w:firstLine="0"/>
      </w:pPr>
      <w:r>
        <w:rPr>
          <w:rFonts w:ascii="Times New Roman" w:hAnsi="Times New Roman" w:eastAsia="宋体"/>
          <w:b w:val="0"/>
          <w:i w:val="0"/>
          <w:sz w:val="24"/>
        </w:rPr>
        <w:t>· 待业务方确认：企业风险扫描结果 6 个 Tab 下各自的逐条检查项与结果字段</w:t>
      </w:r>
    </w:p>
    <w:p>
      <w:pPr>
        <w:spacing w:before="0" w:after="60" w:line="336" w:lineRule="auto"/>
        <w:ind w:left="340" w:firstLine="0"/>
      </w:pPr>
      <w:r>
        <w:rPr>
          <w:rFonts w:ascii="Times New Roman" w:hAnsi="Times New Roman" w:eastAsia="宋体"/>
          <w:b w:val="0"/>
          <w:i w:val="0"/>
          <w:sz w:val="24"/>
        </w:rPr>
        <w:t>· 待业务方确认：项目准入「整体报告」PDF 的内容范围与页面入口位置</w:t>
      </w:r>
    </w:p>
    <w:p>
      <w:pPr>
        <w:spacing w:before="0" w:after="60" w:line="336" w:lineRule="auto"/>
        <w:ind w:left="340" w:firstLine="0"/>
      </w:pPr>
      <w:r>
        <w:rPr>
          <w:rFonts w:ascii="Times New Roman" w:hAnsi="Times New Roman" w:eastAsia="宋体"/>
          <w:b w:val="0"/>
          <w:i w:val="0"/>
          <w:sz w:val="24"/>
        </w:rPr>
        <w:t>· 待业务方确认：立项流程第 4 步的页面名称，需求口径为「提交审批」，原型页面显示为「审批详情」</w:t>
      </w:r>
    </w:p>
    <w:p>
      <w:pPr>
        <w:spacing w:before="0" w:after="60" w:line="336" w:lineRule="auto"/>
        <w:ind w:left="340" w:firstLine="0"/>
      </w:pPr>
      <w:r>
        <w:rPr>
          <w:rFonts w:ascii="Times New Roman" w:hAnsi="Times New Roman" w:eastAsia="宋体"/>
          <w:b w:val="0"/>
          <w:i w:val="0"/>
          <w:sz w:val="24"/>
        </w:rPr>
        <w:t>· 待业务方确认：「业务周期」字段的存储形态是月数还是起止日期</w:t>
      </w:r>
    </w:p>
    <w:p>
      <w:pPr>
        <w:spacing w:before="0" w:after="60" w:line="336" w:lineRule="auto"/>
        <w:ind w:left="340" w:firstLine="0"/>
      </w:pPr>
      <w:r>
        <w:rPr>
          <w:rFonts w:ascii="Times New Roman" w:hAnsi="Times New Roman" w:eastAsia="宋体"/>
          <w:b w:val="0"/>
          <w:i w:val="0"/>
          <w:sz w:val="24"/>
        </w:rPr>
        <w:t>· 待业务方确认：审批流类型的完整取值，当前仅明确对接外部 OA 的一种取值</w:t>
      </w:r>
    </w:p>
    <w:p>
      <w:pPr>
        <w:spacing w:before="0" w:after="60" w:line="336" w:lineRule="auto"/>
        <w:ind w:left="340" w:firstLine="0"/>
      </w:pPr>
      <w:r>
        <w:rPr>
          <w:rFonts w:ascii="Times New Roman" w:hAnsi="Times New Roman" w:eastAsia="宋体"/>
          <w:b w:val="0"/>
          <w:i w:val="0"/>
          <w:sz w:val="24"/>
        </w:rPr>
        <w:t>· 待业务方确认：模块整页「无访问权限」的兜底文案与处理方式</w:t>
      </w:r>
    </w:p>
    <w:p>
      <w:r>
        <w:br w:type="page"/>
      </w:r>
    </w:p>
    <w:p>
      <w:pPr>
        <w:pStyle w:val="Heading2"/>
        <w:keepNext/>
        <w:spacing w:before="240" w:after="120" w:line="312" w:lineRule="auto"/>
        <w:ind w:firstLine="0"/>
      </w:pPr>
      <w:r>
        <w:rPr>
          <w:rFonts w:ascii="Times New Roman" w:hAnsi="Times New Roman" w:eastAsia="黑体"/>
          <w:b/>
          <w:i w:val="0"/>
          <w:sz w:val="28"/>
        </w:rPr>
        <w:t>4.2　客户准入</w:t>
      </w:r>
    </w:p>
    <w:p>
      <w:pPr>
        <w:spacing w:before="0" w:after="160" w:line="360" w:lineRule="auto"/>
      </w:pPr>
      <w:r>
        <w:rPr>
          <w:rFonts w:ascii="Times New Roman" w:hAnsi="Times New Roman" w:eastAsia="宋体"/>
          <w:b w:val="0"/>
          <w:i w:val="0"/>
          <w:color w:val="595959"/>
          <w:sz w:val="21"/>
        </w:rPr>
        <w:t>菜单路径：准入管理 / 客户准入</w:t>
      </w:r>
    </w:p>
    <w:p>
      <w:pPr>
        <w:pStyle w:val="Heading3"/>
        <w:keepNext/>
        <w:spacing w:before="160" w:after="80" w:line="312" w:lineRule="auto"/>
        <w:ind w:firstLine="0"/>
      </w:pPr>
      <w:r>
        <w:rPr>
          <w:rFonts w:ascii="Times New Roman" w:hAnsi="Times New Roman" w:eastAsia="黑体"/>
          <w:b/>
          <w:i w:val="0"/>
          <w:sz w:val="24"/>
        </w:rPr>
        <w:t>4.2.1　一页结论</w:t>
      </w:r>
    </w:p>
    <w:p>
      <w:pPr>
        <w:spacing w:before="0" w:after="120" w:line="360" w:lineRule="auto"/>
      </w:pPr>
      <w:r>
        <w:rPr>
          <w:rFonts w:ascii="Times New Roman" w:hAnsi="Times New Roman" w:eastAsia="宋体"/>
          <w:b w:val="0"/>
          <w:i w:val="0"/>
          <w:sz w:val="24"/>
        </w:rPr>
        <w:t>把上下游与第三方企业沉淀为统一客户档案，承载风险扫描、股权穿透、准入审批与黑名单联动，成为全平台可复用的业务主体数据。</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928"/>
            <w:shd w:val="clear" w:color="auto" w:fill="DCE6F1"/>
          </w:tcPr>
          <w:p>
            <w:pPr>
              <w:spacing w:before="40" w:after="40" w:line="276" w:lineRule="auto"/>
              <w:jc w:val="center"/>
            </w:pPr>
            <w:r/>
            <w:r>
              <w:rPr>
                <w:rFonts w:ascii="Times New Roman" w:hAnsi="Times New Roman" w:eastAsia="黑体"/>
                <w:b/>
                <w:i w:val="0"/>
                <w:sz w:val="21"/>
              </w:rPr>
              <w:t>问题</w:t>
            </w:r>
          </w:p>
        </w:tc>
        <w:tc>
          <w:tcPr>
            <w:tcW w:type="dxa" w:w="3572"/>
            <w:shd w:val="clear" w:color="auto" w:fill="DCE6F1"/>
          </w:tcPr>
          <w:p>
            <w:pPr>
              <w:spacing w:before="40" w:after="40" w:line="276" w:lineRule="auto"/>
              <w:jc w:val="center"/>
            </w:pPr>
            <w:r/>
            <w:r>
              <w:rPr>
                <w:rFonts w:ascii="Times New Roman" w:hAnsi="Times New Roman" w:eastAsia="黑体"/>
                <w:b/>
                <w:i w:val="0"/>
                <w:sz w:val="21"/>
              </w:rPr>
              <w:t>当前做法</w:t>
            </w:r>
          </w:p>
        </w:tc>
        <w:tc>
          <w:tcPr>
            <w:tcW w:type="dxa" w:w="3572"/>
            <w:shd w:val="clear" w:color="auto" w:fill="DCE6F1"/>
          </w:tcPr>
          <w:p>
            <w:pPr>
              <w:spacing w:before="40" w:after="40" w:line="276" w:lineRule="auto"/>
              <w:jc w:val="center"/>
            </w:pPr>
            <w:r/>
            <w:r>
              <w:rPr>
                <w:rFonts w:ascii="Times New Roman" w:hAnsi="Times New Roman" w:eastAsia="黑体"/>
                <w:b/>
                <w:i w:val="0"/>
                <w:sz w:val="21"/>
              </w:rPr>
              <w:t>本模块解法</w:t>
            </w:r>
          </w:p>
        </w:tc>
      </w:tr>
      <w:tr>
        <w:tc>
          <w:tcPr>
            <w:tcW w:type="dxa" w:w="1928"/>
          </w:tcPr>
          <w:p>
            <w:pPr>
              <w:spacing w:before="20" w:after="20" w:line="276" w:lineRule="auto"/>
              <w:ind w:firstLine="0"/>
            </w:pPr>
            <w:r/>
            <w:r>
              <w:rPr>
                <w:rFonts w:ascii="Times New Roman" w:hAnsi="Times New Roman" w:eastAsia="宋体"/>
                <w:b w:val="0"/>
                <w:i w:val="0"/>
                <w:sz w:val="21"/>
              </w:rPr>
              <w:t>企业主体资料重复录入，风险信息分散在外部服务与内部名单</w:t>
            </w:r>
          </w:p>
        </w:tc>
        <w:tc>
          <w:tcPr>
            <w:tcW w:type="dxa" w:w="3572"/>
          </w:tcPr>
          <w:p>
            <w:pPr>
              <w:spacing w:before="20" w:after="20" w:line="276" w:lineRule="auto"/>
              <w:ind w:firstLine="0"/>
            </w:pPr>
            <w:r/>
            <w:r>
              <w:rPr>
                <w:rFonts w:ascii="Times New Roman" w:hAnsi="Times New Roman" w:eastAsia="宋体"/>
                <w:b w:val="0"/>
                <w:i w:val="0"/>
                <w:sz w:val="21"/>
              </w:rPr>
              <w:t>每个业务单据各自填写企业信息，主体信息与风险结论无法沉淀复用</w:t>
            </w:r>
          </w:p>
        </w:tc>
        <w:tc>
          <w:tcPr>
            <w:tcW w:type="dxa" w:w="3572"/>
          </w:tcPr>
          <w:p>
            <w:pPr>
              <w:spacing w:before="20" w:after="20" w:line="276" w:lineRule="auto"/>
              <w:ind w:firstLine="0"/>
            </w:pPr>
            <w:r/>
            <w:r>
              <w:rPr>
                <w:rFonts w:ascii="Times New Roman" w:hAnsi="Times New Roman" w:eastAsia="宋体"/>
                <w:b w:val="0"/>
                <w:i w:val="0"/>
                <w:sz w:val="21"/>
              </w:rPr>
              <w:t>客户档案统一承载主体信息、风险扫描结果与来源记录，单据按客户引用</w:t>
            </w:r>
          </w:p>
        </w:tc>
      </w:tr>
      <w:tr>
        <w:tc>
          <w:tcPr>
            <w:tcW w:type="dxa" w:w="1928"/>
          </w:tcPr>
          <w:p>
            <w:pPr>
              <w:spacing w:before="20" w:after="20" w:line="276" w:lineRule="auto"/>
              <w:ind w:firstLine="0"/>
            </w:pPr>
            <w:r/>
            <w:r>
              <w:rPr>
                <w:rFonts w:ascii="Times New Roman" w:hAnsi="Times New Roman" w:eastAsia="宋体"/>
                <w:b w:val="0"/>
                <w:i w:val="0"/>
                <w:sz w:val="21"/>
              </w:rPr>
              <w:t>客户档案缺少统一视图，分类、风险等级、关联关系散落</w:t>
            </w:r>
          </w:p>
        </w:tc>
        <w:tc>
          <w:tcPr>
            <w:tcW w:type="dxa" w:w="3572"/>
          </w:tcPr>
          <w:p>
            <w:pPr>
              <w:spacing w:before="20" w:after="20" w:line="276" w:lineRule="auto"/>
              <w:ind w:firstLine="0"/>
            </w:pPr>
            <w:r/>
            <w:r>
              <w:rPr>
                <w:rFonts w:ascii="Times New Roman" w:hAnsi="Times New Roman" w:eastAsia="宋体"/>
                <w:b w:val="0"/>
                <w:i w:val="0"/>
                <w:sz w:val="21"/>
              </w:rPr>
              <w:t>要判断一个客户能不能合作，需要跨多个表与多个页面人工核对</w:t>
            </w:r>
          </w:p>
        </w:tc>
        <w:tc>
          <w:tcPr>
            <w:tcW w:type="dxa" w:w="3572"/>
          </w:tcPr>
          <w:p>
            <w:pPr>
              <w:spacing w:before="20" w:after="20" w:line="276" w:lineRule="auto"/>
              <w:ind w:firstLine="0"/>
            </w:pPr>
            <w:r/>
            <w:r>
              <w:rPr>
                <w:rFonts w:ascii="Times New Roman" w:hAnsi="Times New Roman" w:eastAsia="宋体"/>
                <w:b w:val="0"/>
                <w:i w:val="0"/>
                <w:sz w:val="21"/>
              </w:rPr>
              <w:t>客户详情页按企业信息、风险扫描结果、股权关系、客户准入材料、审批准入、关联项目集中呈现</w:t>
            </w:r>
          </w:p>
        </w:tc>
      </w:tr>
      <w:tr>
        <w:tc>
          <w:tcPr>
            <w:tcW w:type="dxa" w:w="1928"/>
          </w:tcPr>
          <w:p>
            <w:pPr>
              <w:spacing w:before="20" w:after="20" w:line="276" w:lineRule="auto"/>
              <w:ind w:firstLine="0"/>
            </w:pPr>
            <w:r/>
            <w:r>
              <w:rPr>
                <w:rFonts w:ascii="Times New Roman" w:hAnsi="Times New Roman" w:eastAsia="宋体"/>
                <w:b w:val="0"/>
                <w:i w:val="0"/>
                <w:sz w:val="21"/>
              </w:rPr>
              <w:t>客户分类与业务角色靠人工约定，容易出现上游企业当采购方用</w:t>
            </w:r>
          </w:p>
        </w:tc>
        <w:tc>
          <w:tcPr>
            <w:tcW w:type="dxa" w:w="3572"/>
          </w:tcPr>
          <w:p>
            <w:pPr>
              <w:spacing w:before="20" w:after="20" w:line="276" w:lineRule="auto"/>
              <w:ind w:firstLine="0"/>
            </w:pPr>
            <w:r/>
            <w:r>
              <w:rPr>
                <w:rFonts w:ascii="Times New Roman" w:hAnsi="Times New Roman" w:eastAsia="宋体"/>
                <w:b w:val="0"/>
                <w:i w:val="0"/>
                <w:sz w:val="21"/>
              </w:rPr>
              <w:t>选错客户类型后由下游业务发现并返工</w:t>
            </w:r>
          </w:p>
        </w:tc>
        <w:tc>
          <w:tcPr>
            <w:tcW w:type="dxa" w:w="3572"/>
          </w:tcPr>
          <w:p>
            <w:pPr>
              <w:spacing w:before="20" w:after="20" w:line="276" w:lineRule="auto"/>
              <w:ind w:firstLine="0"/>
            </w:pPr>
            <w:r/>
            <w:r>
              <w:rPr>
                <w:rFonts w:ascii="Times New Roman" w:hAnsi="Times New Roman" w:eastAsia="宋体"/>
                <w:b w:val="0"/>
                <w:i w:val="0"/>
                <w:sz w:val="21"/>
              </w:rPr>
              <w:t>客户分类 4 选 1 后自动推导其可作为供应商、采购方、仓储方，冲突时即时提示</w:t>
            </w:r>
          </w:p>
        </w:tc>
      </w:tr>
      <w:tr>
        <w:tc>
          <w:tcPr>
            <w:tcW w:type="dxa" w:w="1928"/>
          </w:tcPr>
          <w:p>
            <w:pPr>
              <w:spacing w:before="20" w:after="20" w:line="276" w:lineRule="auto"/>
              <w:ind w:firstLine="0"/>
            </w:pPr>
            <w:r/>
            <w:r>
              <w:rPr>
                <w:rFonts w:ascii="Times New Roman" w:hAnsi="Times New Roman" w:eastAsia="宋体"/>
                <w:b w:val="0"/>
                <w:i w:val="0"/>
                <w:sz w:val="21"/>
              </w:rPr>
              <w:t>客户档案的变更没有留痕，谁在什么时候改了什么查不到</w:t>
            </w:r>
          </w:p>
        </w:tc>
        <w:tc>
          <w:tcPr>
            <w:tcW w:type="dxa" w:w="3572"/>
          </w:tcPr>
          <w:p>
            <w:pPr>
              <w:spacing w:before="20" w:after="20" w:line="276" w:lineRule="auto"/>
              <w:ind w:firstLine="0"/>
            </w:pPr>
            <w:r/>
            <w:r>
              <w:rPr>
                <w:rFonts w:ascii="Times New Roman" w:hAnsi="Times New Roman" w:eastAsia="宋体"/>
                <w:b w:val="0"/>
                <w:i w:val="0"/>
                <w:sz w:val="21"/>
              </w:rPr>
              <w:t>靠人工比对历史版本或无记录</w:t>
            </w:r>
          </w:p>
        </w:tc>
        <w:tc>
          <w:tcPr>
            <w:tcW w:type="dxa" w:w="3572"/>
          </w:tcPr>
          <w:p>
            <w:pPr>
              <w:spacing w:before="20" w:after="20" w:line="276" w:lineRule="auto"/>
              <w:ind w:firstLine="0"/>
            </w:pPr>
            <w:r/>
            <w:r>
              <w:rPr>
                <w:rFonts w:ascii="Times New Roman" w:hAnsi="Times New Roman" w:eastAsia="宋体"/>
                <w:b w:val="0"/>
                <w:i w:val="0"/>
                <w:sz w:val="21"/>
              </w:rPr>
              <w:t>客户分类、状态、黑名单、风险等级 4 类变更统一写入客户变更日志</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4.2.2　背景与目标</w:t>
      </w:r>
    </w:p>
    <w:tbl>
      <w:tblPr>
        <w:tblStyle w:val="TableGrid"/>
        <w:tblW w:type="auto" w:w="0"/>
        <w:jc w:val="center"/>
        <w:tblLayout w:type="fixed"/>
        <w:tblLook w:firstColumn="1" w:firstRow="1" w:lastColumn="0" w:lastRow="0" w:noHBand="0" w:noVBand="1" w:val="04A0"/>
      </w:tblPr>
      <w:tblGrid>
        <w:gridCol w:w="8958"/>
      </w:tblGrid>
      <w:tr>
        <w:trPr>
          <w:tblHeader w:val="true"/>
        </w:trPr>
        <w:tc>
          <w:tcPr>
            <w:tcW w:type="dxa" w:w="9071"/>
            <w:shd w:val="clear" w:color="auto" w:fill="DCE6F1"/>
          </w:tcPr>
          <w:p>
            <w:pPr>
              <w:spacing w:before="40" w:after="40" w:line="276" w:lineRule="auto"/>
              <w:jc w:val="center"/>
            </w:pPr>
            <w:r/>
            <w:r>
              <w:rPr>
                <w:rFonts w:ascii="Times New Roman" w:hAnsi="Times New Roman" w:eastAsia="黑体"/>
                <w:b/>
                <w:i w:val="0"/>
                <w:sz w:val="21"/>
              </w:rPr>
              <w:t>目标 / 衡量口径</w:t>
            </w:r>
          </w:p>
        </w:tc>
      </w:tr>
      <w:tr>
        <w:tc>
          <w:tcPr>
            <w:tcW w:type="dxa" w:w="9071"/>
          </w:tcPr>
          <w:p>
            <w:pPr>
              <w:spacing w:before="20" w:after="20" w:line="276" w:lineRule="auto"/>
              <w:ind w:firstLine="0"/>
            </w:pPr>
            <w:r/>
            <w:r>
              <w:rPr>
                <w:rFonts w:ascii="Times New Roman" w:hAnsi="Times New Roman" w:eastAsia="宋体"/>
                <w:b w:val="0"/>
                <w:i w:val="0"/>
                <w:sz w:val="21"/>
              </w:rPr>
              <w:t>客户类别收敛为 4 类（上游供应商、下游客户、第三方物流企业、第三方仓储企业），并自动推导可作为供应商、采购方、仓储方</w:t>
            </w:r>
          </w:p>
        </w:tc>
      </w:tr>
      <w:tr>
        <w:tc>
          <w:tcPr>
            <w:tcW w:type="dxa" w:w="9071"/>
          </w:tcPr>
          <w:p>
            <w:pPr>
              <w:spacing w:before="20" w:after="20" w:line="276" w:lineRule="auto"/>
              <w:ind w:firstLine="0"/>
            </w:pPr>
            <w:r/>
            <w:r>
              <w:rPr>
                <w:rFonts w:ascii="Times New Roman" w:hAnsi="Times New Roman" w:eastAsia="宋体"/>
                <w:b w:val="0"/>
                <w:i w:val="0"/>
                <w:sz w:val="21"/>
              </w:rPr>
              <w:t>客户流程状态与项目状态机保持一致，统一为 6 态并在列表提供聚合的「全部」Tab</w:t>
            </w:r>
          </w:p>
        </w:tc>
      </w:tr>
      <w:tr>
        <w:tc>
          <w:tcPr>
            <w:tcW w:type="dxa" w:w="9071"/>
          </w:tcPr>
          <w:p>
            <w:pPr>
              <w:spacing w:before="20" w:after="20" w:line="276" w:lineRule="auto"/>
              <w:ind w:firstLine="0"/>
            </w:pPr>
            <w:r/>
            <w:r>
              <w:rPr>
                <w:rFonts w:ascii="Times New Roman" w:hAnsi="Times New Roman" w:eastAsia="宋体"/>
                <w:b w:val="0"/>
                <w:i w:val="0"/>
                <w:sz w:val="21"/>
              </w:rPr>
              <w:t>客户详情页按 6 个 Tab 集中展示企业信息、风险扫描结果、股权关系、客户准入材料、审批准入、关联项目</w:t>
            </w:r>
          </w:p>
        </w:tc>
      </w:tr>
      <w:tr>
        <w:tc>
          <w:tcPr>
            <w:tcW w:type="dxa" w:w="9071"/>
          </w:tcPr>
          <w:p>
            <w:pPr>
              <w:spacing w:before="20" w:after="20" w:line="276" w:lineRule="auto"/>
              <w:ind w:firstLine="0"/>
            </w:pPr>
            <w:r/>
            <w:r>
              <w:rPr>
                <w:rFonts w:ascii="Times New Roman" w:hAnsi="Times New Roman" w:eastAsia="宋体"/>
                <w:b w:val="0"/>
                <w:i w:val="0"/>
                <w:sz w:val="21"/>
              </w:rPr>
              <w:t>风险数据双源分离：黑灰名单与假国企央企为平台内部自建，其余风险数据来自外部订阅服务</w:t>
            </w:r>
          </w:p>
        </w:tc>
      </w:tr>
    </w:tbl>
    <w:p>
      <w:pPr>
        <w:spacing w:before="0" w:after="0" w:line="240" w:lineRule="auto"/>
      </w:pPr>
    </w:p>
    <w:p>
      <w:pPr>
        <w:spacing w:before="80" w:after="120" w:line="360" w:lineRule="auto"/>
      </w:pPr>
      <w:r>
        <w:rPr>
          <w:rFonts w:ascii="Times New Roman" w:hAnsi="Times New Roman" w:eastAsia="宋体"/>
          <w:b w:val="0"/>
          <w:i w:val="0"/>
          <w:color w:val="595959"/>
          <w:sz w:val="21"/>
        </w:rPr>
        <w:t>说明：文中口径以业务方已确认结论为准；未确认项集中列于本章末与第 5 章。</w:t>
      </w:r>
    </w:p>
    <w:p>
      <w:pPr>
        <w:pStyle w:val="Heading3"/>
        <w:keepNext/>
        <w:spacing w:before="160" w:after="80" w:line="312" w:lineRule="auto"/>
        <w:ind w:firstLine="0"/>
      </w:pPr>
      <w:r>
        <w:rPr>
          <w:rFonts w:ascii="Times New Roman" w:hAnsi="Times New Roman" w:eastAsia="黑体"/>
          <w:b/>
          <w:i w:val="0"/>
          <w:sz w:val="24"/>
        </w:rPr>
        <w:t>4.2.3　角色与用户需求</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361"/>
            <w:shd w:val="clear" w:color="auto" w:fill="DCE6F1"/>
          </w:tcPr>
          <w:p>
            <w:pPr>
              <w:spacing w:before="40" w:after="40" w:line="276" w:lineRule="auto"/>
              <w:jc w:val="center"/>
            </w:pPr>
            <w:r/>
            <w:r>
              <w:rPr>
                <w:rFonts w:ascii="Times New Roman" w:hAnsi="Times New Roman" w:eastAsia="黑体"/>
                <w:b/>
                <w:i w:val="0"/>
                <w:sz w:val="21"/>
              </w:rPr>
              <w:t>角色</w:t>
            </w:r>
          </w:p>
        </w:tc>
        <w:tc>
          <w:tcPr>
            <w:tcW w:type="dxa" w:w="1247"/>
            <w:shd w:val="clear" w:color="auto" w:fill="DCE6F1"/>
          </w:tcPr>
          <w:p>
            <w:pPr>
              <w:spacing w:before="40" w:after="40" w:line="276" w:lineRule="auto"/>
              <w:jc w:val="center"/>
            </w:pPr>
            <w:r/>
            <w:r>
              <w:rPr>
                <w:rFonts w:ascii="Times New Roman" w:hAnsi="Times New Roman" w:eastAsia="黑体"/>
                <w:b/>
                <w:i w:val="0"/>
                <w:sz w:val="21"/>
              </w:rPr>
              <w:t>所属部门</w:t>
            </w:r>
          </w:p>
        </w:tc>
        <w:tc>
          <w:tcPr>
            <w:tcW w:type="dxa" w:w="6463"/>
            <w:shd w:val="clear" w:color="auto" w:fill="DCE6F1"/>
          </w:tcPr>
          <w:p>
            <w:pPr>
              <w:spacing w:before="40" w:after="40" w:line="276" w:lineRule="auto"/>
              <w:jc w:val="center"/>
            </w:pPr>
            <w:r/>
            <w:r>
              <w:rPr>
                <w:rFonts w:ascii="Times New Roman" w:hAnsi="Times New Roman" w:eastAsia="黑体"/>
                <w:b/>
                <w:i w:val="0"/>
                <w:sz w:val="21"/>
              </w:rPr>
              <w:t>用户需求（我要…以便…）</w:t>
            </w:r>
          </w:p>
        </w:tc>
      </w:tr>
      <w:tr>
        <w:tc>
          <w:tcPr>
            <w:tcW w:type="dxa" w:w="1361"/>
          </w:tcPr>
          <w:p>
            <w:pPr>
              <w:spacing w:before="20" w:after="20" w:line="276" w:lineRule="auto"/>
              <w:ind w:firstLine="0"/>
            </w:pPr>
            <w:r/>
            <w:r>
              <w:rPr>
                <w:rFonts w:ascii="Times New Roman" w:hAnsi="Times New Roman" w:eastAsia="宋体"/>
                <w:b w:val="0"/>
                <w:i w:val="0"/>
                <w:sz w:val="21"/>
              </w:rPr>
              <w:t>业务员</w:t>
            </w:r>
          </w:p>
        </w:tc>
        <w:tc>
          <w:tcPr>
            <w:tcW w:type="dxa" w:w="1247"/>
          </w:tcPr>
          <w:p>
            <w:pPr>
              <w:spacing w:before="20" w:after="20" w:line="276" w:lineRule="auto"/>
              <w:ind w:firstLine="0"/>
            </w:pPr>
            <w:r/>
            <w:r>
              <w:rPr>
                <w:rFonts w:ascii="Times New Roman" w:hAnsi="Times New Roman" w:eastAsia="宋体"/>
                <w:b w:val="0"/>
                <w:i w:val="0"/>
                <w:sz w:val="21"/>
              </w:rPr>
              <w:t>业务部</w:t>
            </w:r>
          </w:p>
        </w:tc>
        <w:tc>
          <w:tcPr>
            <w:tcW w:type="dxa" w:w="6463"/>
          </w:tcPr>
          <w:p>
            <w:pPr>
              <w:spacing w:before="20" w:after="20" w:line="276" w:lineRule="auto"/>
              <w:ind w:firstLine="0"/>
            </w:pPr>
            <w:r/>
            <w:r>
              <w:rPr>
                <w:rFonts w:ascii="Times New Roman" w:hAnsi="Times New Roman" w:eastAsia="宋体"/>
                <w:b w:val="0"/>
                <w:i w:val="0"/>
                <w:sz w:val="21"/>
              </w:rPr>
              <w:t>我要录入客户主体信息并发起审核，以便客户进入台账后可供业务关联</w:t>
            </w:r>
          </w:p>
        </w:tc>
      </w:tr>
      <w:tr>
        <w:tc>
          <w:tcPr>
            <w:tcW w:type="dxa" w:w="1361"/>
          </w:tcPr>
          <w:p>
            <w:pPr>
              <w:spacing w:before="20" w:after="20" w:line="276" w:lineRule="auto"/>
              <w:ind w:firstLine="0"/>
            </w:pPr>
            <w:r/>
            <w:r>
              <w:rPr>
                <w:rFonts w:ascii="Times New Roman" w:hAnsi="Times New Roman" w:eastAsia="宋体"/>
                <w:b w:val="0"/>
                <w:i w:val="0"/>
                <w:sz w:val="21"/>
              </w:rPr>
              <w:t>业务部负责人</w:t>
            </w:r>
          </w:p>
        </w:tc>
        <w:tc>
          <w:tcPr>
            <w:tcW w:type="dxa" w:w="1247"/>
          </w:tcPr>
          <w:p>
            <w:pPr>
              <w:spacing w:before="20" w:after="20" w:line="276" w:lineRule="auto"/>
              <w:ind w:firstLine="0"/>
            </w:pPr>
            <w:r/>
            <w:r>
              <w:rPr>
                <w:rFonts w:ascii="Times New Roman" w:hAnsi="Times New Roman" w:eastAsia="宋体"/>
                <w:b w:val="0"/>
                <w:i w:val="0"/>
                <w:sz w:val="21"/>
              </w:rPr>
              <w:t>业务部</w:t>
            </w:r>
          </w:p>
        </w:tc>
        <w:tc>
          <w:tcPr>
            <w:tcW w:type="dxa" w:w="6463"/>
          </w:tcPr>
          <w:p>
            <w:pPr>
              <w:spacing w:before="20" w:after="20" w:line="276" w:lineRule="auto"/>
              <w:ind w:firstLine="0"/>
            </w:pPr>
            <w:r/>
            <w:r>
              <w:rPr>
                <w:rFonts w:ascii="Times New Roman" w:hAnsi="Times New Roman" w:eastAsia="宋体"/>
                <w:b w:val="0"/>
                <w:i w:val="0"/>
                <w:sz w:val="21"/>
              </w:rPr>
              <w:t>我要复核客户分类变更对下游业务的影响，以便各模块口径一致</w:t>
            </w:r>
          </w:p>
        </w:tc>
      </w:tr>
      <w:tr>
        <w:tc>
          <w:tcPr>
            <w:tcW w:type="dxa" w:w="1361"/>
          </w:tcPr>
          <w:p>
            <w:pPr>
              <w:spacing w:before="20" w:after="20" w:line="276" w:lineRule="auto"/>
              <w:ind w:firstLine="0"/>
            </w:pPr>
            <w:r/>
            <w:r>
              <w:rPr>
                <w:rFonts w:ascii="Times New Roman" w:hAnsi="Times New Roman" w:eastAsia="宋体"/>
                <w:b w:val="0"/>
                <w:i w:val="0"/>
                <w:sz w:val="21"/>
              </w:rPr>
              <w:t>风控人员</w:t>
            </w:r>
          </w:p>
        </w:tc>
        <w:tc>
          <w:tcPr>
            <w:tcW w:type="dxa" w:w="1247"/>
          </w:tcPr>
          <w:p>
            <w:pPr>
              <w:spacing w:before="20" w:after="20" w:line="276" w:lineRule="auto"/>
              <w:ind w:firstLine="0"/>
            </w:pPr>
            <w:r/>
            <w:r>
              <w:rPr>
                <w:rFonts w:ascii="Times New Roman" w:hAnsi="Times New Roman" w:eastAsia="宋体"/>
                <w:b w:val="0"/>
                <w:i w:val="0"/>
                <w:sz w:val="21"/>
              </w:rPr>
              <w:t>风控部</w:t>
            </w:r>
          </w:p>
        </w:tc>
        <w:tc>
          <w:tcPr>
            <w:tcW w:type="dxa" w:w="6463"/>
          </w:tcPr>
          <w:p>
            <w:pPr>
              <w:spacing w:before="20" w:after="20" w:line="276" w:lineRule="auto"/>
              <w:ind w:firstLine="0"/>
            </w:pPr>
            <w:r/>
            <w:r>
              <w:rPr>
                <w:rFonts w:ascii="Times New Roman" w:hAnsi="Times New Roman" w:eastAsia="宋体"/>
                <w:b w:val="0"/>
                <w:i w:val="0"/>
                <w:sz w:val="21"/>
              </w:rPr>
              <w:t>我要复核风险扫描结果并审核客户档案，以便高风险主体被识别和留痕</w:t>
            </w:r>
          </w:p>
        </w:tc>
      </w:tr>
      <w:tr>
        <w:tc>
          <w:tcPr>
            <w:tcW w:type="dxa" w:w="1361"/>
          </w:tcPr>
          <w:p>
            <w:pPr>
              <w:spacing w:before="20" w:after="20" w:line="276" w:lineRule="auto"/>
              <w:ind w:firstLine="0"/>
            </w:pPr>
            <w:r/>
            <w:r>
              <w:rPr>
                <w:rFonts w:ascii="Times New Roman" w:hAnsi="Times New Roman" w:eastAsia="宋体"/>
                <w:b w:val="0"/>
                <w:i w:val="0"/>
                <w:sz w:val="21"/>
              </w:rPr>
              <w:t>总经办</w:t>
            </w:r>
          </w:p>
        </w:tc>
        <w:tc>
          <w:tcPr>
            <w:tcW w:type="dxa" w:w="1247"/>
          </w:tcPr>
          <w:p>
            <w:pPr>
              <w:spacing w:before="20" w:after="20" w:line="276" w:lineRule="auto"/>
              <w:ind w:firstLine="0"/>
            </w:pPr>
            <w:r/>
            <w:r>
              <w:rPr>
                <w:rFonts w:ascii="Times New Roman" w:hAnsi="Times New Roman" w:eastAsia="宋体"/>
                <w:b w:val="0"/>
                <w:i w:val="0"/>
                <w:sz w:val="21"/>
              </w:rPr>
              <w:t>总经办</w:t>
            </w:r>
          </w:p>
        </w:tc>
        <w:tc>
          <w:tcPr>
            <w:tcW w:type="dxa" w:w="6463"/>
          </w:tcPr>
          <w:p>
            <w:pPr>
              <w:spacing w:before="20" w:after="20" w:line="276" w:lineRule="auto"/>
              <w:ind w:firstLine="0"/>
            </w:pPr>
            <w:r/>
            <w:r>
              <w:rPr>
                <w:rFonts w:ascii="Times New Roman" w:hAnsi="Times New Roman" w:eastAsia="宋体"/>
                <w:b w:val="0"/>
                <w:i w:val="0"/>
                <w:sz w:val="21"/>
              </w:rPr>
              <w:t>我要终审客户档案与黑名单相关申请，以便客户台账与名单口径权威</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4.2.4　功能结构与范围</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474"/>
            <w:shd w:val="clear" w:color="auto" w:fill="DCE6F1"/>
          </w:tcPr>
          <w:p>
            <w:pPr>
              <w:spacing w:before="40" w:after="40" w:line="276" w:lineRule="auto"/>
              <w:jc w:val="center"/>
            </w:pPr>
            <w:r/>
            <w:r>
              <w:rPr>
                <w:rFonts w:ascii="Times New Roman" w:hAnsi="Times New Roman" w:eastAsia="黑体"/>
                <w:b/>
                <w:i w:val="0"/>
                <w:sz w:val="21"/>
              </w:rPr>
              <w:t>功能</w:t>
            </w:r>
          </w:p>
        </w:tc>
        <w:tc>
          <w:tcPr>
            <w:tcW w:type="dxa" w:w="3175"/>
            <w:shd w:val="clear" w:color="auto" w:fill="DCE6F1"/>
          </w:tcPr>
          <w:p>
            <w:pPr>
              <w:spacing w:before="40" w:after="40" w:line="276" w:lineRule="auto"/>
              <w:jc w:val="center"/>
            </w:pPr>
            <w:r/>
            <w:r>
              <w:rPr>
                <w:rFonts w:ascii="Times New Roman" w:hAnsi="Times New Roman" w:eastAsia="黑体"/>
                <w:b/>
                <w:i w:val="0"/>
                <w:sz w:val="21"/>
              </w:rPr>
              <w:t>功能说明</w:t>
            </w:r>
          </w:p>
        </w:tc>
        <w:tc>
          <w:tcPr>
            <w:tcW w:type="dxa" w:w="4422"/>
            <w:shd w:val="clear" w:color="auto" w:fill="DCE6F1"/>
          </w:tcPr>
          <w:p>
            <w:pPr>
              <w:spacing w:before="40" w:after="40" w:line="276" w:lineRule="auto"/>
              <w:jc w:val="center"/>
            </w:pPr>
            <w:r/>
            <w:r>
              <w:rPr>
                <w:rFonts w:ascii="Times New Roman" w:hAnsi="Times New Roman" w:eastAsia="黑体"/>
                <w:b/>
                <w:i w:val="0"/>
                <w:sz w:val="21"/>
              </w:rPr>
              <w:t>关键规则</w:t>
            </w:r>
          </w:p>
        </w:tc>
      </w:tr>
      <w:tr>
        <w:tc>
          <w:tcPr>
            <w:tcW w:type="dxa" w:w="1474"/>
          </w:tcPr>
          <w:p>
            <w:pPr>
              <w:spacing w:before="20" w:after="20" w:line="276" w:lineRule="auto"/>
              <w:ind w:firstLine="0"/>
            </w:pPr>
            <w:r/>
            <w:r>
              <w:rPr>
                <w:rFonts w:ascii="Times New Roman" w:hAnsi="Times New Roman" w:eastAsia="宋体"/>
                <w:b w:val="0"/>
                <w:i w:val="0"/>
                <w:sz w:val="21"/>
              </w:rPr>
              <w:t>客户台账列表与状态管理</w:t>
            </w:r>
          </w:p>
        </w:tc>
        <w:tc>
          <w:tcPr>
            <w:tcW w:type="dxa" w:w="3175"/>
          </w:tcPr>
          <w:p>
            <w:pPr>
              <w:spacing w:before="20" w:after="20" w:line="276" w:lineRule="auto"/>
              <w:ind w:firstLine="0"/>
            </w:pPr>
            <w:r/>
            <w:r>
              <w:rPr>
                <w:rFonts w:ascii="Times New Roman" w:hAnsi="Times New Roman" w:eastAsia="宋体"/>
                <w:b w:val="0"/>
                <w:i w:val="0"/>
                <w:sz w:val="21"/>
              </w:rPr>
              <w:t>客户列表提供筛选区、7 个状态 Tab、13 个业务列加流程状态与操作列的数据表格，支持导出与行内操作。</w:t>
            </w:r>
          </w:p>
        </w:tc>
        <w:tc>
          <w:tcPr>
            <w:tcW w:type="dxa" w:w="4422"/>
          </w:tcPr>
          <w:p>
            <w:pPr>
              <w:spacing w:before="20" w:after="20" w:line="276" w:lineRule="auto"/>
              <w:ind w:firstLine="0"/>
            </w:pPr>
            <w:r/>
            <w:r>
              <w:rPr>
                <w:rFonts w:ascii="Times New Roman" w:hAnsi="Times New Roman" w:eastAsia="宋体"/>
                <w:b w:val="0"/>
                <w:i w:val="0"/>
                <w:sz w:val="21"/>
              </w:rPr>
              <w:t>列表状态 Tab 为全部加待提交、审核中、执行中、已完结、驳回、已作废；行操作按状态显隐，待提交可查看、编辑、作废，审核中可查看、审核，执行中可查看、发起完结，驳回可查看、重新发起，已完结与已作废仅可查看；点击状态 Tab 弹出状态与颜色对应关系说明。</w:t>
            </w:r>
          </w:p>
        </w:tc>
      </w:tr>
      <w:tr>
        <w:tc>
          <w:tcPr>
            <w:tcW w:type="dxa" w:w="1474"/>
          </w:tcPr>
          <w:p>
            <w:pPr>
              <w:spacing w:before="20" w:after="20" w:line="276" w:lineRule="auto"/>
              <w:ind w:firstLine="0"/>
            </w:pPr>
            <w:r/>
            <w:r>
              <w:rPr>
                <w:rFonts w:ascii="Times New Roman" w:hAnsi="Times New Roman" w:eastAsia="宋体"/>
                <w:b w:val="0"/>
                <w:i w:val="0"/>
                <w:sz w:val="21"/>
              </w:rPr>
              <w:t>新增客户与准入申请</w:t>
            </w:r>
          </w:p>
        </w:tc>
        <w:tc>
          <w:tcPr>
            <w:tcW w:type="dxa" w:w="3175"/>
          </w:tcPr>
          <w:p>
            <w:pPr>
              <w:spacing w:before="20" w:after="20" w:line="276" w:lineRule="auto"/>
              <w:ind w:firstLine="0"/>
            </w:pPr>
            <w:r/>
            <w:r>
              <w:rPr>
                <w:rFonts w:ascii="Times New Roman" w:hAnsi="Times New Roman" w:eastAsia="宋体"/>
                <w:b w:val="0"/>
                <w:i w:val="0"/>
                <w:sz w:val="21"/>
              </w:rPr>
              <w:t>从客户列表点击「新增客户」进入 4 步骤准入申请，依次为客户信息录入、企业尽调报告、提交审批、准入完成，录入完成后可选择关联项目。</w:t>
            </w:r>
          </w:p>
        </w:tc>
        <w:tc>
          <w:tcPr>
            <w:tcW w:type="dxa" w:w="4422"/>
          </w:tcPr>
          <w:p>
            <w:pPr>
              <w:spacing w:before="20" w:after="20" w:line="276" w:lineRule="auto"/>
              <w:ind w:firstLine="0"/>
            </w:pPr>
            <w:r/>
            <w:r>
              <w:rPr>
                <w:rFonts w:ascii="Times New Roman" w:hAnsi="Times New Roman" w:eastAsia="宋体"/>
                <w:b w:val="0"/>
                <w:i w:val="0"/>
                <w:sz w:val="21"/>
              </w:rPr>
              <w:t>统一社会信用代码由用户填写企业名称后经外部企业信息服务自动返回，用户不填写；开户行、银行账号、联系人姓名、联系电话为必填；客户类别在 4 类中必选 1 项；关联项目可选择跳过，不做强制拦截。</w:t>
            </w:r>
          </w:p>
        </w:tc>
      </w:tr>
      <w:tr>
        <w:tc>
          <w:tcPr>
            <w:tcW w:type="dxa" w:w="1474"/>
          </w:tcPr>
          <w:p>
            <w:pPr>
              <w:spacing w:before="20" w:after="20" w:line="276" w:lineRule="auto"/>
              <w:ind w:firstLine="0"/>
            </w:pPr>
            <w:r/>
            <w:r>
              <w:rPr>
                <w:rFonts w:ascii="Times New Roman" w:hAnsi="Times New Roman" w:eastAsia="宋体"/>
                <w:b w:val="0"/>
                <w:i w:val="0"/>
                <w:sz w:val="21"/>
              </w:rPr>
              <w:t>客户分类与业务角色推导</w:t>
            </w:r>
          </w:p>
        </w:tc>
        <w:tc>
          <w:tcPr>
            <w:tcW w:type="dxa" w:w="3175"/>
          </w:tcPr>
          <w:p>
            <w:pPr>
              <w:spacing w:before="20" w:after="20" w:line="276" w:lineRule="auto"/>
              <w:ind w:firstLine="0"/>
            </w:pPr>
            <w:r/>
            <w:r>
              <w:rPr>
                <w:rFonts w:ascii="Times New Roman" w:hAnsi="Times New Roman" w:eastAsia="宋体"/>
                <w:b w:val="0"/>
                <w:i w:val="0"/>
                <w:sz w:val="21"/>
              </w:rPr>
              <w:t>选定客户类别后系统自动推导该客户可否作为供应商、采购方、仓储方，下游业务据此取数。</w:t>
            </w:r>
          </w:p>
        </w:tc>
        <w:tc>
          <w:tcPr>
            <w:tcW w:type="dxa" w:w="4422"/>
          </w:tcPr>
          <w:p>
            <w:pPr>
              <w:spacing w:before="20" w:after="20" w:line="276" w:lineRule="auto"/>
              <w:ind w:firstLine="0"/>
            </w:pPr>
            <w:r/>
            <w:r>
              <w:rPr>
                <w:rFonts w:ascii="Times New Roman" w:hAnsi="Times New Roman" w:eastAsia="宋体"/>
                <w:b w:val="0"/>
                <w:i w:val="0"/>
                <w:sz w:val="21"/>
              </w:rPr>
              <w:t>上游供应商可作为供应商、不可作为采购方与仓储方；下游客户可作为采购方、不可作为供应商与仓储方；第三方物流企业不作供应商、采购方与仓储方；第三方仓储企业可作为仓储方；分类与角色冲突时提示「上游企业不能作为采购方」。</w:t>
            </w:r>
          </w:p>
        </w:tc>
      </w:tr>
      <w:tr>
        <w:tc>
          <w:tcPr>
            <w:tcW w:type="dxa" w:w="1474"/>
          </w:tcPr>
          <w:p>
            <w:pPr>
              <w:spacing w:before="20" w:after="20" w:line="276" w:lineRule="auto"/>
              <w:ind w:firstLine="0"/>
            </w:pPr>
            <w:r/>
            <w:r>
              <w:rPr>
                <w:rFonts w:ascii="Times New Roman" w:hAnsi="Times New Roman" w:eastAsia="宋体"/>
                <w:b w:val="0"/>
                <w:i w:val="0"/>
                <w:sz w:val="21"/>
              </w:rPr>
              <w:t>风险扫描结果与风险等级</w:t>
            </w:r>
          </w:p>
        </w:tc>
        <w:tc>
          <w:tcPr>
            <w:tcW w:type="dxa" w:w="3175"/>
          </w:tcPr>
          <w:p>
            <w:pPr>
              <w:spacing w:before="20" w:after="20" w:line="276" w:lineRule="auto"/>
              <w:ind w:firstLine="0"/>
            </w:pPr>
            <w:r/>
            <w:r>
              <w:rPr>
                <w:rFonts w:ascii="Times New Roman" w:hAnsi="Times New Roman" w:eastAsia="宋体"/>
                <w:b w:val="0"/>
                <w:i w:val="0"/>
                <w:sz w:val="21"/>
              </w:rPr>
              <w:t>客户详情页按风险分类展示扫描结论，未命中显示无风险，命中时展开风险详情行，并据此推导客户风险等级。</w:t>
            </w:r>
          </w:p>
        </w:tc>
        <w:tc>
          <w:tcPr>
            <w:tcW w:type="dxa" w:w="4422"/>
          </w:tcPr>
          <w:p>
            <w:pPr>
              <w:spacing w:before="20" w:after="20" w:line="276" w:lineRule="auto"/>
              <w:ind w:firstLine="0"/>
            </w:pPr>
            <w:r/>
            <w:r>
              <w:rPr>
                <w:rFonts w:ascii="Times New Roman" w:hAnsi="Times New Roman" w:eastAsia="宋体"/>
                <w:b w:val="0"/>
                <w:i w:val="0"/>
                <w:sz w:val="21"/>
              </w:rPr>
              <w:t>风险等级由最近一次风险扫描推导，0 类高风险为低风险，1 类高风险为中风险，2 类及以上高风险或 3 类及以上中风险为高风险；距上次扫描超过 30 天提示「客户风险等级已过期（30 天），请重新扫描」；风险等级不再联动冻结客户状态，客户状态机中无冻结态。</w:t>
            </w:r>
          </w:p>
        </w:tc>
      </w:tr>
      <w:tr>
        <w:tc>
          <w:tcPr>
            <w:tcW w:type="dxa" w:w="1474"/>
          </w:tcPr>
          <w:p>
            <w:pPr>
              <w:spacing w:before="20" w:after="20" w:line="276" w:lineRule="auto"/>
              <w:ind w:firstLine="0"/>
            </w:pPr>
            <w:r/>
            <w:r>
              <w:rPr>
                <w:rFonts w:ascii="Times New Roman" w:hAnsi="Times New Roman" w:eastAsia="宋体"/>
                <w:b w:val="0"/>
                <w:i w:val="0"/>
                <w:sz w:val="21"/>
              </w:rPr>
              <w:t>股权关系穿透</w:t>
            </w:r>
          </w:p>
        </w:tc>
        <w:tc>
          <w:tcPr>
            <w:tcW w:type="dxa" w:w="3175"/>
          </w:tcPr>
          <w:p>
            <w:pPr>
              <w:spacing w:before="20" w:after="20" w:line="276" w:lineRule="auto"/>
              <w:ind w:firstLine="0"/>
            </w:pPr>
            <w:r/>
            <w:r>
              <w:rPr>
                <w:rFonts w:ascii="Times New Roman" w:hAnsi="Times New Roman" w:eastAsia="宋体"/>
                <w:b w:val="0"/>
                <w:i w:val="0"/>
                <w:sz w:val="21"/>
              </w:rPr>
              <w:t>客户详情页股权关系 Tab 展示疑似实控人的股权链路径与股东信息，支持穿透查看。</w:t>
            </w:r>
          </w:p>
        </w:tc>
        <w:tc>
          <w:tcPr>
            <w:tcW w:type="dxa" w:w="4422"/>
          </w:tcPr>
          <w:p>
            <w:pPr>
              <w:spacing w:before="20" w:after="20" w:line="276" w:lineRule="auto"/>
              <w:ind w:firstLine="0"/>
            </w:pPr>
            <w:r/>
            <w:r>
              <w:rPr>
                <w:rFonts w:ascii="Times New Roman" w:hAnsi="Times New Roman" w:eastAsia="宋体"/>
                <w:b w:val="0"/>
                <w:i w:val="0"/>
                <w:sz w:val="21"/>
              </w:rPr>
              <w:t>股权链以汇总行加树状路径展示路径与持股比例，股东信息按工商登记口径列示；原有的股权、对外投资、疑似实控人、实控控股 4 个维度不再单列 Tab，其余维度并入风险扫描结果与贸易风控合规报告体现。</w:t>
            </w:r>
          </w:p>
        </w:tc>
      </w:tr>
      <w:tr>
        <w:tc>
          <w:tcPr>
            <w:tcW w:type="dxa" w:w="1474"/>
          </w:tcPr>
          <w:p>
            <w:pPr>
              <w:spacing w:before="20" w:after="20" w:line="276" w:lineRule="auto"/>
              <w:ind w:firstLine="0"/>
            </w:pPr>
            <w:r/>
            <w:r>
              <w:rPr>
                <w:rFonts w:ascii="Times New Roman" w:hAnsi="Times New Roman" w:eastAsia="宋体"/>
                <w:b w:val="0"/>
                <w:i w:val="0"/>
                <w:sz w:val="21"/>
              </w:rPr>
              <w:t>客户档案审核与状态流转</w:t>
            </w:r>
          </w:p>
        </w:tc>
        <w:tc>
          <w:tcPr>
            <w:tcW w:type="dxa" w:w="3175"/>
          </w:tcPr>
          <w:p>
            <w:pPr>
              <w:spacing w:before="20" w:after="20" w:line="276" w:lineRule="auto"/>
              <w:ind w:firstLine="0"/>
            </w:pPr>
            <w:r/>
            <w:r>
              <w:rPr>
                <w:rFonts w:ascii="Times New Roman" w:hAnsi="Times New Roman" w:eastAsia="宋体"/>
                <w:b w:val="0"/>
                <w:i w:val="0"/>
                <w:sz w:val="21"/>
              </w:rPr>
              <w:t>客户档案提交后进入审核环节，审核通过进入执行中并可被下游单据关联，业务周期结束后发起完结。</w:t>
            </w:r>
          </w:p>
        </w:tc>
        <w:tc>
          <w:tcPr>
            <w:tcW w:type="dxa" w:w="4422"/>
          </w:tcPr>
          <w:p>
            <w:pPr>
              <w:spacing w:before="20" w:after="20" w:line="276" w:lineRule="auto"/>
              <w:ind w:firstLine="0"/>
            </w:pPr>
            <w:r/>
            <w:r>
              <w:rPr>
                <w:rFonts w:ascii="Times New Roman" w:hAnsi="Times New Roman" w:eastAsia="宋体"/>
                <w:b w:val="0"/>
                <w:i w:val="0"/>
                <w:sz w:val="21"/>
              </w:rPr>
              <w:t>提交审核后状态由待提交变为审核中，审核通过后直接进入执行中，审核驳回后状态为驳回并可修改后重新提交，状态为待提交时可作废且作废为不可恢复终态；状态为执行中的客户才允许被合同、收发货、付款、回款、发票关联。</w:t>
            </w:r>
          </w:p>
        </w:tc>
      </w:tr>
      <w:tr>
        <w:tc>
          <w:tcPr>
            <w:tcW w:type="dxa" w:w="1474"/>
          </w:tcPr>
          <w:p>
            <w:pPr>
              <w:spacing w:before="20" w:after="20" w:line="276" w:lineRule="auto"/>
              <w:ind w:firstLine="0"/>
            </w:pPr>
            <w:r/>
            <w:r>
              <w:rPr>
                <w:rFonts w:ascii="Times New Roman" w:hAnsi="Times New Roman" w:eastAsia="宋体"/>
                <w:b w:val="0"/>
                <w:i w:val="0"/>
                <w:sz w:val="21"/>
              </w:rPr>
              <w:t>客户变更留痕</w:t>
            </w:r>
          </w:p>
        </w:tc>
        <w:tc>
          <w:tcPr>
            <w:tcW w:type="dxa" w:w="3175"/>
          </w:tcPr>
          <w:p>
            <w:pPr>
              <w:spacing w:before="20" w:after="20" w:line="276" w:lineRule="auto"/>
              <w:ind w:firstLine="0"/>
            </w:pPr>
            <w:r/>
            <w:r>
              <w:rPr>
                <w:rFonts w:ascii="Times New Roman" w:hAnsi="Times New Roman" w:eastAsia="宋体"/>
                <w:b w:val="0"/>
                <w:i w:val="0"/>
                <w:sz w:val="21"/>
              </w:rPr>
              <w:t>客户台账的分类、状态、黑名单、风险等级变更统一记录变更日志，可在详情页查看变更历史。</w:t>
            </w:r>
          </w:p>
        </w:tc>
        <w:tc>
          <w:tcPr>
            <w:tcW w:type="dxa" w:w="4422"/>
          </w:tcPr>
          <w:p>
            <w:pPr>
              <w:spacing w:before="20" w:after="20" w:line="276" w:lineRule="auto"/>
              <w:ind w:firstLine="0"/>
            </w:pPr>
            <w:r/>
            <w:r>
              <w:rPr>
                <w:rFonts w:ascii="Times New Roman" w:hAnsi="Times New Roman" w:eastAsia="宋体"/>
                <w:b w:val="0"/>
                <w:i w:val="0"/>
                <w:sz w:val="21"/>
              </w:rPr>
              <w:t>变更日志需记录变更前值、变更后值、变更原因、操作人与关联项目；修改客户分类会影响下游业务时先弹黄色警示「客户分类修改会影响下游业务，是否继续？」，确认后方可继续。</w:t>
            </w:r>
          </w:p>
        </w:tc>
      </w:tr>
      <w:tr>
        <w:tc>
          <w:tcPr>
            <w:tcW w:type="dxa" w:w="1474"/>
          </w:tcPr>
          <w:p>
            <w:pPr>
              <w:spacing w:before="20" w:after="20" w:line="276" w:lineRule="auto"/>
              <w:ind w:firstLine="0"/>
            </w:pPr>
            <w:r/>
            <w:r>
              <w:rPr>
                <w:rFonts w:ascii="Times New Roman" w:hAnsi="Times New Roman" w:eastAsia="宋体"/>
                <w:b w:val="0"/>
                <w:i w:val="0"/>
                <w:sz w:val="21"/>
              </w:rPr>
              <w:t>黑名单命中提示</w:t>
            </w:r>
          </w:p>
        </w:tc>
        <w:tc>
          <w:tcPr>
            <w:tcW w:type="dxa" w:w="3175"/>
          </w:tcPr>
          <w:p>
            <w:pPr>
              <w:spacing w:before="20" w:after="20" w:line="276" w:lineRule="auto"/>
              <w:ind w:firstLine="0"/>
            </w:pPr>
            <w:r/>
            <w:r>
              <w:rPr>
                <w:rFonts w:ascii="Times New Roman" w:hAnsi="Times New Roman" w:eastAsia="宋体"/>
                <w:b w:val="0"/>
                <w:i w:val="0"/>
                <w:sz w:val="21"/>
              </w:rPr>
              <w:t>客户档案展示黑名单命中结果，作为风险信息提示给业务与风控人员。</w:t>
            </w:r>
          </w:p>
        </w:tc>
        <w:tc>
          <w:tcPr>
            <w:tcW w:type="dxa" w:w="4422"/>
          </w:tcPr>
          <w:p>
            <w:pPr>
              <w:spacing w:before="20" w:after="20" w:line="276" w:lineRule="auto"/>
              <w:ind w:firstLine="0"/>
            </w:pPr>
            <w:r/>
            <w:r>
              <w:rPr>
                <w:rFonts w:ascii="Times New Roman" w:hAnsi="Times New Roman" w:eastAsia="宋体"/>
                <w:b w:val="0"/>
                <w:i w:val="0"/>
                <w:sz w:val="21"/>
              </w:rPr>
              <w:t>命中黑名单时提示「客户 XXX 命中黑名单（合作黑名单）」，仅提示风险，不阻断合同、付款、收发货等关联业务；黑名单数据源为平台内部自建的黑灰名单与假国企央企库。</w:t>
            </w:r>
          </w:p>
        </w:tc>
      </w:tr>
    </w:tbl>
    <w:p>
      <w:pPr>
        <w:spacing w:before="0" w:after="0" w:line="240" w:lineRule="auto"/>
      </w:pP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tblGrid>
      <w:tr>
        <w:trPr>
          <w:tblHeader w:val="true"/>
        </w:trPr>
        <w:tc>
          <w:tcPr>
            <w:tcW w:type="dxa" w:w="1247"/>
            <w:shd w:val="clear" w:color="auto" w:fill="DCE6F1"/>
          </w:tcPr>
          <w:p>
            <w:pPr>
              <w:spacing w:before="40" w:after="40" w:line="276" w:lineRule="auto"/>
              <w:jc w:val="center"/>
            </w:pPr>
            <w:r/>
            <w:r>
              <w:rPr>
                <w:rFonts w:ascii="Times New Roman" w:hAnsi="Times New Roman" w:eastAsia="黑体"/>
                <w:b/>
                <w:i w:val="0"/>
                <w:sz w:val="19"/>
              </w:rPr>
              <w:t>页面</w:t>
            </w:r>
          </w:p>
        </w:tc>
        <w:tc>
          <w:tcPr>
            <w:tcW w:type="dxa" w:w="1474"/>
            <w:shd w:val="clear" w:color="auto" w:fill="DCE6F1"/>
          </w:tcPr>
          <w:p>
            <w:pPr>
              <w:spacing w:before="40" w:after="40" w:line="276" w:lineRule="auto"/>
              <w:jc w:val="center"/>
            </w:pPr>
            <w:r/>
            <w:r>
              <w:rPr>
                <w:rFonts w:ascii="Times New Roman" w:hAnsi="Times New Roman" w:eastAsia="黑体"/>
                <w:b/>
                <w:i w:val="0"/>
                <w:sz w:val="19"/>
              </w:rPr>
              <w:t>文件</w:t>
            </w:r>
          </w:p>
        </w:tc>
        <w:tc>
          <w:tcPr>
            <w:tcW w:type="dxa" w:w="1134"/>
            <w:shd w:val="clear" w:color="auto" w:fill="DCE6F1"/>
          </w:tcPr>
          <w:p>
            <w:pPr>
              <w:spacing w:before="40" w:after="40" w:line="276" w:lineRule="auto"/>
              <w:jc w:val="center"/>
            </w:pPr>
            <w:r/>
            <w:r>
              <w:rPr>
                <w:rFonts w:ascii="Times New Roman" w:hAnsi="Times New Roman" w:eastAsia="黑体"/>
                <w:b/>
                <w:i w:val="0"/>
                <w:sz w:val="19"/>
              </w:rPr>
              <w:t>入口</w:t>
            </w:r>
          </w:p>
        </w:tc>
        <w:tc>
          <w:tcPr>
            <w:tcW w:type="dxa" w:w="2041"/>
            <w:shd w:val="clear" w:color="auto" w:fill="DCE6F1"/>
          </w:tcPr>
          <w:p>
            <w:pPr>
              <w:spacing w:before="40" w:after="40" w:line="276" w:lineRule="auto"/>
              <w:jc w:val="center"/>
            </w:pPr>
            <w:r/>
            <w:r>
              <w:rPr>
                <w:rFonts w:ascii="Times New Roman" w:hAnsi="Times New Roman" w:eastAsia="黑体"/>
                <w:b/>
                <w:i w:val="0"/>
                <w:sz w:val="19"/>
              </w:rPr>
              <w:t>主要区块</w:t>
            </w:r>
          </w:p>
        </w:tc>
        <w:tc>
          <w:tcPr>
            <w:tcW w:type="dxa" w:w="1701"/>
            <w:shd w:val="clear" w:color="auto" w:fill="DCE6F1"/>
          </w:tcPr>
          <w:p>
            <w:pPr>
              <w:spacing w:before="40" w:after="40" w:line="276" w:lineRule="auto"/>
              <w:jc w:val="center"/>
            </w:pPr>
            <w:r/>
            <w:r>
              <w:rPr>
                <w:rFonts w:ascii="Times New Roman" w:hAnsi="Times New Roman" w:eastAsia="黑体"/>
                <w:b/>
                <w:i w:val="0"/>
                <w:sz w:val="19"/>
              </w:rPr>
              <w:t>主要操作</w:t>
            </w:r>
          </w:p>
        </w:tc>
        <w:tc>
          <w:tcPr>
            <w:tcW w:type="dxa" w:w="1474"/>
            <w:shd w:val="clear" w:color="auto" w:fill="DCE6F1"/>
          </w:tcPr>
          <w:p>
            <w:pPr>
              <w:spacing w:before="40" w:after="40" w:line="276" w:lineRule="auto"/>
              <w:jc w:val="center"/>
            </w:pPr>
            <w:r/>
            <w:r>
              <w:rPr>
                <w:rFonts w:ascii="Times New Roman" w:hAnsi="Times New Roman" w:eastAsia="黑体"/>
                <w:b/>
                <w:i w:val="0"/>
                <w:sz w:val="19"/>
              </w:rPr>
              <w:t>跳转</w:t>
            </w:r>
          </w:p>
        </w:tc>
      </w:tr>
      <w:tr>
        <w:tc>
          <w:tcPr>
            <w:tcW w:type="dxa" w:w="1247"/>
          </w:tcPr>
          <w:p>
            <w:pPr>
              <w:spacing w:before="20" w:after="20" w:line="276" w:lineRule="auto"/>
              <w:ind w:firstLine="0"/>
            </w:pPr>
            <w:r/>
            <w:r>
              <w:rPr>
                <w:rFonts w:ascii="Times New Roman" w:hAnsi="Times New Roman" w:eastAsia="宋体"/>
                <w:b w:val="0"/>
                <w:i w:val="0"/>
                <w:sz w:val="19"/>
              </w:rPr>
              <w:t>客户列表页</w:t>
            </w:r>
          </w:p>
        </w:tc>
        <w:tc>
          <w:tcPr>
            <w:tcW w:type="dxa" w:w="1474"/>
          </w:tcPr>
          <w:p>
            <w:pPr>
              <w:spacing w:before="20" w:after="20" w:line="276" w:lineRule="auto"/>
              <w:ind w:firstLine="0"/>
            </w:pPr>
            <w:r/>
            <w:r>
              <w:rPr>
                <w:rFonts w:ascii="Times New Roman" w:hAnsi="Times New Roman" w:eastAsia="宋体"/>
                <w:b w:val="0"/>
                <w:i w:val="0"/>
                <w:sz w:val="19"/>
              </w:rPr>
              <w:t>customer-list.html</w:t>
            </w:r>
          </w:p>
        </w:tc>
        <w:tc>
          <w:tcPr>
            <w:tcW w:type="dxa" w:w="1134"/>
          </w:tcPr>
          <w:p>
            <w:pPr>
              <w:spacing w:before="20" w:after="20" w:line="276" w:lineRule="auto"/>
              <w:ind w:firstLine="0"/>
            </w:pPr>
            <w:r/>
            <w:r>
              <w:rPr>
                <w:rFonts w:ascii="Times New Roman" w:hAnsi="Times New Roman" w:eastAsia="宋体"/>
                <w:b w:val="0"/>
                <w:i w:val="0"/>
                <w:sz w:val="19"/>
              </w:rPr>
              <w:t>准入管理 → 客户准入</w:t>
            </w:r>
          </w:p>
        </w:tc>
        <w:tc>
          <w:tcPr>
            <w:tcW w:type="dxa" w:w="2041"/>
          </w:tcPr>
          <w:p>
            <w:pPr>
              <w:spacing w:before="20" w:after="20" w:line="276" w:lineRule="auto"/>
              <w:ind w:firstLine="0"/>
            </w:pPr>
            <w:r/>
            <w:r>
              <w:rPr>
                <w:rFonts w:ascii="Times New Roman" w:hAnsi="Times New Roman" w:eastAsia="宋体"/>
                <w:b w:val="0"/>
                <w:i w:val="0"/>
                <w:sz w:val="19"/>
              </w:rPr>
              <w:t>标题区与「新增客户」主操作、筛选区（项目名称、企业类别、企业名称、企业简称、法定代表人、所属区域、联系人姓名、联系人电话）、7 个状态 Tab、数据表格（客户类型、企业名称、关联项目名称、统一社会信用代码、企业简称、法定代表人、注册资本、所属地区、负责人姓名、负责人电话、联系人姓名、联系人电话、流程状态、操作）、分页</w:t>
            </w:r>
          </w:p>
        </w:tc>
        <w:tc>
          <w:tcPr>
            <w:tcW w:type="dxa" w:w="1701"/>
          </w:tcPr>
          <w:p>
            <w:pPr>
              <w:spacing w:before="20" w:after="20" w:line="276" w:lineRule="auto"/>
              <w:ind w:firstLine="0"/>
            </w:pPr>
            <w:r/>
            <w:r>
              <w:rPr>
                <w:rFonts w:ascii="Times New Roman" w:hAnsi="Times New Roman" w:eastAsia="宋体"/>
                <w:b w:val="0"/>
                <w:i w:val="0"/>
                <w:sz w:val="19"/>
              </w:rPr>
              <w:t>新增客户、查看、编辑、审核、作废、导出、清除全部</w:t>
            </w:r>
          </w:p>
        </w:tc>
        <w:tc>
          <w:tcPr>
            <w:tcW w:type="dxa" w:w="1474"/>
          </w:tcPr>
          <w:p>
            <w:pPr>
              <w:spacing w:before="20" w:after="20" w:line="276" w:lineRule="auto"/>
              <w:ind w:firstLine="0"/>
            </w:pPr>
            <w:r/>
            <w:r>
              <w:rPr>
                <w:rFonts w:ascii="Times New Roman" w:hAnsi="Times New Roman" w:eastAsia="宋体"/>
                <w:b w:val="0"/>
                <w:i w:val="0"/>
                <w:sz w:val="19"/>
              </w:rPr>
              <w:t>新增客户跳 customer-apply.html；查看、编辑跳 customer-detail.html</w:t>
            </w:r>
          </w:p>
        </w:tc>
      </w:tr>
      <w:tr>
        <w:tc>
          <w:tcPr>
            <w:tcW w:type="dxa" w:w="1247"/>
          </w:tcPr>
          <w:p>
            <w:pPr>
              <w:spacing w:before="20" w:after="20" w:line="276" w:lineRule="auto"/>
              <w:ind w:firstLine="0"/>
            </w:pPr>
            <w:r/>
            <w:r>
              <w:rPr>
                <w:rFonts w:ascii="Times New Roman" w:hAnsi="Times New Roman" w:eastAsia="宋体"/>
                <w:b w:val="0"/>
                <w:i w:val="0"/>
                <w:sz w:val="19"/>
              </w:rPr>
              <w:t>客户准入申请页</w:t>
            </w:r>
          </w:p>
        </w:tc>
        <w:tc>
          <w:tcPr>
            <w:tcW w:type="dxa" w:w="1474"/>
          </w:tcPr>
          <w:p>
            <w:pPr>
              <w:spacing w:before="20" w:after="20" w:line="276" w:lineRule="auto"/>
              <w:ind w:firstLine="0"/>
            </w:pPr>
            <w:r/>
            <w:r>
              <w:rPr>
                <w:rFonts w:ascii="Times New Roman" w:hAnsi="Times New Roman" w:eastAsia="宋体"/>
                <w:b w:val="0"/>
                <w:i w:val="0"/>
                <w:sz w:val="19"/>
              </w:rPr>
              <w:t>customer-apply.html</w:t>
            </w:r>
          </w:p>
        </w:tc>
        <w:tc>
          <w:tcPr>
            <w:tcW w:type="dxa" w:w="1134"/>
          </w:tcPr>
          <w:p>
            <w:pPr>
              <w:spacing w:before="20" w:after="20" w:line="276" w:lineRule="auto"/>
              <w:ind w:firstLine="0"/>
            </w:pPr>
            <w:r/>
            <w:r>
              <w:rPr>
                <w:rFonts w:ascii="Times New Roman" w:hAnsi="Times New Roman" w:eastAsia="宋体"/>
                <w:b w:val="0"/>
                <w:i w:val="0"/>
                <w:sz w:val="19"/>
              </w:rPr>
              <w:t>客户列表页 → 新增客户</w:t>
            </w:r>
          </w:p>
        </w:tc>
        <w:tc>
          <w:tcPr>
            <w:tcW w:type="dxa" w:w="2041"/>
          </w:tcPr>
          <w:p>
            <w:pPr>
              <w:spacing w:before="20" w:after="20" w:line="276" w:lineRule="auto"/>
              <w:ind w:firstLine="0"/>
            </w:pPr>
            <w:r/>
            <w:r>
              <w:rPr>
                <w:rFonts w:ascii="Times New Roman" w:hAnsi="Times New Roman" w:eastAsia="宋体"/>
                <w:b w:val="0"/>
                <w:i w:val="0"/>
                <w:sz w:val="19"/>
              </w:rPr>
              <w:t>4 步骤条（客户信息录入、企业尽调报告、提交审批、准入完成）、客户信息录入表单、关联项目折叠面板、审批进度时间线与实时活动、完成态提示</w:t>
            </w:r>
          </w:p>
        </w:tc>
        <w:tc>
          <w:tcPr>
            <w:tcW w:type="dxa" w:w="1701"/>
          </w:tcPr>
          <w:p>
            <w:pPr>
              <w:spacing w:before="20" w:after="20" w:line="276" w:lineRule="auto"/>
              <w:ind w:firstLine="0"/>
            </w:pPr>
            <w:r/>
            <w:r>
              <w:rPr>
                <w:rFonts w:ascii="Times New Roman" w:hAnsi="Times New Roman" w:eastAsia="宋体"/>
                <w:b w:val="0"/>
                <w:i w:val="0"/>
                <w:sz w:val="19"/>
              </w:rPr>
              <w:t>上一步、下一步、保存草稿、提交审批、返回客户列表</w:t>
            </w:r>
          </w:p>
        </w:tc>
        <w:tc>
          <w:tcPr>
            <w:tcW w:type="dxa" w:w="1474"/>
          </w:tcPr>
          <w:p>
            <w:pPr>
              <w:spacing w:before="20" w:after="20" w:line="276" w:lineRule="auto"/>
              <w:ind w:firstLine="0"/>
            </w:pPr>
            <w:r/>
            <w:r>
              <w:rPr>
                <w:rFonts w:ascii="Times New Roman" w:hAnsi="Times New Roman" w:eastAsia="宋体"/>
                <w:b w:val="0"/>
                <w:i w:val="0"/>
                <w:sz w:val="19"/>
              </w:rPr>
              <w:t>准入完成步骤的「返回客户列表」跳 customer-list.html</w:t>
            </w:r>
          </w:p>
        </w:tc>
      </w:tr>
      <w:tr>
        <w:tc>
          <w:tcPr>
            <w:tcW w:type="dxa" w:w="1247"/>
          </w:tcPr>
          <w:p>
            <w:pPr>
              <w:spacing w:before="20" w:after="20" w:line="276" w:lineRule="auto"/>
              <w:ind w:firstLine="0"/>
            </w:pPr>
            <w:r/>
            <w:r>
              <w:rPr>
                <w:rFonts w:ascii="Times New Roman" w:hAnsi="Times New Roman" w:eastAsia="宋体"/>
                <w:b w:val="0"/>
                <w:i w:val="0"/>
                <w:sz w:val="19"/>
              </w:rPr>
              <w:t>客户详情页</w:t>
            </w:r>
          </w:p>
        </w:tc>
        <w:tc>
          <w:tcPr>
            <w:tcW w:type="dxa" w:w="1474"/>
          </w:tcPr>
          <w:p>
            <w:pPr>
              <w:spacing w:before="20" w:after="20" w:line="276" w:lineRule="auto"/>
              <w:ind w:firstLine="0"/>
            </w:pPr>
            <w:r/>
            <w:r>
              <w:rPr>
                <w:rFonts w:ascii="Times New Roman" w:hAnsi="Times New Roman" w:eastAsia="宋体"/>
                <w:b w:val="0"/>
                <w:i w:val="0"/>
                <w:sz w:val="19"/>
              </w:rPr>
              <w:t>customer-detail.html</w:t>
            </w:r>
          </w:p>
        </w:tc>
        <w:tc>
          <w:tcPr>
            <w:tcW w:type="dxa" w:w="1134"/>
          </w:tcPr>
          <w:p>
            <w:pPr>
              <w:spacing w:before="20" w:after="20" w:line="276" w:lineRule="auto"/>
              <w:ind w:firstLine="0"/>
            </w:pPr>
            <w:r/>
            <w:r>
              <w:rPr>
                <w:rFonts w:ascii="Times New Roman" w:hAnsi="Times New Roman" w:eastAsia="宋体"/>
                <w:b w:val="0"/>
                <w:i w:val="0"/>
                <w:sz w:val="19"/>
              </w:rPr>
              <w:t>客户列表页 → 查看 / 编辑</w:t>
            </w:r>
          </w:p>
        </w:tc>
        <w:tc>
          <w:tcPr>
            <w:tcW w:type="dxa" w:w="2041"/>
          </w:tcPr>
          <w:p>
            <w:pPr>
              <w:spacing w:before="20" w:after="20" w:line="276" w:lineRule="auto"/>
              <w:ind w:firstLine="0"/>
            </w:pPr>
            <w:r/>
            <w:r>
              <w:rPr>
                <w:rFonts w:ascii="Times New Roman" w:hAnsi="Times New Roman" w:eastAsia="宋体"/>
                <w:b w:val="0"/>
                <w:i w:val="0"/>
                <w:sz w:val="19"/>
              </w:rPr>
              <w:t>顶部企业 metadata、Tab 区（企业信息、风险扫描结果、股权关系、客户准入材料、审批准入、关联项目）、风险扫描卡片组、疑似实控人股权链、股东信息表、纳税信息表、附件区、固定底栏</w:t>
            </w:r>
          </w:p>
        </w:tc>
        <w:tc>
          <w:tcPr>
            <w:tcW w:type="dxa" w:w="1701"/>
          </w:tcPr>
          <w:p>
            <w:pPr>
              <w:spacing w:before="20" w:after="20" w:line="276" w:lineRule="auto"/>
              <w:ind w:firstLine="0"/>
            </w:pPr>
            <w:r/>
            <w:r>
              <w:rPr>
                <w:rFonts w:ascii="Times New Roman" w:hAnsi="Times New Roman" w:eastAsia="宋体"/>
                <w:b w:val="0"/>
                <w:i w:val="0"/>
                <w:sz w:val="19"/>
              </w:rPr>
              <w:t>跳关联项目、跳关联合同、跳风险报告、下载附件、变更历史、审批通过、驳回审批</w:t>
            </w:r>
          </w:p>
        </w:tc>
        <w:tc>
          <w:tcPr>
            <w:tcW w:type="dxa" w:w="1474"/>
          </w:tcPr>
          <w:p>
            <w:pPr>
              <w:spacing w:before="20" w:after="20" w:line="276" w:lineRule="auto"/>
              <w:ind w:firstLine="0"/>
            </w:pPr>
            <w:r/>
            <w:r>
              <w:rPr>
                <w:rFonts w:ascii="Times New Roman" w:hAnsi="Times New Roman" w:eastAsia="宋体"/>
                <w:b w:val="0"/>
                <w:i w:val="0"/>
                <w:sz w:val="19"/>
              </w:rPr>
              <w:t>跳关联项目跳项目详情页；跳关联合同跳合同列表；变更历史弹客户变更日志</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4.2.5　数据关系</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474"/>
            <w:shd w:val="clear" w:color="auto" w:fill="DCE6F1"/>
          </w:tcPr>
          <w:p>
            <w:pPr>
              <w:spacing w:before="40" w:after="40" w:line="276" w:lineRule="auto"/>
              <w:jc w:val="center"/>
            </w:pPr>
            <w:r/>
            <w:r>
              <w:rPr>
                <w:rFonts w:ascii="Times New Roman" w:hAnsi="Times New Roman" w:eastAsia="黑体"/>
                <w:b/>
                <w:i w:val="0"/>
                <w:sz w:val="21"/>
              </w:rPr>
              <w:t>业务对象</w:t>
            </w:r>
          </w:p>
        </w:tc>
        <w:tc>
          <w:tcPr>
            <w:tcW w:type="dxa" w:w="4195"/>
            <w:shd w:val="clear" w:color="auto" w:fill="DCE6F1"/>
          </w:tcPr>
          <w:p>
            <w:pPr>
              <w:spacing w:before="40" w:after="40" w:line="276" w:lineRule="auto"/>
              <w:jc w:val="center"/>
            </w:pPr>
            <w:r/>
            <w:r>
              <w:rPr>
                <w:rFonts w:ascii="Times New Roman" w:hAnsi="Times New Roman" w:eastAsia="黑体"/>
                <w:b/>
                <w:i w:val="0"/>
                <w:sz w:val="21"/>
              </w:rPr>
              <w:t>关键字段与口径</w:t>
            </w:r>
          </w:p>
        </w:tc>
        <w:tc>
          <w:tcPr>
            <w:tcW w:type="dxa" w:w="3402"/>
            <w:shd w:val="clear" w:color="auto" w:fill="DCE6F1"/>
          </w:tcPr>
          <w:p>
            <w:pPr>
              <w:spacing w:before="40" w:after="40" w:line="276" w:lineRule="auto"/>
              <w:jc w:val="center"/>
            </w:pPr>
            <w:r/>
            <w:r>
              <w:rPr>
                <w:rFonts w:ascii="Times New Roman" w:hAnsi="Times New Roman" w:eastAsia="黑体"/>
                <w:b/>
                <w:i w:val="0"/>
                <w:sz w:val="21"/>
              </w:rPr>
              <w:t>与其他对象的关系</w:t>
            </w:r>
          </w:p>
        </w:tc>
      </w:tr>
      <w:tr>
        <w:tc>
          <w:tcPr>
            <w:tcW w:type="dxa" w:w="1474"/>
          </w:tcPr>
          <w:p>
            <w:pPr>
              <w:spacing w:before="20" w:after="20" w:line="276" w:lineRule="auto"/>
              <w:ind w:firstLine="0"/>
            </w:pPr>
            <w:r/>
            <w:r>
              <w:rPr>
                <w:rFonts w:ascii="Times New Roman" w:hAnsi="Times New Roman" w:eastAsia="宋体"/>
                <w:b w:val="0"/>
                <w:i w:val="0"/>
                <w:sz w:val="21"/>
              </w:rPr>
              <w:t>客户档案</w:t>
            </w:r>
          </w:p>
        </w:tc>
        <w:tc>
          <w:tcPr>
            <w:tcW w:type="dxa" w:w="4195"/>
          </w:tcPr>
          <w:p>
            <w:pPr>
              <w:spacing w:before="20" w:after="20" w:line="276" w:lineRule="auto"/>
              <w:ind w:firstLine="0"/>
            </w:pPr>
            <w:r/>
            <w:r>
              <w:rPr>
                <w:rFonts w:ascii="Times New Roman" w:hAnsi="Times New Roman" w:eastAsia="宋体"/>
                <w:b w:val="0"/>
                <w:i w:val="0"/>
                <w:sz w:val="21"/>
              </w:rPr>
              <w:t>企业名称：与营业执照一致，不可修改</w:t>
            </w:r>
            <w:r>
              <w:br/>
            </w:r>
            <w:r>
              <w:rPr>
                <w:rFonts w:ascii="Times New Roman" w:hAnsi="Times New Roman" w:eastAsia="宋体"/>
                <w:b w:val="0"/>
                <w:i w:val="0"/>
                <w:sz w:val="21"/>
              </w:rPr>
              <w:t>统一社会信用代码：全平台唯一，由企业名称经外部企业信息服务自动返回</w:t>
            </w:r>
            <w:r>
              <w:br/>
            </w:r>
            <w:r>
              <w:rPr>
                <w:rFonts w:ascii="Times New Roman" w:hAnsi="Times New Roman" w:eastAsia="宋体"/>
                <w:b w:val="0"/>
                <w:i w:val="0"/>
                <w:sz w:val="21"/>
              </w:rPr>
              <w:t>客户类别：上游供应商、下游客户、第三方物流企业、第三方仓储企业</w:t>
            </w:r>
            <w:r>
              <w:br/>
            </w:r>
            <w:r>
              <w:rPr>
                <w:rFonts w:ascii="Times New Roman" w:hAnsi="Times New Roman" w:eastAsia="宋体"/>
                <w:b w:val="0"/>
                <w:i w:val="0"/>
                <w:sz w:val="21"/>
              </w:rPr>
              <w:t>所属区域：境内、境外、港澳台</w:t>
            </w:r>
            <w:r>
              <w:br/>
            </w:r>
            <w:r>
              <w:rPr>
                <w:rFonts w:ascii="Times New Roman" w:hAnsi="Times New Roman" w:eastAsia="宋体"/>
                <w:b w:val="0"/>
                <w:i w:val="0"/>
                <w:sz w:val="21"/>
              </w:rPr>
              <w:t>企业简称：最多 20 字符，可修改</w:t>
            </w:r>
            <w:r>
              <w:br/>
            </w:r>
            <w:r>
              <w:rPr>
                <w:rFonts w:ascii="Times New Roman" w:hAnsi="Times New Roman" w:eastAsia="宋体"/>
                <w:b w:val="0"/>
                <w:i w:val="0"/>
                <w:sz w:val="21"/>
              </w:rPr>
              <w:t>风险等级：低风险、中风险、高风险</w:t>
            </w:r>
            <w:r>
              <w:br/>
            </w:r>
            <w:r>
              <w:rPr>
                <w:rFonts w:ascii="Times New Roman" w:hAnsi="Times New Roman" w:eastAsia="宋体"/>
                <w:b w:val="0"/>
                <w:i w:val="0"/>
                <w:sz w:val="21"/>
              </w:rPr>
              <w:t>流程状态：待提交、审核中、执行中、已完结、驳回、已作废</w:t>
            </w:r>
            <w:r>
              <w:br/>
            </w:r>
            <w:r>
              <w:rPr>
                <w:rFonts w:ascii="Times New Roman" w:hAnsi="Times New Roman" w:eastAsia="宋体"/>
                <w:b w:val="0"/>
                <w:i w:val="0"/>
                <w:sz w:val="21"/>
              </w:rPr>
              <w:t>来源记录：来源项目与来源尽调报告，首次创建即写入</w:t>
            </w:r>
          </w:p>
        </w:tc>
        <w:tc>
          <w:tcPr>
            <w:tcW w:type="dxa" w:w="3402"/>
          </w:tcPr>
          <w:p>
            <w:pPr>
              <w:spacing w:before="20" w:after="20" w:line="276" w:lineRule="auto"/>
              <w:ind w:firstLine="0"/>
            </w:pPr>
            <w:r/>
            <w:r>
              <w:rPr>
                <w:rFonts w:ascii="Times New Roman" w:hAnsi="Times New Roman" w:eastAsia="宋体"/>
                <w:b w:val="0"/>
                <w:i w:val="0"/>
                <w:sz w:val="21"/>
              </w:rPr>
              <w:t>客户档案是项目立项的沉淀产物，被合同、收发货、付款、回款、发票等模块引用</w:t>
            </w:r>
          </w:p>
        </w:tc>
      </w:tr>
      <w:tr>
        <w:tc>
          <w:tcPr>
            <w:tcW w:type="dxa" w:w="1474"/>
          </w:tcPr>
          <w:p>
            <w:pPr>
              <w:spacing w:before="20" w:after="20" w:line="276" w:lineRule="auto"/>
              <w:ind w:firstLine="0"/>
            </w:pPr>
            <w:r/>
            <w:r>
              <w:rPr>
                <w:rFonts w:ascii="Times New Roman" w:hAnsi="Times New Roman" w:eastAsia="宋体"/>
                <w:b w:val="0"/>
                <w:i w:val="0"/>
                <w:sz w:val="21"/>
              </w:rPr>
              <w:t>客户类别与业务角色推导</w:t>
            </w:r>
          </w:p>
        </w:tc>
        <w:tc>
          <w:tcPr>
            <w:tcW w:type="dxa" w:w="4195"/>
          </w:tcPr>
          <w:p>
            <w:pPr>
              <w:spacing w:before="20" w:after="20" w:line="276" w:lineRule="auto"/>
              <w:ind w:firstLine="0"/>
            </w:pPr>
            <w:r/>
            <w:r>
              <w:rPr>
                <w:rFonts w:ascii="Times New Roman" w:hAnsi="Times New Roman" w:eastAsia="宋体"/>
                <w:b w:val="0"/>
                <w:i w:val="0"/>
                <w:sz w:val="21"/>
              </w:rPr>
              <w:t>上游供应商：可作为供应商</w:t>
            </w:r>
            <w:r>
              <w:br/>
            </w:r>
            <w:r>
              <w:rPr>
                <w:rFonts w:ascii="Times New Roman" w:hAnsi="Times New Roman" w:eastAsia="宋体"/>
                <w:b w:val="0"/>
                <w:i w:val="0"/>
                <w:sz w:val="21"/>
              </w:rPr>
              <w:t>下游客户：可作为采购方</w:t>
            </w:r>
            <w:r>
              <w:br/>
            </w:r>
            <w:r>
              <w:rPr>
                <w:rFonts w:ascii="Times New Roman" w:hAnsi="Times New Roman" w:eastAsia="宋体"/>
                <w:b w:val="0"/>
                <w:i w:val="0"/>
                <w:sz w:val="21"/>
              </w:rPr>
              <w:t>第三方物流企业：物流角色，不作供应商、采购方、仓储方</w:t>
            </w:r>
            <w:r>
              <w:br/>
            </w:r>
            <w:r>
              <w:rPr>
                <w:rFonts w:ascii="Times New Roman" w:hAnsi="Times New Roman" w:eastAsia="宋体"/>
                <w:b w:val="0"/>
                <w:i w:val="0"/>
                <w:sz w:val="21"/>
              </w:rPr>
              <w:t>第三方仓储企业：可作为仓储方</w:t>
            </w:r>
          </w:p>
        </w:tc>
        <w:tc>
          <w:tcPr>
            <w:tcW w:type="dxa" w:w="3402"/>
          </w:tcPr>
          <w:p>
            <w:pPr>
              <w:spacing w:before="20" w:after="20" w:line="276" w:lineRule="auto"/>
              <w:ind w:firstLine="0"/>
            </w:pPr>
            <w:r/>
            <w:r>
              <w:rPr>
                <w:rFonts w:ascii="Times New Roman" w:hAnsi="Times New Roman" w:eastAsia="宋体"/>
                <w:b w:val="0"/>
                <w:i w:val="0"/>
                <w:sz w:val="21"/>
              </w:rPr>
              <w:t>由客户类别自动推导三个角色标识，不手工设置，直接决定合同与付款的业务规则</w:t>
            </w:r>
          </w:p>
        </w:tc>
      </w:tr>
      <w:tr>
        <w:tc>
          <w:tcPr>
            <w:tcW w:type="dxa" w:w="1474"/>
          </w:tcPr>
          <w:p>
            <w:pPr>
              <w:spacing w:before="20" w:after="20" w:line="276" w:lineRule="auto"/>
              <w:ind w:firstLine="0"/>
            </w:pPr>
            <w:r/>
            <w:r>
              <w:rPr>
                <w:rFonts w:ascii="Times New Roman" w:hAnsi="Times New Roman" w:eastAsia="宋体"/>
                <w:b w:val="0"/>
                <w:i w:val="0"/>
                <w:sz w:val="21"/>
              </w:rPr>
              <w:t>客户风险扫描结果</w:t>
            </w:r>
          </w:p>
        </w:tc>
        <w:tc>
          <w:tcPr>
            <w:tcW w:type="dxa" w:w="4195"/>
          </w:tcPr>
          <w:p>
            <w:pPr>
              <w:spacing w:before="20" w:after="20" w:line="276" w:lineRule="auto"/>
              <w:ind w:firstLine="0"/>
            </w:pPr>
            <w:r/>
            <w:r>
              <w:rPr>
                <w:rFonts w:ascii="Times New Roman" w:hAnsi="Times New Roman" w:eastAsia="宋体"/>
                <w:b w:val="0"/>
                <w:i w:val="0"/>
                <w:sz w:val="21"/>
              </w:rPr>
              <w:t>风险分类：合作黑名单、假冒国企、失信被执行人、被执行人、限制消费令、终本案件、税收违法、行政工商违法处罚</w:t>
            </w:r>
            <w:r>
              <w:br/>
            </w:r>
            <w:r>
              <w:rPr>
                <w:rFonts w:ascii="Times New Roman" w:hAnsi="Times New Roman" w:eastAsia="宋体"/>
                <w:b w:val="0"/>
                <w:i w:val="0"/>
                <w:sz w:val="21"/>
              </w:rPr>
              <w:t>风险等级：低风险、中风险、高风险</w:t>
            </w:r>
            <w:r>
              <w:br/>
            </w:r>
            <w:r>
              <w:rPr>
                <w:rFonts w:ascii="Times New Roman" w:hAnsi="Times New Roman" w:eastAsia="宋体"/>
                <w:b w:val="0"/>
                <w:i w:val="0"/>
                <w:sz w:val="21"/>
              </w:rPr>
              <w:t>最近扫描时间：用于判断风险等级是否过期</w:t>
            </w:r>
          </w:p>
        </w:tc>
        <w:tc>
          <w:tcPr>
            <w:tcW w:type="dxa" w:w="3402"/>
          </w:tcPr>
          <w:p>
            <w:pPr>
              <w:spacing w:before="20" w:after="20" w:line="276" w:lineRule="auto"/>
              <w:ind w:firstLine="0"/>
            </w:pPr>
            <w:r/>
            <w:r>
              <w:rPr>
                <w:rFonts w:ascii="Times New Roman" w:hAnsi="Times New Roman" w:eastAsia="宋体"/>
                <w:b w:val="0"/>
                <w:i w:val="0"/>
                <w:sz w:val="21"/>
              </w:rPr>
              <w:t>黑灰名单与假国企央企数据来自平台内部自建，其余风险数据来自外部订阅服务</w:t>
            </w:r>
          </w:p>
        </w:tc>
      </w:tr>
      <w:tr>
        <w:tc>
          <w:tcPr>
            <w:tcW w:type="dxa" w:w="1474"/>
          </w:tcPr>
          <w:p>
            <w:pPr>
              <w:spacing w:before="20" w:after="20" w:line="276" w:lineRule="auto"/>
              <w:ind w:firstLine="0"/>
            </w:pPr>
            <w:r/>
            <w:r>
              <w:rPr>
                <w:rFonts w:ascii="Times New Roman" w:hAnsi="Times New Roman" w:eastAsia="宋体"/>
                <w:b w:val="0"/>
                <w:i w:val="0"/>
                <w:sz w:val="21"/>
              </w:rPr>
              <w:t>客户变更日志</w:t>
            </w:r>
          </w:p>
        </w:tc>
        <w:tc>
          <w:tcPr>
            <w:tcW w:type="dxa" w:w="4195"/>
          </w:tcPr>
          <w:p>
            <w:pPr>
              <w:spacing w:before="20" w:after="20" w:line="276" w:lineRule="auto"/>
              <w:ind w:firstLine="0"/>
            </w:pPr>
            <w:r/>
            <w:r>
              <w:rPr>
                <w:rFonts w:ascii="Times New Roman" w:hAnsi="Times New Roman" w:eastAsia="宋体"/>
                <w:b w:val="0"/>
                <w:i w:val="0"/>
                <w:sz w:val="21"/>
              </w:rPr>
              <w:t>变更类型：客户分类变更、状态变更、黑名单变更、风险更新</w:t>
            </w:r>
            <w:r>
              <w:br/>
            </w:r>
            <w:r>
              <w:rPr>
                <w:rFonts w:ascii="Times New Roman" w:hAnsi="Times New Roman" w:eastAsia="宋体"/>
                <w:b w:val="0"/>
                <w:i w:val="0"/>
                <w:sz w:val="21"/>
              </w:rPr>
              <w:t>记录内容：变更前值、变更后值、变更原因、操作人、关联项目</w:t>
            </w:r>
          </w:p>
        </w:tc>
        <w:tc>
          <w:tcPr>
            <w:tcW w:type="dxa" w:w="3402"/>
          </w:tcPr>
          <w:p>
            <w:pPr>
              <w:spacing w:before="20" w:after="20" w:line="276" w:lineRule="auto"/>
              <w:ind w:firstLine="0"/>
            </w:pPr>
            <w:r/>
            <w:r>
              <w:rPr>
                <w:rFonts w:ascii="Times New Roman" w:hAnsi="Times New Roman" w:eastAsia="宋体"/>
                <w:b w:val="0"/>
                <w:i w:val="0"/>
                <w:sz w:val="21"/>
              </w:rPr>
              <w:t>记录客户档案全生命周期内的 4 类变更，供详情页变更历史查看</w:t>
            </w:r>
          </w:p>
        </w:tc>
      </w:tr>
      <w:tr>
        <w:tc>
          <w:tcPr>
            <w:tcW w:type="dxa" w:w="1474"/>
          </w:tcPr>
          <w:p>
            <w:pPr>
              <w:spacing w:before="20" w:after="20" w:line="276" w:lineRule="auto"/>
              <w:ind w:firstLine="0"/>
            </w:pPr>
            <w:r/>
            <w:r>
              <w:rPr>
                <w:rFonts w:ascii="Times New Roman" w:hAnsi="Times New Roman" w:eastAsia="宋体"/>
                <w:b w:val="0"/>
                <w:i w:val="0"/>
                <w:sz w:val="21"/>
              </w:rPr>
              <w:t>客户准入材料</w:t>
            </w:r>
          </w:p>
        </w:tc>
        <w:tc>
          <w:tcPr>
            <w:tcW w:type="dxa" w:w="4195"/>
          </w:tcPr>
          <w:p>
            <w:pPr>
              <w:spacing w:before="20" w:after="20" w:line="276" w:lineRule="auto"/>
              <w:ind w:firstLine="0"/>
            </w:pPr>
            <w:r/>
            <w:r>
              <w:rPr>
                <w:rFonts w:ascii="Times New Roman" w:hAnsi="Times New Roman" w:eastAsia="宋体"/>
                <w:b w:val="0"/>
                <w:i w:val="0"/>
                <w:sz w:val="21"/>
              </w:rPr>
              <w:t>必填材料 6 类</w:t>
            </w:r>
            <w:r>
              <w:br/>
            </w:r>
            <w:r>
              <w:rPr>
                <w:rFonts w:ascii="Times New Roman" w:hAnsi="Times New Roman" w:eastAsia="宋体"/>
                <w:b w:val="0"/>
                <w:i w:val="0"/>
                <w:sz w:val="21"/>
              </w:rPr>
              <w:t>非必填材料 7 类</w:t>
            </w:r>
            <w:r>
              <w:br/>
            </w:r>
            <w:r>
              <w:rPr>
                <w:rFonts w:ascii="Times New Roman" w:hAnsi="Times New Roman" w:eastAsia="宋体"/>
                <w:b w:val="0"/>
                <w:i w:val="0"/>
                <w:sz w:val="21"/>
              </w:rPr>
              <w:t>单个附件大小：不超过 100MB</w:t>
            </w:r>
          </w:p>
        </w:tc>
        <w:tc>
          <w:tcPr>
            <w:tcW w:type="dxa" w:w="3402"/>
          </w:tcPr>
          <w:p>
            <w:pPr>
              <w:spacing w:before="20" w:after="20" w:line="276" w:lineRule="auto"/>
              <w:ind w:firstLine="0"/>
            </w:pPr>
            <w:r/>
            <w:r>
              <w:rPr>
                <w:rFonts w:ascii="Times New Roman" w:hAnsi="Times New Roman" w:eastAsia="宋体"/>
                <w:b w:val="0"/>
                <w:i w:val="0"/>
                <w:sz w:val="21"/>
              </w:rPr>
              <w:t>随客户档案沉淀，与项目立项的关联企业材料共用同一套材料清单</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4.2.6　角色权限与数据权限</w:t>
      </w:r>
    </w:p>
    <w:p>
      <w:pPr>
        <w:spacing w:before="0" w:after="120" w:line="360" w:lineRule="auto"/>
      </w:pPr>
      <w:r>
        <w:rPr>
          <w:rFonts w:ascii="Times New Roman" w:hAnsi="Times New Roman" w:eastAsia="宋体"/>
          <w:b w:val="0"/>
          <w:i w:val="0"/>
          <w:sz w:val="24"/>
        </w:rPr>
        <w:t>本期为系统全量权限（业务方裁决 D17）；下表角色为典型使用角色，非权限分级。模块内保留操作可见性与状态归属规则：编辑与作废仅在待提交可见，审核仅在审核中可见，发起完结仅在执行中可见，重新发起仅在驳回可见；风险等级修改由风控部执行，删除客户由总经办执行且需校验关联合同。</w:t>
      </w:r>
    </w:p>
    <w:p>
      <w:pPr>
        <w:spacing w:before="0" w:after="80" w:line="360" w:lineRule="auto"/>
      </w:pPr>
      <w:r>
        <w:rPr>
          <w:rFonts w:ascii="Times New Roman" w:hAnsi="Times New Roman" w:eastAsia="宋体"/>
          <w:b w:val="0"/>
          <w:i w:val="0"/>
          <w:sz w:val="24"/>
        </w:rPr>
        <w:t>数据可见性：按单据归属与业务筛选查看；手机号、统一社会信用代码等敏感字段默认打码，手动点击查看完整值且查看行为留痕。</w:t>
      </w:r>
    </w:p>
    <w:p>
      <w:pPr>
        <w:pStyle w:val="Heading3"/>
        <w:keepNext/>
        <w:spacing w:before="160" w:after="80" w:line="312" w:lineRule="auto"/>
        <w:ind w:firstLine="0"/>
      </w:pPr>
      <w:r>
        <w:rPr>
          <w:rFonts w:ascii="Times New Roman" w:hAnsi="Times New Roman" w:eastAsia="黑体"/>
          <w:b/>
          <w:i w:val="0"/>
          <w:sz w:val="24"/>
        </w:rPr>
        <w:t>4.2.7　业务流程与页面</w:t>
      </w:r>
    </w:p>
    <w:p>
      <w:pPr>
        <w:spacing w:before="120" w:after="60"/>
        <w:ind w:firstLine="0"/>
        <w:jc w:val="center"/>
      </w:pPr>
      <w:r>
        <w:drawing>
          <wp:inline xmlns:a="http://schemas.openxmlformats.org/drawingml/2006/main" xmlns:pic="http://schemas.openxmlformats.org/drawingml/2006/picture">
            <wp:extent cx="5616000" cy="1904276"/>
            <wp:docPr id="3" name="Picture 3"/>
            <wp:cNvGraphicFramePr>
              <a:graphicFrameLocks noChangeAspect="1"/>
            </wp:cNvGraphicFramePr>
            <a:graphic>
              <a:graphicData uri="http://schemas.openxmlformats.org/drawingml/2006/picture">
                <pic:pic>
                  <pic:nvPicPr>
                    <pic:cNvPr id="0" name="mermaid-customer-apply.png"/>
                    <pic:cNvPicPr/>
                  </pic:nvPicPr>
                  <pic:blipFill>
                    <a:blip r:embed="rId13"/>
                    <a:stretch>
                      <a:fillRect/>
                    </a:stretch>
                  </pic:blipFill>
                  <pic:spPr>
                    <a:xfrm>
                      <a:off x="0" y="0"/>
                      <a:ext cx="5616000" cy="1904276"/>
                    </a:xfrm>
                    <a:prstGeom prst="rect"/>
                  </pic:spPr>
                </pic:pic>
              </a:graphicData>
            </a:graphic>
          </wp:inline>
        </w:drawing>
      </w:r>
    </w:p>
    <w:p>
      <w:pPr>
        <w:spacing w:before="0" w:after="200" w:line="240" w:lineRule="auto"/>
        <w:ind w:firstLine="0"/>
        <w:jc w:val="center"/>
      </w:pPr>
      <w:r>
        <w:rPr>
          <w:rFonts w:ascii="Times New Roman" w:hAnsi="Times New Roman" w:eastAsia="宋体"/>
          <w:b w:val="0"/>
          <w:i w:val="0"/>
          <w:sz w:val="21"/>
        </w:rPr>
        <w:t>图 4-2-1　客户准入 主业务流程</w:t>
      </w:r>
    </w:p>
    <w:p>
      <w:pPr>
        <w:spacing w:before="0" w:after="60" w:line="360" w:lineRule="auto"/>
      </w:pPr>
      <w:r>
        <w:rPr>
          <w:rFonts w:ascii="Times New Roman" w:hAnsi="Times New Roman" w:eastAsia="宋体"/>
          <w:b/>
          <w:i w:val="0"/>
          <w:sz w:val="24"/>
        </w:rPr>
        <w:t>主流程步骤：</w:t>
      </w:r>
    </w:p>
    <w:p>
      <w:pPr>
        <w:spacing w:before="0" w:after="60" w:line="336" w:lineRule="auto"/>
        <w:ind w:left="510" w:hanging="510"/>
      </w:pPr>
      <w:r>
        <w:rPr>
          <w:rFonts w:ascii="Times New Roman" w:hAnsi="Times New Roman" w:eastAsia="宋体"/>
          <w:b w:val="0"/>
          <w:i w:val="0"/>
          <w:sz w:val="24"/>
        </w:rPr>
        <w:t>1. 项目立项审批通过后，关联企业从风险报告沉淀写入客户台账，记录来源项目与来源尽调报告</w:t>
      </w:r>
    </w:p>
    <w:p>
      <w:pPr>
        <w:spacing w:before="0" w:after="60" w:line="336" w:lineRule="auto"/>
        <w:ind w:left="510" w:hanging="510"/>
      </w:pPr>
      <w:r>
        <w:rPr>
          <w:rFonts w:ascii="Times New Roman" w:hAnsi="Times New Roman" w:eastAsia="宋体"/>
          <w:b w:val="0"/>
          <w:i w:val="0"/>
          <w:sz w:val="24"/>
        </w:rPr>
        <w:t>2. 业务员从客户列表点击「新增客户」进入客户准入申请，选择客户类别并填写企业名称</w:t>
      </w:r>
    </w:p>
    <w:p>
      <w:pPr>
        <w:spacing w:before="0" w:after="60" w:line="336" w:lineRule="auto"/>
        <w:ind w:left="510" w:hanging="510"/>
      </w:pPr>
      <w:r>
        <w:rPr>
          <w:rFonts w:ascii="Times New Roman" w:hAnsi="Times New Roman" w:eastAsia="宋体"/>
          <w:b w:val="0"/>
          <w:i w:val="0"/>
          <w:sz w:val="24"/>
        </w:rPr>
        <w:t>3. 系统按企业名称自动带出工商信息与统一社会信用代码，用户补全联系人、负责人、开户行与银行账号</w:t>
      </w:r>
    </w:p>
    <w:p>
      <w:pPr>
        <w:spacing w:before="0" w:after="60" w:line="336" w:lineRule="auto"/>
        <w:ind w:left="510" w:hanging="510"/>
      </w:pPr>
      <w:r>
        <w:rPr>
          <w:rFonts w:ascii="Times New Roman" w:hAnsi="Times New Roman" w:eastAsia="宋体"/>
          <w:b w:val="0"/>
          <w:i w:val="0"/>
          <w:sz w:val="24"/>
        </w:rPr>
        <w:t>4. 步骤 2 生成企业尽调报告，展示风险扫描结果与股权穿透结论</w:t>
      </w:r>
    </w:p>
    <w:p>
      <w:pPr>
        <w:spacing w:before="0" w:after="60" w:line="336" w:lineRule="auto"/>
        <w:ind w:left="510" w:hanging="510"/>
      </w:pPr>
      <w:r>
        <w:rPr>
          <w:rFonts w:ascii="Times New Roman" w:hAnsi="Times New Roman" w:eastAsia="宋体"/>
          <w:b w:val="0"/>
          <w:i w:val="0"/>
          <w:sz w:val="24"/>
        </w:rPr>
        <w:t>5. 步骤 3 提交审批，进入 5 节点串行审批链并记录审批时间线</w:t>
      </w:r>
    </w:p>
    <w:p>
      <w:pPr>
        <w:spacing w:before="0" w:after="60" w:line="336" w:lineRule="auto"/>
        <w:ind w:left="510" w:hanging="510"/>
      </w:pPr>
      <w:r>
        <w:rPr>
          <w:rFonts w:ascii="Times New Roman" w:hAnsi="Times New Roman" w:eastAsia="宋体"/>
          <w:b w:val="0"/>
          <w:i w:val="0"/>
          <w:sz w:val="24"/>
        </w:rPr>
        <w:t>6. 风控人员与总经办审核客户档案，审核通过后状态进入执行中，驳回则回到驳回状态可修改后重新提交</w:t>
      </w:r>
    </w:p>
    <w:p>
      <w:pPr>
        <w:spacing w:before="0" w:after="60" w:line="336" w:lineRule="auto"/>
        <w:ind w:left="510" w:hanging="510"/>
      </w:pPr>
      <w:r>
        <w:rPr>
          <w:rFonts w:ascii="Times New Roman" w:hAnsi="Times New Roman" w:eastAsia="宋体"/>
          <w:b w:val="0"/>
          <w:i w:val="0"/>
          <w:sz w:val="24"/>
        </w:rPr>
        <w:t>7. 客户处于执行中后即可被合同、收发货、付款、回款、发票关联</w:t>
      </w:r>
    </w:p>
    <w:p>
      <w:pPr>
        <w:spacing w:before="0" w:after="60" w:line="336" w:lineRule="auto"/>
        <w:ind w:left="510" w:hanging="510"/>
      </w:pPr>
      <w:r>
        <w:rPr>
          <w:rFonts w:ascii="Times New Roman" w:hAnsi="Times New Roman" w:eastAsia="宋体"/>
          <w:b w:val="0"/>
          <w:i w:val="0"/>
          <w:sz w:val="24"/>
        </w:rPr>
        <w:t>8. 风控人员将问题客户加入黑名单，命中后在档案中提示但不阻断下游业务</w:t>
      </w:r>
    </w:p>
    <w:p>
      <w:pPr>
        <w:spacing w:before="0" w:after="60" w:line="336" w:lineRule="auto"/>
        <w:ind w:left="510" w:hanging="510"/>
      </w:pPr>
      <w:r>
        <w:rPr>
          <w:rFonts w:ascii="Times New Roman" w:hAnsi="Times New Roman" w:eastAsia="宋体"/>
          <w:b w:val="0"/>
          <w:i w:val="0"/>
          <w:sz w:val="24"/>
        </w:rPr>
        <w:t>9. 业务周期结束后由业务员发起完结，状态变为已完结并归档</w:t>
      </w:r>
    </w:p>
    <w:p>
      <w:pPr>
        <w:spacing w:before="120" w:after="60" w:line="360" w:lineRule="auto"/>
      </w:pPr>
      <w:r>
        <w:rPr>
          <w:rFonts w:ascii="Times New Roman" w:hAnsi="Times New Roman" w:eastAsia="宋体"/>
          <w:b/>
          <w:i w:val="0"/>
          <w:sz w:val="24"/>
        </w:rPr>
        <w:t>异常分支：</w:t>
      </w:r>
    </w:p>
    <w:tbl>
      <w:tblPr>
        <w:tblStyle w:val="TableGrid"/>
        <w:tblW w:type="auto" w:w="0"/>
        <w:jc w:val="center"/>
        <w:tblLayout w:type="fixed"/>
        <w:tblLook w:firstColumn="1" w:firstRow="1" w:lastColumn="0" w:lastRow="0" w:noHBand="0" w:noVBand="1" w:val="04A0"/>
      </w:tblPr>
      <w:tblGrid>
        <w:gridCol w:w="4479"/>
        <w:gridCol w:w="4479"/>
      </w:tblGrid>
      <w:tr>
        <w:trPr>
          <w:tblHeader w:val="true"/>
        </w:trPr>
        <w:tc>
          <w:tcPr>
            <w:tcW w:type="dxa" w:w="2835"/>
            <w:shd w:val="clear" w:color="auto" w:fill="DCE6F1"/>
          </w:tcPr>
          <w:p>
            <w:pPr>
              <w:spacing w:before="40" w:after="40" w:line="276" w:lineRule="auto"/>
              <w:jc w:val="center"/>
            </w:pPr>
            <w:r/>
            <w:r>
              <w:rPr>
                <w:rFonts w:ascii="Times New Roman" w:hAnsi="Times New Roman" w:eastAsia="黑体"/>
                <w:b/>
                <w:i w:val="0"/>
                <w:sz w:val="21"/>
              </w:rPr>
              <w:t>异常场景</w:t>
            </w:r>
          </w:p>
        </w:tc>
        <w:tc>
          <w:tcPr>
            <w:tcW w:type="dxa" w:w="6236"/>
            <w:shd w:val="clear" w:color="auto" w:fill="DCE6F1"/>
          </w:tcPr>
          <w:p>
            <w:pPr>
              <w:spacing w:before="40" w:after="40" w:line="276" w:lineRule="auto"/>
              <w:jc w:val="center"/>
            </w:pPr>
            <w:r/>
            <w:r>
              <w:rPr>
                <w:rFonts w:ascii="Times New Roman" w:hAnsi="Times New Roman" w:eastAsia="黑体"/>
                <w:b/>
                <w:i w:val="0"/>
                <w:sz w:val="21"/>
              </w:rPr>
              <w:t>系统处理</w:t>
            </w:r>
          </w:p>
        </w:tc>
      </w:tr>
      <w:tr>
        <w:tc>
          <w:tcPr>
            <w:tcW w:type="dxa" w:w="2835"/>
          </w:tcPr>
          <w:p>
            <w:pPr>
              <w:spacing w:before="20" w:after="20" w:line="276" w:lineRule="auto"/>
              <w:ind w:firstLine="0"/>
            </w:pPr>
            <w:r/>
            <w:r>
              <w:rPr>
                <w:rFonts w:ascii="Times New Roman" w:hAnsi="Times New Roman" w:eastAsia="宋体"/>
                <w:b w:val="0"/>
                <w:i w:val="0"/>
                <w:sz w:val="21"/>
              </w:rPr>
              <w:t>无权限访问</w:t>
            </w:r>
          </w:p>
        </w:tc>
        <w:tc>
          <w:tcPr>
            <w:tcW w:type="dxa" w:w="6236"/>
          </w:tcPr>
          <w:p>
            <w:pPr>
              <w:spacing w:before="20" w:after="20" w:line="276" w:lineRule="auto"/>
              <w:ind w:firstLine="0"/>
            </w:pPr>
            <w:r/>
            <w:r>
              <w:rPr>
                <w:rFonts w:ascii="Times New Roman" w:hAnsi="Times New Roman" w:eastAsia="宋体"/>
                <w:b w:val="0"/>
                <w:i w:val="0"/>
                <w:sz w:val="21"/>
              </w:rPr>
              <w:t>按钮按状态与操作归属矩阵灰化不可点并给出原因提示；模块整页的无访问权限兜底方式尚未定义</w:t>
            </w:r>
          </w:p>
        </w:tc>
      </w:tr>
      <w:tr>
        <w:tc>
          <w:tcPr>
            <w:tcW w:type="dxa" w:w="2835"/>
          </w:tcPr>
          <w:p>
            <w:pPr>
              <w:spacing w:before="20" w:after="20" w:line="276" w:lineRule="auto"/>
              <w:ind w:firstLine="0"/>
            </w:pPr>
            <w:r/>
            <w:r>
              <w:rPr>
                <w:rFonts w:ascii="Times New Roman" w:hAnsi="Times New Roman" w:eastAsia="宋体"/>
                <w:b w:val="0"/>
                <w:i w:val="0"/>
                <w:sz w:val="21"/>
              </w:rPr>
              <w:t>空数据</w:t>
            </w:r>
          </w:p>
        </w:tc>
        <w:tc>
          <w:tcPr>
            <w:tcW w:type="dxa" w:w="6236"/>
          </w:tcPr>
          <w:p>
            <w:pPr>
              <w:spacing w:before="20" w:after="20" w:line="276" w:lineRule="auto"/>
              <w:ind w:firstLine="0"/>
            </w:pPr>
            <w:r/>
            <w:r>
              <w:rPr>
                <w:rFonts w:ascii="Times New Roman" w:hAnsi="Times New Roman" w:eastAsia="宋体"/>
                <w:b w:val="0"/>
                <w:i w:val="0"/>
                <w:sz w:val="21"/>
              </w:rPr>
              <w:t>列表无数据显示「暂无数据」，存在筛选条件时提示「请调整筛选条件」；详情页股东信息与纳税信息为空表时显示「暂无数据」；风险扫描未命中时显示「无风险」，命中时展开风险详情行</w:t>
            </w:r>
          </w:p>
        </w:tc>
      </w:tr>
      <w:tr>
        <w:tc>
          <w:tcPr>
            <w:tcW w:type="dxa" w:w="2835"/>
          </w:tcPr>
          <w:p>
            <w:pPr>
              <w:spacing w:before="20" w:after="20" w:line="276" w:lineRule="auto"/>
              <w:ind w:firstLine="0"/>
            </w:pPr>
            <w:r/>
            <w:r>
              <w:rPr>
                <w:rFonts w:ascii="Times New Roman" w:hAnsi="Times New Roman" w:eastAsia="宋体"/>
                <w:b w:val="0"/>
                <w:i w:val="0"/>
                <w:sz w:val="21"/>
              </w:rPr>
              <w:t>重复提交</w:t>
            </w:r>
          </w:p>
        </w:tc>
        <w:tc>
          <w:tcPr>
            <w:tcW w:type="dxa" w:w="6236"/>
          </w:tcPr>
          <w:p>
            <w:pPr>
              <w:spacing w:before="20" w:after="20" w:line="276" w:lineRule="auto"/>
              <w:ind w:firstLine="0"/>
            </w:pPr>
            <w:r/>
            <w:r>
              <w:rPr>
                <w:rFonts w:ascii="Times New Roman" w:hAnsi="Times New Roman" w:eastAsia="宋体"/>
                <w:b w:val="0"/>
                <w:i w:val="0"/>
                <w:sz w:val="21"/>
              </w:rPr>
              <w:t>统一社会信用代码全平台唯一，新增客户时若已存在则提示「客户 XXX 已存在（统一信用代码 YYY）」并阻止；提交动作进行中按钮置为加载态并禁用</w:t>
            </w:r>
          </w:p>
        </w:tc>
      </w:tr>
      <w:tr>
        <w:tc>
          <w:tcPr>
            <w:tcW w:type="dxa" w:w="2835"/>
          </w:tcPr>
          <w:p>
            <w:pPr>
              <w:spacing w:before="20" w:after="20" w:line="276" w:lineRule="auto"/>
              <w:ind w:firstLine="0"/>
            </w:pPr>
            <w:r/>
            <w:r>
              <w:rPr>
                <w:rFonts w:ascii="Times New Roman" w:hAnsi="Times New Roman" w:eastAsia="宋体"/>
                <w:b w:val="0"/>
                <w:i w:val="0"/>
                <w:sz w:val="21"/>
              </w:rPr>
              <w:t>接口失败</w:t>
            </w:r>
          </w:p>
        </w:tc>
        <w:tc>
          <w:tcPr>
            <w:tcW w:type="dxa" w:w="6236"/>
          </w:tcPr>
          <w:p>
            <w:pPr>
              <w:spacing w:before="20" w:after="20" w:line="276" w:lineRule="auto"/>
              <w:ind w:firstLine="0"/>
            </w:pPr>
            <w:r/>
            <w:r>
              <w:rPr>
                <w:rFonts w:ascii="Times New Roman" w:hAnsi="Times New Roman" w:eastAsia="宋体"/>
                <w:b w:val="0"/>
                <w:i w:val="0"/>
                <w:sz w:val="21"/>
              </w:rPr>
              <w:t>客户从风险报告沉淀失败时提示「客户沉淀失败，请联系管理员」并阻止项目准入完成；外部企业信息服务调用失败时保留用户输入、按钮恢复可点，允许重试</w:t>
            </w:r>
          </w:p>
        </w:tc>
      </w:tr>
      <w:tr>
        <w:tc>
          <w:tcPr>
            <w:tcW w:type="dxa" w:w="2835"/>
          </w:tcPr>
          <w:p>
            <w:pPr>
              <w:spacing w:before="20" w:after="20" w:line="276" w:lineRule="auto"/>
              <w:ind w:firstLine="0"/>
            </w:pPr>
            <w:r/>
            <w:r>
              <w:rPr>
                <w:rFonts w:ascii="Times New Roman" w:hAnsi="Times New Roman" w:eastAsia="宋体"/>
                <w:b w:val="0"/>
                <w:i w:val="0"/>
                <w:sz w:val="21"/>
              </w:rPr>
              <w:t>状态冲突</w:t>
            </w:r>
          </w:p>
        </w:tc>
        <w:tc>
          <w:tcPr>
            <w:tcW w:type="dxa" w:w="6236"/>
          </w:tcPr>
          <w:p>
            <w:pPr>
              <w:spacing w:before="20" w:after="20" w:line="276" w:lineRule="auto"/>
              <w:ind w:firstLine="0"/>
            </w:pPr>
            <w:r/>
            <w:r>
              <w:rPr>
                <w:rFonts w:ascii="Times New Roman" w:hAnsi="Times New Roman" w:eastAsia="宋体"/>
                <w:b w:val="0"/>
                <w:i w:val="0"/>
                <w:sz w:val="21"/>
              </w:rPr>
              <w:t>修改客户分类影响下游业务时弹黄色警示「客户分类修改会影响下游业务，是否继续？」；驳回后重新发起自动回填步骤 1 已填字段；删除客户时若存在未完结合同则提示「客户 XXX 有关联合同未完结，不能删除」并阻止</w:t>
            </w:r>
          </w:p>
        </w:tc>
      </w:tr>
      <w:tr>
        <w:tc>
          <w:tcPr>
            <w:tcW w:type="dxa" w:w="2835"/>
          </w:tcPr>
          <w:p>
            <w:pPr>
              <w:spacing w:before="20" w:after="20" w:line="276" w:lineRule="auto"/>
              <w:ind w:firstLine="0"/>
            </w:pPr>
            <w:r/>
            <w:r>
              <w:rPr>
                <w:rFonts w:ascii="Times New Roman" w:hAnsi="Times New Roman" w:eastAsia="宋体"/>
                <w:b w:val="0"/>
                <w:i w:val="0"/>
                <w:sz w:val="21"/>
              </w:rPr>
              <w:t>超限</w:t>
            </w:r>
          </w:p>
        </w:tc>
        <w:tc>
          <w:tcPr>
            <w:tcW w:type="dxa" w:w="6236"/>
          </w:tcPr>
          <w:p>
            <w:pPr>
              <w:spacing w:before="20" w:after="20" w:line="276" w:lineRule="auto"/>
              <w:ind w:firstLine="0"/>
            </w:pPr>
            <w:r/>
            <w:r>
              <w:rPr>
                <w:rFonts w:ascii="Times New Roman" w:hAnsi="Times New Roman" w:eastAsia="宋体"/>
                <w:b w:val="0"/>
                <w:i w:val="0"/>
                <w:sz w:val="21"/>
              </w:rPr>
              <w:t>银行账号校验 11 至 19 位数字、联系电话校验 11 位手机号格式，格式不符阻止提交；客户分类与角色冲突时提示「上游企业不能作为采购方」；风险等级超过 30 天未刷新提示重新扫描；准入材料单个附件不超过 100MB</w:t>
            </w:r>
          </w:p>
        </w:tc>
      </w:tr>
    </w:tbl>
    <w:p>
      <w:pPr>
        <w:spacing w:before="0" w:after="0" w:line="240" w:lineRule="auto"/>
      </w:pPr>
    </w:p>
    <w:p>
      <w:pPr>
        <w:spacing w:before="120" w:after="60"/>
        <w:ind w:firstLine="0"/>
        <w:jc w:val="center"/>
      </w:pPr>
      <w:r>
        <w:drawing>
          <wp:inline xmlns:a="http://schemas.openxmlformats.org/drawingml/2006/main" xmlns:pic="http://schemas.openxmlformats.org/drawingml/2006/picture">
            <wp:extent cx="5616000" cy="3334500"/>
            <wp:docPr id="4" name="Picture 4"/>
            <wp:cNvGraphicFramePr>
              <a:graphicFrameLocks noChangeAspect="1"/>
            </wp:cNvGraphicFramePr>
            <a:graphic>
              <a:graphicData uri="http://schemas.openxmlformats.org/drawingml/2006/picture">
                <pic:pic>
                  <pic:nvPicPr>
                    <pic:cNvPr id="0" name="customer-apply.png"/>
                    <pic:cNvPicPr/>
                  </pic:nvPicPr>
                  <pic:blipFill>
                    <a:blip r:embed="rId14"/>
                    <a:stretch>
                      <a:fillRect/>
                    </a:stretch>
                  </pic:blipFill>
                  <pic:spPr>
                    <a:xfrm>
                      <a:off x="0" y="0"/>
                      <a:ext cx="5616000" cy="3334500"/>
                    </a:xfrm>
                    <a:prstGeom prst="rect"/>
                  </pic:spPr>
                </pic:pic>
              </a:graphicData>
            </a:graphic>
          </wp:inline>
        </w:drawing>
      </w:r>
    </w:p>
    <w:p>
      <w:pPr>
        <w:spacing w:before="0" w:after="200" w:line="240" w:lineRule="auto"/>
        <w:ind w:firstLine="0"/>
        <w:jc w:val="center"/>
      </w:pPr>
      <w:r>
        <w:rPr>
          <w:rFonts w:ascii="Times New Roman" w:hAnsi="Times New Roman" w:eastAsia="宋体"/>
          <w:b w:val="0"/>
          <w:i w:val="0"/>
          <w:sz w:val="21"/>
        </w:rPr>
        <w:t>图 4-2-2　客户准入 原型页面</w:t>
      </w:r>
    </w:p>
    <w:p>
      <w:pPr>
        <w:spacing w:before="80" w:after="60" w:line="360" w:lineRule="auto"/>
      </w:pPr>
      <w:r>
        <w:rPr>
          <w:rFonts w:ascii="Times New Roman" w:hAnsi="Times New Roman" w:eastAsia="宋体"/>
          <w:b/>
          <w:i w:val="0"/>
          <w:sz w:val="24"/>
        </w:rPr>
        <w:t>页面级说明：</w:t>
      </w: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tblGrid>
      <w:tr>
        <w:trPr>
          <w:tblHeader w:val="true"/>
        </w:trPr>
        <w:tc>
          <w:tcPr>
            <w:tcW w:type="dxa" w:w="1178"/>
            <w:shd w:val="clear" w:color="auto" w:fill="DCE6F1"/>
          </w:tcPr>
          <w:p>
            <w:pPr>
              <w:spacing w:before="40" w:after="40" w:line="276" w:lineRule="auto"/>
              <w:jc w:val="center"/>
            </w:pPr>
            <w:r/>
            <w:r>
              <w:rPr>
                <w:rFonts w:ascii="Times New Roman" w:hAnsi="Times New Roman" w:eastAsia="黑体"/>
                <w:b/>
                <w:i w:val="0"/>
                <w:sz w:val="19"/>
              </w:rPr>
              <w:t>页面</w:t>
            </w:r>
          </w:p>
        </w:tc>
        <w:tc>
          <w:tcPr>
            <w:tcW w:type="dxa" w:w="1531"/>
            <w:shd w:val="clear" w:color="auto" w:fill="DCE6F1"/>
          </w:tcPr>
          <w:p>
            <w:pPr>
              <w:spacing w:before="40" w:after="40" w:line="276" w:lineRule="auto"/>
              <w:jc w:val="center"/>
            </w:pPr>
            <w:r/>
            <w:r>
              <w:rPr>
                <w:rFonts w:ascii="Times New Roman" w:hAnsi="Times New Roman" w:eastAsia="黑体"/>
                <w:b/>
                <w:i w:val="0"/>
                <w:sz w:val="19"/>
              </w:rPr>
              <w:t>原型文件</w:t>
            </w:r>
          </w:p>
        </w:tc>
        <w:tc>
          <w:tcPr>
            <w:tcW w:type="dxa" w:w="1119"/>
            <w:shd w:val="clear" w:color="auto" w:fill="DCE6F1"/>
          </w:tcPr>
          <w:p>
            <w:pPr>
              <w:spacing w:before="40" w:after="40" w:line="276" w:lineRule="auto"/>
              <w:jc w:val="center"/>
            </w:pPr>
            <w:r/>
            <w:r>
              <w:rPr>
                <w:rFonts w:ascii="Times New Roman" w:hAnsi="Times New Roman" w:eastAsia="黑体"/>
                <w:b/>
                <w:i w:val="0"/>
                <w:sz w:val="19"/>
              </w:rPr>
              <w:t>进入方式</w:t>
            </w:r>
          </w:p>
        </w:tc>
        <w:tc>
          <w:tcPr>
            <w:tcW w:type="dxa" w:w="2062"/>
            <w:shd w:val="clear" w:color="auto" w:fill="DCE6F1"/>
          </w:tcPr>
          <w:p>
            <w:pPr>
              <w:spacing w:before="40" w:after="40" w:line="276" w:lineRule="auto"/>
              <w:jc w:val="center"/>
            </w:pPr>
            <w:r/>
            <w:r>
              <w:rPr>
                <w:rFonts w:ascii="Times New Roman" w:hAnsi="Times New Roman" w:eastAsia="黑体"/>
                <w:b/>
                <w:i w:val="0"/>
                <w:sz w:val="19"/>
              </w:rPr>
              <w:t>关键区块</w:t>
            </w:r>
          </w:p>
        </w:tc>
        <w:tc>
          <w:tcPr>
            <w:tcW w:type="dxa" w:w="1767"/>
            <w:shd w:val="clear" w:color="auto" w:fill="DCE6F1"/>
          </w:tcPr>
          <w:p>
            <w:pPr>
              <w:spacing w:before="40" w:after="40" w:line="276" w:lineRule="auto"/>
              <w:jc w:val="center"/>
            </w:pPr>
            <w:r/>
            <w:r>
              <w:rPr>
                <w:rFonts w:ascii="Times New Roman" w:hAnsi="Times New Roman" w:eastAsia="黑体"/>
                <w:b/>
                <w:i w:val="0"/>
                <w:sz w:val="19"/>
              </w:rPr>
              <w:t>主要按钮与行为</w:t>
            </w:r>
          </w:p>
        </w:tc>
        <w:tc>
          <w:tcPr>
            <w:tcW w:type="dxa" w:w="1414"/>
            <w:shd w:val="clear" w:color="auto" w:fill="DCE6F1"/>
          </w:tcPr>
          <w:p>
            <w:pPr>
              <w:spacing w:before="40" w:after="40" w:line="276" w:lineRule="auto"/>
              <w:jc w:val="center"/>
            </w:pPr>
            <w:r/>
            <w:r>
              <w:rPr>
                <w:rFonts w:ascii="Times New Roman" w:hAnsi="Times New Roman" w:eastAsia="黑体"/>
                <w:b/>
                <w:i w:val="0"/>
                <w:sz w:val="19"/>
              </w:rPr>
              <w:t>跳转去向</w:t>
            </w:r>
          </w:p>
        </w:tc>
      </w:tr>
      <w:tr>
        <w:tc>
          <w:tcPr>
            <w:tcW w:type="dxa" w:w="1178"/>
          </w:tcPr>
          <w:p>
            <w:pPr>
              <w:spacing w:before="20" w:after="20" w:line="276" w:lineRule="auto"/>
              <w:ind w:firstLine="0"/>
            </w:pPr>
            <w:r/>
            <w:r>
              <w:rPr>
                <w:rFonts w:ascii="Times New Roman" w:hAnsi="Times New Roman" w:eastAsia="宋体"/>
                <w:b w:val="0"/>
                <w:i w:val="0"/>
                <w:sz w:val="19"/>
              </w:rPr>
              <w:t>客户列表页</w:t>
            </w:r>
          </w:p>
        </w:tc>
        <w:tc>
          <w:tcPr>
            <w:tcW w:type="dxa" w:w="1531"/>
          </w:tcPr>
          <w:p>
            <w:pPr>
              <w:spacing w:before="20" w:after="20" w:line="276" w:lineRule="auto"/>
              <w:ind w:firstLine="0"/>
            </w:pPr>
            <w:r/>
            <w:r>
              <w:rPr>
                <w:rFonts w:ascii="Times New Roman" w:hAnsi="Times New Roman" w:eastAsia="宋体"/>
                <w:b w:val="0"/>
                <w:i w:val="0"/>
                <w:sz w:val="19"/>
              </w:rPr>
              <w:t>customer-list.html</w:t>
            </w:r>
          </w:p>
        </w:tc>
        <w:tc>
          <w:tcPr>
            <w:tcW w:type="dxa" w:w="1119"/>
          </w:tcPr>
          <w:p>
            <w:pPr>
              <w:spacing w:before="20" w:after="20" w:line="276" w:lineRule="auto"/>
              <w:ind w:firstLine="0"/>
            </w:pPr>
            <w:r/>
            <w:r>
              <w:rPr>
                <w:rFonts w:ascii="Times New Roman" w:hAnsi="Times New Roman" w:eastAsia="宋体"/>
                <w:b w:val="0"/>
                <w:i w:val="0"/>
                <w:sz w:val="19"/>
              </w:rPr>
              <w:t>准入管理 → 客户准入</w:t>
            </w:r>
          </w:p>
        </w:tc>
        <w:tc>
          <w:tcPr>
            <w:tcW w:type="dxa" w:w="2062"/>
          </w:tcPr>
          <w:p>
            <w:pPr>
              <w:spacing w:before="20" w:after="20" w:line="276" w:lineRule="auto"/>
              <w:ind w:firstLine="0"/>
            </w:pPr>
            <w:r/>
            <w:r>
              <w:rPr>
                <w:rFonts w:ascii="Times New Roman" w:hAnsi="Times New Roman" w:eastAsia="宋体"/>
                <w:b w:val="0"/>
                <w:i w:val="0"/>
                <w:sz w:val="19"/>
              </w:rPr>
              <w:t>标题区与「新增客户」主操作、筛选区（项目名称、企业类别、企业名称、企业简称、法定代表人、所属区域、联系人姓名、联系人电话）、7 个状态 Tab、数据表格（客户类型、企业名称、关联项目名称、统一社会信用代码、企业简称、法定代表人、注册资本、所属地区、负责人姓名、负责人电话、联系人姓名、联系人电话、流程状态、操作）、分页</w:t>
            </w:r>
          </w:p>
        </w:tc>
        <w:tc>
          <w:tcPr>
            <w:tcW w:type="dxa" w:w="1767"/>
          </w:tcPr>
          <w:p>
            <w:pPr>
              <w:spacing w:before="20" w:after="20" w:line="276" w:lineRule="auto"/>
              <w:ind w:firstLine="0"/>
            </w:pPr>
            <w:r/>
            <w:r>
              <w:rPr>
                <w:rFonts w:ascii="Times New Roman" w:hAnsi="Times New Roman" w:eastAsia="宋体"/>
                <w:b w:val="0"/>
                <w:i w:val="0"/>
                <w:sz w:val="19"/>
              </w:rPr>
              <w:t>新增客户、查看、编辑、审核、作废、导出、清除全部</w:t>
            </w:r>
          </w:p>
        </w:tc>
        <w:tc>
          <w:tcPr>
            <w:tcW w:type="dxa" w:w="1414"/>
          </w:tcPr>
          <w:p>
            <w:pPr>
              <w:spacing w:before="20" w:after="20" w:line="276" w:lineRule="auto"/>
              <w:ind w:firstLine="0"/>
            </w:pPr>
            <w:r/>
            <w:r>
              <w:rPr>
                <w:rFonts w:ascii="Times New Roman" w:hAnsi="Times New Roman" w:eastAsia="宋体"/>
                <w:b w:val="0"/>
                <w:i w:val="0"/>
                <w:sz w:val="19"/>
              </w:rPr>
              <w:t>新增客户跳 customer-apply.html；查看、编辑跳 customer-detail.html</w:t>
            </w:r>
          </w:p>
        </w:tc>
      </w:tr>
      <w:tr>
        <w:tc>
          <w:tcPr>
            <w:tcW w:type="dxa" w:w="1178"/>
          </w:tcPr>
          <w:p>
            <w:pPr>
              <w:spacing w:before="20" w:after="20" w:line="276" w:lineRule="auto"/>
              <w:ind w:firstLine="0"/>
            </w:pPr>
            <w:r/>
            <w:r>
              <w:rPr>
                <w:rFonts w:ascii="Times New Roman" w:hAnsi="Times New Roman" w:eastAsia="宋体"/>
                <w:b w:val="0"/>
                <w:i w:val="0"/>
                <w:sz w:val="19"/>
              </w:rPr>
              <w:t>客户准入申请页</w:t>
            </w:r>
          </w:p>
        </w:tc>
        <w:tc>
          <w:tcPr>
            <w:tcW w:type="dxa" w:w="1531"/>
          </w:tcPr>
          <w:p>
            <w:pPr>
              <w:spacing w:before="20" w:after="20" w:line="276" w:lineRule="auto"/>
              <w:ind w:firstLine="0"/>
            </w:pPr>
            <w:r/>
            <w:r>
              <w:rPr>
                <w:rFonts w:ascii="Times New Roman" w:hAnsi="Times New Roman" w:eastAsia="宋体"/>
                <w:b w:val="0"/>
                <w:i w:val="0"/>
                <w:sz w:val="19"/>
              </w:rPr>
              <w:t>customer-apply.html</w:t>
            </w:r>
          </w:p>
        </w:tc>
        <w:tc>
          <w:tcPr>
            <w:tcW w:type="dxa" w:w="1119"/>
          </w:tcPr>
          <w:p>
            <w:pPr>
              <w:spacing w:before="20" w:after="20" w:line="276" w:lineRule="auto"/>
              <w:ind w:firstLine="0"/>
            </w:pPr>
            <w:r/>
            <w:r>
              <w:rPr>
                <w:rFonts w:ascii="Times New Roman" w:hAnsi="Times New Roman" w:eastAsia="宋体"/>
                <w:b w:val="0"/>
                <w:i w:val="0"/>
                <w:sz w:val="19"/>
              </w:rPr>
              <w:t>客户列表页 → 新增客户</w:t>
            </w:r>
          </w:p>
        </w:tc>
        <w:tc>
          <w:tcPr>
            <w:tcW w:type="dxa" w:w="2062"/>
          </w:tcPr>
          <w:p>
            <w:pPr>
              <w:spacing w:before="20" w:after="20" w:line="276" w:lineRule="auto"/>
              <w:ind w:firstLine="0"/>
            </w:pPr>
            <w:r/>
            <w:r>
              <w:rPr>
                <w:rFonts w:ascii="Times New Roman" w:hAnsi="Times New Roman" w:eastAsia="宋体"/>
                <w:b w:val="0"/>
                <w:i w:val="0"/>
                <w:sz w:val="19"/>
              </w:rPr>
              <w:t>4 步骤条（客户信息录入、企业尽调报告、提交审批、准入完成）、客户信息录入表单、关联项目折叠面板、审批进度时间线与实时活动、完成态提示</w:t>
            </w:r>
          </w:p>
        </w:tc>
        <w:tc>
          <w:tcPr>
            <w:tcW w:type="dxa" w:w="1767"/>
          </w:tcPr>
          <w:p>
            <w:pPr>
              <w:spacing w:before="20" w:after="20" w:line="276" w:lineRule="auto"/>
              <w:ind w:firstLine="0"/>
            </w:pPr>
            <w:r/>
            <w:r>
              <w:rPr>
                <w:rFonts w:ascii="Times New Roman" w:hAnsi="Times New Roman" w:eastAsia="宋体"/>
                <w:b w:val="0"/>
                <w:i w:val="0"/>
                <w:sz w:val="19"/>
              </w:rPr>
              <w:t>上一步、下一步、保存草稿、提交审批、返回客户列表</w:t>
            </w:r>
          </w:p>
        </w:tc>
        <w:tc>
          <w:tcPr>
            <w:tcW w:type="dxa" w:w="1414"/>
          </w:tcPr>
          <w:p>
            <w:pPr>
              <w:spacing w:before="20" w:after="20" w:line="276" w:lineRule="auto"/>
              <w:ind w:firstLine="0"/>
            </w:pPr>
            <w:r/>
            <w:r>
              <w:rPr>
                <w:rFonts w:ascii="Times New Roman" w:hAnsi="Times New Roman" w:eastAsia="宋体"/>
                <w:b w:val="0"/>
                <w:i w:val="0"/>
                <w:sz w:val="19"/>
              </w:rPr>
              <w:t>准入完成步骤的「返回客户列表」跳 customer-list.html</w:t>
            </w:r>
          </w:p>
        </w:tc>
      </w:tr>
      <w:tr>
        <w:tc>
          <w:tcPr>
            <w:tcW w:type="dxa" w:w="1178"/>
          </w:tcPr>
          <w:p>
            <w:pPr>
              <w:spacing w:before="20" w:after="20" w:line="276" w:lineRule="auto"/>
              <w:ind w:firstLine="0"/>
            </w:pPr>
            <w:r/>
            <w:r>
              <w:rPr>
                <w:rFonts w:ascii="Times New Roman" w:hAnsi="Times New Roman" w:eastAsia="宋体"/>
                <w:b w:val="0"/>
                <w:i w:val="0"/>
                <w:sz w:val="19"/>
              </w:rPr>
              <w:t>客户详情页</w:t>
            </w:r>
          </w:p>
        </w:tc>
        <w:tc>
          <w:tcPr>
            <w:tcW w:type="dxa" w:w="1531"/>
          </w:tcPr>
          <w:p>
            <w:pPr>
              <w:spacing w:before="20" w:after="20" w:line="276" w:lineRule="auto"/>
              <w:ind w:firstLine="0"/>
            </w:pPr>
            <w:r/>
            <w:r>
              <w:rPr>
                <w:rFonts w:ascii="Times New Roman" w:hAnsi="Times New Roman" w:eastAsia="宋体"/>
                <w:b w:val="0"/>
                <w:i w:val="0"/>
                <w:sz w:val="19"/>
              </w:rPr>
              <w:t>customer-detail.html</w:t>
            </w:r>
          </w:p>
        </w:tc>
        <w:tc>
          <w:tcPr>
            <w:tcW w:type="dxa" w:w="1119"/>
          </w:tcPr>
          <w:p>
            <w:pPr>
              <w:spacing w:before="20" w:after="20" w:line="276" w:lineRule="auto"/>
              <w:ind w:firstLine="0"/>
            </w:pPr>
            <w:r/>
            <w:r>
              <w:rPr>
                <w:rFonts w:ascii="Times New Roman" w:hAnsi="Times New Roman" w:eastAsia="宋体"/>
                <w:b w:val="0"/>
                <w:i w:val="0"/>
                <w:sz w:val="19"/>
              </w:rPr>
              <w:t>客户列表页 → 查看 / 编辑</w:t>
            </w:r>
          </w:p>
        </w:tc>
        <w:tc>
          <w:tcPr>
            <w:tcW w:type="dxa" w:w="2062"/>
          </w:tcPr>
          <w:p>
            <w:pPr>
              <w:spacing w:before="20" w:after="20" w:line="276" w:lineRule="auto"/>
              <w:ind w:firstLine="0"/>
            </w:pPr>
            <w:r/>
            <w:r>
              <w:rPr>
                <w:rFonts w:ascii="Times New Roman" w:hAnsi="Times New Roman" w:eastAsia="宋体"/>
                <w:b w:val="0"/>
                <w:i w:val="0"/>
                <w:sz w:val="19"/>
              </w:rPr>
              <w:t>顶部企业 metadata、Tab 区（企业信息、风险扫描结果、股权关系、客户准入材料、审批准入、关联项目）、风险扫描卡片组、疑似实控人股权链、股东信息表、纳税信息表、附件区、固定底栏</w:t>
            </w:r>
          </w:p>
        </w:tc>
        <w:tc>
          <w:tcPr>
            <w:tcW w:type="dxa" w:w="1767"/>
          </w:tcPr>
          <w:p>
            <w:pPr>
              <w:spacing w:before="20" w:after="20" w:line="276" w:lineRule="auto"/>
              <w:ind w:firstLine="0"/>
            </w:pPr>
            <w:r/>
            <w:r>
              <w:rPr>
                <w:rFonts w:ascii="Times New Roman" w:hAnsi="Times New Roman" w:eastAsia="宋体"/>
                <w:b w:val="0"/>
                <w:i w:val="0"/>
                <w:sz w:val="19"/>
              </w:rPr>
              <w:t>跳关联项目、跳关联合同、跳风险报告、下载附件、变更历史、审批通过、驳回审批</w:t>
            </w:r>
          </w:p>
        </w:tc>
        <w:tc>
          <w:tcPr>
            <w:tcW w:type="dxa" w:w="1414"/>
          </w:tcPr>
          <w:p>
            <w:pPr>
              <w:spacing w:before="20" w:after="20" w:line="276" w:lineRule="auto"/>
              <w:ind w:firstLine="0"/>
            </w:pPr>
            <w:r/>
            <w:r>
              <w:rPr>
                <w:rFonts w:ascii="Times New Roman" w:hAnsi="Times New Roman" w:eastAsia="宋体"/>
                <w:b w:val="0"/>
                <w:i w:val="0"/>
                <w:sz w:val="19"/>
              </w:rPr>
              <w:t>跳关联项目跳项目详情页；跳关联合同跳合同列表；变更历史弹客户变更日志</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4.2.8　验收标准与待确认项</w:t>
      </w:r>
    </w:p>
    <w:tbl>
      <w:tblPr>
        <w:tblStyle w:val="TableGrid"/>
        <w:tblW w:type="auto" w:w="0"/>
        <w:jc w:val="center"/>
        <w:tblLayout w:type="fixed"/>
        <w:tblLook w:firstColumn="1" w:firstRow="1" w:lastColumn="0" w:lastRow="0" w:noHBand="0" w:noVBand="1" w:val="04A0"/>
      </w:tblPr>
      <w:tblGrid>
        <w:gridCol w:w="4479"/>
        <w:gridCol w:w="4479"/>
      </w:tblGrid>
      <w:tr>
        <w:trPr>
          <w:tblHeader w:val="true"/>
        </w:trPr>
        <w:tc>
          <w:tcPr>
            <w:tcW w:type="dxa" w:w="1701"/>
            <w:shd w:val="clear" w:color="auto" w:fill="DCE6F1"/>
          </w:tcPr>
          <w:p>
            <w:pPr>
              <w:spacing w:before="40" w:after="40" w:line="276" w:lineRule="auto"/>
              <w:jc w:val="center"/>
            </w:pPr>
            <w:r/>
            <w:r>
              <w:rPr>
                <w:rFonts w:ascii="Times New Roman" w:hAnsi="Times New Roman" w:eastAsia="黑体"/>
                <w:b/>
                <w:i w:val="0"/>
                <w:sz w:val="21"/>
              </w:rPr>
              <w:t>功能</w:t>
            </w:r>
          </w:p>
        </w:tc>
        <w:tc>
          <w:tcPr>
            <w:tcW w:type="dxa" w:w="7370"/>
            <w:shd w:val="clear" w:color="auto" w:fill="DCE6F1"/>
          </w:tcPr>
          <w:p>
            <w:pPr>
              <w:spacing w:before="40" w:after="40" w:line="276" w:lineRule="auto"/>
              <w:jc w:val="center"/>
            </w:pPr>
            <w:r/>
            <w:r>
              <w:rPr>
                <w:rFonts w:ascii="Times New Roman" w:hAnsi="Times New Roman" w:eastAsia="黑体"/>
                <w:b/>
                <w:i w:val="0"/>
                <w:sz w:val="21"/>
              </w:rPr>
              <w:t>验收要点（由关键规则转写）</w:t>
            </w:r>
          </w:p>
        </w:tc>
      </w:tr>
      <w:tr>
        <w:tc>
          <w:tcPr>
            <w:tcW w:type="dxa" w:w="1701"/>
          </w:tcPr>
          <w:p>
            <w:pPr>
              <w:spacing w:before="20" w:after="20" w:line="276" w:lineRule="auto"/>
              <w:ind w:firstLine="0"/>
            </w:pPr>
            <w:r/>
            <w:r>
              <w:rPr>
                <w:rFonts w:ascii="Times New Roman" w:hAnsi="Times New Roman" w:eastAsia="宋体"/>
                <w:b w:val="0"/>
                <w:i w:val="0"/>
                <w:sz w:val="21"/>
              </w:rPr>
              <w:t>客户台账列表与状态管理</w:t>
            </w:r>
          </w:p>
        </w:tc>
        <w:tc>
          <w:tcPr>
            <w:tcW w:type="dxa" w:w="7370"/>
          </w:tcPr>
          <w:p>
            <w:pPr>
              <w:spacing w:before="20" w:after="20" w:line="276" w:lineRule="auto"/>
              <w:ind w:firstLine="0"/>
            </w:pPr>
            <w:r/>
            <w:r>
              <w:rPr>
                <w:rFonts w:ascii="Times New Roman" w:hAnsi="Times New Roman" w:eastAsia="宋体"/>
                <w:b w:val="0"/>
                <w:i w:val="0"/>
                <w:sz w:val="21"/>
              </w:rPr>
              <w:t>列表状态 Tab 为全部加待提交、审核中、执行中、已完结、驳回、已作废；行操作按状态显隐，待提交可查看、编辑、作废，审核中可查看、审核，执行中可查看、发起完结，驳回可查看、重新发起，已完结与已作废仅可查看；点击状态 Tab 弹出状态与颜色对应关系说明。</w:t>
            </w:r>
          </w:p>
        </w:tc>
      </w:tr>
      <w:tr>
        <w:tc>
          <w:tcPr>
            <w:tcW w:type="dxa" w:w="1701"/>
          </w:tcPr>
          <w:p>
            <w:pPr>
              <w:spacing w:before="20" w:after="20" w:line="276" w:lineRule="auto"/>
              <w:ind w:firstLine="0"/>
            </w:pPr>
            <w:r/>
            <w:r>
              <w:rPr>
                <w:rFonts w:ascii="Times New Roman" w:hAnsi="Times New Roman" w:eastAsia="宋体"/>
                <w:b w:val="0"/>
                <w:i w:val="0"/>
                <w:sz w:val="21"/>
              </w:rPr>
              <w:t>新增客户与准入申请</w:t>
            </w:r>
          </w:p>
        </w:tc>
        <w:tc>
          <w:tcPr>
            <w:tcW w:type="dxa" w:w="7370"/>
          </w:tcPr>
          <w:p>
            <w:pPr>
              <w:spacing w:before="20" w:after="20" w:line="276" w:lineRule="auto"/>
              <w:ind w:firstLine="0"/>
            </w:pPr>
            <w:r/>
            <w:r>
              <w:rPr>
                <w:rFonts w:ascii="Times New Roman" w:hAnsi="Times New Roman" w:eastAsia="宋体"/>
                <w:b w:val="0"/>
                <w:i w:val="0"/>
                <w:sz w:val="21"/>
              </w:rPr>
              <w:t>统一社会信用代码由用户填写企业名称后经外部企业信息服务自动返回，用户不填写；开户行、银行账号、联系人姓名、联系电话为必填；客户类别在 4 类中必选 1 项；关联项目可选择跳过，不做强制拦截。</w:t>
            </w:r>
          </w:p>
        </w:tc>
      </w:tr>
      <w:tr>
        <w:tc>
          <w:tcPr>
            <w:tcW w:type="dxa" w:w="1701"/>
          </w:tcPr>
          <w:p>
            <w:pPr>
              <w:spacing w:before="20" w:after="20" w:line="276" w:lineRule="auto"/>
              <w:ind w:firstLine="0"/>
            </w:pPr>
            <w:r/>
            <w:r>
              <w:rPr>
                <w:rFonts w:ascii="Times New Roman" w:hAnsi="Times New Roman" w:eastAsia="宋体"/>
                <w:b w:val="0"/>
                <w:i w:val="0"/>
                <w:sz w:val="21"/>
              </w:rPr>
              <w:t>客户分类与业务角色推导</w:t>
            </w:r>
          </w:p>
        </w:tc>
        <w:tc>
          <w:tcPr>
            <w:tcW w:type="dxa" w:w="7370"/>
          </w:tcPr>
          <w:p>
            <w:pPr>
              <w:spacing w:before="20" w:after="20" w:line="276" w:lineRule="auto"/>
              <w:ind w:firstLine="0"/>
            </w:pPr>
            <w:r/>
            <w:r>
              <w:rPr>
                <w:rFonts w:ascii="Times New Roman" w:hAnsi="Times New Roman" w:eastAsia="宋体"/>
                <w:b w:val="0"/>
                <w:i w:val="0"/>
                <w:sz w:val="21"/>
              </w:rPr>
              <w:t>上游供应商可作为供应商、不可作为采购方与仓储方；下游客户可作为采购方、不可作为供应商与仓储方；第三方物流企业不作供应商、采购方与仓储方；第三方仓储企业可作为仓储方；分类与角色冲突时提示「上游企业不能作为采购方」。</w:t>
            </w:r>
          </w:p>
        </w:tc>
      </w:tr>
      <w:tr>
        <w:tc>
          <w:tcPr>
            <w:tcW w:type="dxa" w:w="1701"/>
          </w:tcPr>
          <w:p>
            <w:pPr>
              <w:spacing w:before="20" w:after="20" w:line="276" w:lineRule="auto"/>
              <w:ind w:firstLine="0"/>
            </w:pPr>
            <w:r/>
            <w:r>
              <w:rPr>
                <w:rFonts w:ascii="Times New Roman" w:hAnsi="Times New Roman" w:eastAsia="宋体"/>
                <w:b w:val="0"/>
                <w:i w:val="0"/>
                <w:sz w:val="21"/>
              </w:rPr>
              <w:t>风险扫描结果与风险等级</w:t>
            </w:r>
          </w:p>
        </w:tc>
        <w:tc>
          <w:tcPr>
            <w:tcW w:type="dxa" w:w="7370"/>
          </w:tcPr>
          <w:p>
            <w:pPr>
              <w:spacing w:before="20" w:after="20" w:line="276" w:lineRule="auto"/>
              <w:ind w:firstLine="0"/>
            </w:pPr>
            <w:r/>
            <w:r>
              <w:rPr>
                <w:rFonts w:ascii="Times New Roman" w:hAnsi="Times New Roman" w:eastAsia="宋体"/>
                <w:b w:val="0"/>
                <w:i w:val="0"/>
                <w:sz w:val="21"/>
              </w:rPr>
              <w:t>风险等级由最近一次风险扫描推导，0 类高风险为低风险，1 类高风险为中风险，2 类及以上高风险或 3 类及以上中风险为高风险；距上次扫描超过 30 天提示「客户风险等级已过期（30 天），请重新扫描」；风险等级不再联动冻结客户状态，客户状态机中无冻结态。</w:t>
            </w:r>
          </w:p>
        </w:tc>
      </w:tr>
      <w:tr>
        <w:tc>
          <w:tcPr>
            <w:tcW w:type="dxa" w:w="1701"/>
          </w:tcPr>
          <w:p>
            <w:pPr>
              <w:spacing w:before="20" w:after="20" w:line="276" w:lineRule="auto"/>
              <w:ind w:firstLine="0"/>
            </w:pPr>
            <w:r/>
            <w:r>
              <w:rPr>
                <w:rFonts w:ascii="Times New Roman" w:hAnsi="Times New Roman" w:eastAsia="宋体"/>
                <w:b w:val="0"/>
                <w:i w:val="0"/>
                <w:sz w:val="21"/>
              </w:rPr>
              <w:t>股权关系穿透</w:t>
            </w:r>
          </w:p>
        </w:tc>
        <w:tc>
          <w:tcPr>
            <w:tcW w:type="dxa" w:w="7370"/>
          </w:tcPr>
          <w:p>
            <w:pPr>
              <w:spacing w:before="20" w:after="20" w:line="276" w:lineRule="auto"/>
              <w:ind w:firstLine="0"/>
            </w:pPr>
            <w:r/>
            <w:r>
              <w:rPr>
                <w:rFonts w:ascii="Times New Roman" w:hAnsi="Times New Roman" w:eastAsia="宋体"/>
                <w:b w:val="0"/>
                <w:i w:val="0"/>
                <w:sz w:val="21"/>
              </w:rPr>
              <w:t>股权链以汇总行加树状路径展示路径与持股比例，股东信息按工商登记口径列示；原有的股权、对外投资、疑似实控人、实控控股 4 个维度不再单列 Tab，其余维度并入风险扫描结果与贸易风控合规报告体现。</w:t>
            </w:r>
          </w:p>
        </w:tc>
      </w:tr>
      <w:tr>
        <w:tc>
          <w:tcPr>
            <w:tcW w:type="dxa" w:w="1701"/>
          </w:tcPr>
          <w:p>
            <w:pPr>
              <w:spacing w:before="20" w:after="20" w:line="276" w:lineRule="auto"/>
              <w:ind w:firstLine="0"/>
            </w:pPr>
            <w:r/>
            <w:r>
              <w:rPr>
                <w:rFonts w:ascii="Times New Roman" w:hAnsi="Times New Roman" w:eastAsia="宋体"/>
                <w:b w:val="0"/>
                <w:i w:val="0"/>
                <w:sz w:val="21"/>
              </w:rPr>
              <w:t>客户档案审核与状态流转</w:t>
            </w:r>
          </w:p>
        </w:tc>
        <w:tc>
          <w:tcPr>
            <w:tcW w:type="dxa" w:w="7370"/>
          </w:tcPr>
          <w:p>
            <w:pPr>
              <w:spacing w:before="20" w:after="20" w:line="276" w:lineRule="auto"/>
              <w:ind w:firstLine="0"/>
            </w:pPr>
            <w:r/>
            <w:r>
              <w:rPr>
                <w:rFonts w:ascii="Times New Roman" w:hAnsi="Times New Roman" w:eastAsia="宋体"/>
                <w:b w:val="0"/>
                <w:i w:val="0"/>
                <w:sz w:val="21"/>
              </w:rPr>
              <w:t>提交审核后状态由待提交变为审核中，审核通过后直接进入执行中，审核驳回后状态为驳回并可修改后重新提交，状态为待提交时可作废且作废为不可恢复终态；状态为执行中的客户才允许被合同、收发货、付款、回款、发票关联。</w:t>
            </w:r>
          </w:p>
        </w:tc>
      </w:tr>
      <w:tr>
        <w:tc>
          <w:tcPr>
            <w:tcW w:type="dxa" w:w="1701"/>
          </w:tcPr>
          <w:p>
            <w:pPr>
              <w:spacing w:before="20" w:after="20" w:line="276" w:lineRule="auto"/>
              <w:ind w:firstLine="0"/>
            </w:pPr>
            <w:r/>
            <w:r>
              <w:rPr>
                <w:rFonts w:ascii="Times New Roman" w:hAnsi="Times New Roman" w:eastAsia="宋体"/>
                <w:b w:val="0"/>
                <w:i w:val="0"/>
                <w:sz w:val="21"/>
              </w:rPr>
              <w:t>客户变更留痕</w:t>
            </w:r>
          </w:p>
        </w:tc>
        <w:tc>
          <w:tcPr>
            <w:tcW w:type="dxa" w:w="7370"/>
          </w:tcPr>
          <w:p>
            <w:pPr>
              <w:spacing w:before="20" w:after="20" w:line="276" w:lineRule="auto"/>
              <w:ind w:firstLine="0"/>
            </w:pPr>
            <w:r/>
            <w:r>
              <w:rPr>
                <w:rFonts w:ascii="Times New Roman" w:hAnsi="Times New Roman" w:eastAsia="宋体"/>
                <w:b w:val="0"/>
                <w:i w:val="0"/>
                <w:sz w:val="21"/>
              </w:rPr>
              <w:t>变更日志需记录变更前值、变更后值、变更原因、操作人与关联项目；修改客户分类会影响下游业务时先弹黄色警示「客户分类修改会影响下游业务，是否继续？」，确认后方可继续。</w:t>
            </w:r>
          </w:p>
        </w:tc>
      </w:tr>
      <w:tr>
        <w:tc>
          <w:tcPr>
            <w:tcW w:type="dxa" w:w="1701"/>
          </w:tcPr>
          <w:p>
            <w:pPr>
              <w:spacing w:before="20" w:after="20" w:line="276" w:lineRule="auto"/>
              <w:ind w:firstLine="0"/>
            </w:pPr>
            <w:r/>
            <w:r>
              <w:rPr>
                <w:rFonts w:ascii="Times New Roman" w:hAnsi="Times New Roman" w:eastAsia="宋体"/>
                <w:b w:val="0"/>
                <w:i w:val="0"/>
                <w:sz w:val="21"/>
              </w:rPr>
              <w:t>黑名单命中提示</w:t>
            </w:r>
          </w:p>
        </w:tc>
        <w:tc>
          <w:tcPr>
            <w:tcW w:type="dxa" w:w="7370"/>
          </w:tcPr>
          <w:p>
            <w:pPr>
              <w:spacing w:before="20" w:after="20" w:line="276" w:lineRule="auto"/>
              <w:ind w:firstLine="0"/>
            </w:pPr>
            <w:r/>
            <w:r>
              <w:rPr>
                <w:rFonts w:ascii="Times New Roman" w:hAnsi="Times New Roman" w:eastAsia="宋体"/>
                <w:b w:val="0"/>
                <w:i w:val="0"/>
                <w:sz w:val="21"/>
              </w:rPr>
              <w:t>命中黑名单时提示「客户 XXX 命中黑名单（合作黑名单）」，仅提示风险，不阻断合同、付款、收发货等关联业务；黑名单数据源为平台内部自建的黑灰名单与假国企央企库。</w:t>
            </w:r>
          </w:p>
        </w:tc>
      </w:tr>
    </w:tbl>
    <w:p>
      <w:pPr>
        <w:spacing w:before="0" w:after="0" w:line="240" w:lineRule="auto"/>
      </w:pPr>
    </w:p>
    <w:p>
      <w:pPr>
        <w:spacing w:before="120" w:after="60" w:line="360" w:lineRule="auto"/>
      </w:pPr>
      <w:r>
        <w:rPr>
          <w:rFonts w:ascii="Times New Roman" w:hAnsi="Times New Roman" w:eastAsia="宋体"/>
          <w:b/>
          <w:i w:val="0"/>
          <w:sz w:val="24"/>
        </w:rPr>
        <w:t>待业务方确认：</w:t>
      </w:r>
    </w:p>
    <w:p>
      <w:pPr>
        <w:spacing w:before="0" w:after="60" w:line="336" w:lineRule="auto"/>
        <w:ind w:left="340" w:firstLine="0"/>
      </w:pPr>
      <w:r>
        <w:rPr>
          <w:rFonts w:ascii="Times New Roman" w:hAnsi="Times New Roman" w:eastAsia="宋体"/>
          <w:b w:val="0"/>
          <w:i w:val="0"/>
          <w:sz w:val="24"/>
        </w:rPr>
        <w:t>· 待业务方确认：客户详情页「客户准入材料」Tab 是否纳入本期交付范围，需求口径为 6 个 Tab，当前原型页渲染 5 个 Tab</w:t>
      </w:r>
    </w:p>
    <w:p>
      <w:pPr>
        <w:spacing w:before="0" w:after="60" w:line="336" w:lineRule="auto"/>
        <w:ind w:left="340" w:firstLine="0"/>
      </w:pPr>
      <w:r>
        <w:rPr>
          <w:rFonts w:ascii="Times New Roman" w:hAnsi="Times New Roman" w:eastAsia="宋体"/>
          <w:b w:val="0"/>
          <w:i w:val="0"/>
          <w:sz w:val="24"/>
        </w:rPr>
        <w:t>· 待业务方确认：新增客户时关联项目是否强制必填，需求口径为可跳过，页面级文档记为必须关联至少 1 个项目但页面未做校验</w:t>
      </w:r>
    </w:p>
    <w:p>
      <w:pPr>
        <w:spacing w:before="0" w:after="60" w:line="336" w:lineRule="auto"/>
        <w:ind w:left="340" w:firstLine="0"/>
      </w:pPr>
      <w:r>
        <w:rPr>
          <w:rFonts w:ascii="Times New Roman" w:hAnsi="Times New Roman" w:eastAsia="宋体"/>
          <w:b w:val="0"/>
          <w:i w:val="0"/>
          <w:sz w:val="24"/>
        </w:rPr>
        <w:t>· 待业务方确认：客户详情页顶部用于识别客户的主标识采用何种形式，页面级文档记为客户编号，业务方口径已明确本模块无客户编号字段</w:t>
      </w:r>
    </w:p>
    <w:p>
      <w:pPr>
        <w:spacing w:before="0" w:after="60" w:line="336" w:lineRule="auto"/>
        <w:ind w:left="340" w:firstLine="0"/>
      </w:pPr>
      <w:r>
        <w:rPr>
          <w:rFonts w:ascii="Times New Roman" w:hAnsi="Times New Roman" w:eastAsia="宋体"/>
          <w:b w:val="0"/>
          <w:i w:val="0"/>
          <w:sz w:val="24"/>
        </w:rPr>
        <w:t>· 待业务方确认：客户详情页风险扫描结果的检查项分类数量口径，页面级文档为 8 类，准入模块口径为 6 个 Tab</w:t>
      </w:r>
    </w:p>
    <w:p>
      <w:pPr>
        <w:spacing w:before="0" w:after="60" w:line="336" w:lineRule="auto"/>
        <w:ind w:left="340" w:firstLine="0"/>
      </w:pPr>
      <w:r>
        <w:rPr>
          <w:rFonts w:ascii="Times New Roman" w:hAnsi="Times New Roman" w:eastAsia="宋体"/>
          <w:b w:val="0"/>
          <w:i w:val="0"/>
          <w:sz w:val="24"/>
        </w:rPr>
        <w:t>· 待业务方确认：黑名单关注级别中「一般关注」与「低度关注」两种叫法的统一</w:t>
      </w:r>
    </w:p>
    <w:p>
      <w:pPr>
        <w:spacing w:before="0" w:after="60" w:line="336" w:lineRule="auto"/>
        <w:ind w:left="340" w:firstLine="0"/>
      </w:pPr>
      <w:r>
        <w:rPr>
          <w:rFonts w:ascii="Times New Roman" w:hAnsi="Times New Roman" w:eastAsia="宋体"/>
          <w:b w:val="0"/>
          <w:i w:val="0"/>
          <w:sz w:val="24"/>
        </w:rPr>
        <w:t>· 待业务方确认：客户额度相关能力已由业务方整体删除，但原型仍保留额度展示页与额度 Tab，是否需要一并下线</w:t>
      </w:r>
    </w:p>
    <w:p>
      <w:r>
        <w:br w:type="page"/>
      </w:r>
    </w:p>
    <w:p>
      <w:pPr>
        <w:pStyle w:val="Heading2"/>
        <w:keepNext/>
        <w:spacing w:before="240" w:after="120" w:line="312" w:lineRule="auto"/>
        <w:ind w:firstLine="0"/>
      </w:pPr>
      <w:r>
        <w:rPr>
          <w:rFonts w:ascii="Times New Roman" w:hAnsi="Times New Roman" w:eastAsia="黑体"/>
          <w:b/>
          <w:i w:val="0"/>
          <w:sz w:val="28"/>
        </w:rPr>
        <w:t>4.3　黑名单管理</w:t>
      </w:r>
    </w:p>
    <w:p>
      <w:pPr>
        <w:spacing w:before="0" w:after="160" w:line="360" w:lineRule="auto"/>
      </w:pPr>
      <w:r>
        <w:rPr>
          <w:rFonts w:ascii="Times New Roman" w:hAnsi="Times New Roman" w:eastAsia="宋体"/>
          <w:b w:val="0"/>
          <w:i w:val="0"/>
          <w:color w:val="595959"/>
          <w:sz w:val="21"/>
        </w:rPr>
        <w:t>菜单路径：准入管理 / 黑名单管理</w:t>
      </w:r>
    </w:p>
    <w:p>
      <w:pPr>
        <w:pStyle w:val="Heading3"/>
        <w:keepNext/>
        <w:spacing w:before="160" w:after="80" w:line="312" w:lineRule="auto"/>
        <w:ind w:firstLine="0"/>
      </w:pPr>
      <w:r>
        <w:rPr>
          <w:rFonts w:ascii="Times New Roman" w:hAnsi="Times New Roman" w:eastAsia="黑体"/>
          <w:b/>
          <w:i w:val="0"/>
          <w:sz w:val="24"/>
        </w:rPr>
        <w:t>4.3.1　一页结论</w:t>
      </w:r>
    </w:p>
    <w:p>
      <w:pPr>
        <w:spacing w:before="0" w:after="120" w:line="360" w:lineRule="auto"/>
      </w:pPr>
      <w:r>
        <w:rPr>
          <w:rFonts w:ascii="Times New Roman" w:hAnsi="Times New Roman" w:eastAsia="宋体"/>
          <w:b w:val="0"/>
          <w:i w:val="0"/>
          <w:sz w:val="24"/>
        </w:rPr>
        <w:t>以平台自建黑灰名单与假国企央企库登记问题企业，为项目创建与客户尽调提供可查询、可分级、可解除的风险提示依据。</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928"/>
            <w:shd w:val="clear" w:color="auto" w:fill="DCE6F1"/>
          </w:tcPr>
          <w:p>
            <w:pPr>
              <w:spacing w:before="40" w:after="40" w:line="276" w:lineRule="auto"/>
              <w:jc w:val="center"/>
            </w:pPr>
            <w:r/>
            <w:r>
              <w:rPr>
                <w:rFonts w:ascii="Times New Roman" w:hAnsi="Times New Roman" w:eastAsia="黑体"/>
                <w:b/>
                <w:i w:val="0"/>
                <w:sz w:val="21"/>
              </w:rPr>
              <w:t>问题</w:t>
            </w:r>
          </w:p>
        </w:tc>
        <w:tc>
          <w:tcPr>
            <w:tcW w:type="dxa" w:w="3572"/>
            <w:shd w:val="clear" w:color="auto" w:fill="DCE6F1"/>
          </w:tcPr>
          <w:p>
            <w:pPr>
              <w:spacing w:before="40" w:after="40" w:line="276" w:lineRule="auto"/>
              <w:jc w:val="center"/>
            </w:pPr>
            <w:r/>
            <w:r>
              <w:rPr>
                <w:rFonts w:ascii="Times New Roman" w:hAnsi="Times New Roman" w:eastAsia="黑体"/>
                <w:b/>
                <w:i w:val="0"/>
                <w:sz w:val="21"/>
              </w:rPr>
              <w:t>当前做法</w:t>
            </w:r>
          </w:p>
        </w:tc>
        <w:tc>
          <w:tcPr>
            <w:tcW w:type="dxa" w:w="3572"/>
            <w:shd w:val="clear" w:color="auto" w:fill="DCE6F1"/>
          </w:tcPr>
          <w:p>
            <w:pPr>
              <w:spacing w:before="40" w:after="40" w:line="276" w:lineRule="auto"/>
              <w:jc w:val="center"/>
            </w:pPr>
            <w:r/>
            <w:r>
              <w:rPr>
                <w:rFonts w:ascii="Times New Roman" w:hAnsi="Times New Roman" w:eastAsia="黑体"/>
                <w:b/>
                <w:i w:val="0"/>
                <w:sz w:val="21"/>
              </w:rPr>
              <w:t>本模块解法</w:t>
            </w:r>
          </w:p>
        </w:tc>
      </w:tr>
      <w:tr>
        <w:tc>
          <w:tcPr>
            <w:tcW w:type="dxa" w:w="1928"/>
          </w:tcPr>
          <w:p>
            <w:pPr>
              <w:spacing w:before="20" w:after="20" w:line="276" w:lineRule="auto"/>
              <w:ind w:firstLine="0"/>
            </w:pPr>
            <w:r/>
            <w:r>
              <w:rPr>
                <w:rFonts w:ascii="Times New Roman" w:hAnsi="Times New Roman" w:eastAsia="宋体"/>
                <w:b w:val="0"/>
                <w:i w:val="0"/>
                <w:sz w:val="21"/>
              </w:rPr>
              <w:t>问题企业信息靠零散登记，缺少统一台账与分级口径</w:t>
            </w:r>
          </w:p>
        </w:tc>
        <w:tc>
          <w:tcPr>
            <w:tcW w:type="dxa" w:w="3572"/>
          </w:tcPr>
          <w:p>
            <w:pPr>
              <w:spacing w:before="20" w:after="20" w:line="276" w:lineRule="auto"/>
              <w:ind w:firstLine="0"/>
            </w:pPr>
            <w:r/>
            <w:r>
              <w:rPr>
                <w:rFonts w:ascii="Times New Roman" w:hAnsi="Times New Roman" w:eastAsia="宋体"/>
                <w:b w:val="0"/>
                <w:i w:val="0"/>
                <w:sz w:val="21"/>
              </w:rPr>
              <w:t>在各处零散记录，缺少可查询、可批量维护的名单视图</w:t>
            </w:r>
          </w:p>
        </w:tc>
        <w:tc>
          <w:tcPr>
            <w:tcW w:type="dxa" w:w="3572"/>
          </w:tcPr>
          <w:p>
            <w:pPr>
              <w:spacing w:before="20" w:after="20" w:line="276" w:lineRule="auto"/>
              <w:ind w:firstLine="0"/>
            </w:pPr>
            <w:r/>
            <w:r>
              <w:rPr>
                <w:rFonts w:ascii="Times New Roman" w:hAnsi="Times New Roman" w:eastAsia="宋体"/>
                <w:b w:val="0"/>
                <w:i w:val="0"/>
                <w:sz w:val="21"/>
              </w:rPr>
              <w:t>以名单列表承载企业主体、等级、原因与观察区间，支持手工新增与批量导入双通道录入</w:t>
            </w:r>
          </w:p>
        </w:tc>
      </w:tr>
      <w:tr>
        <w:tc>
          <w:tcPr>
            <w:tcW w:type="dxa" w:w="1928"/>
          </w:tcPr>
          <w:p>
            <w:pPr>
              <w:spacing w:before="20" w:after="20" w:line="276" w:lineRule="auto"/>
              <w:ind w:firstLine="0"/>
            </w:pPr>
            <w:r/>
            <w:r>
              <w:rPr>
                <w:rFonts w:ascii="Times New Roman" w:hAnsi="Times New Roman" w:eastAsia="宋体"/>
                <w:b w:val="0"/>
                <w:i w:val="0"/>
                <w:sz w:val="21"/>
              </w:rPr>
              <w:t>名单命中后的处置口径不统一，容易出现随意阻断业务</w:t>
            </w:r>
          </w:p>
        </w:tc>
        <w:tc>
          <w:tcPr>
            <w:tcW w:type="dxa" w:w="3572"/>
          </w:tcPr>
          <w:p>
            <w:pPr>
              <w:spacing w:before="20" w:after="20" w:line="276" w:lineRule="auto"/>
              <w:ind w:firstLine="0"/>
            </w:pPr>
            <w:r/>
            <w:r>
              <w:rPr>
                <w:rFonts w:ascii="Times New Roman" w:hAnsi="Times New Roman" w:eastAsia="宋体"/>
                <w:b w:val="0"/>
                <w:i w:val="0"/>
                <w:sz w:val="21"/>
              </w:rPr>
              <w:t>不同环节对同一命中的处理方式不一致</w:t>
            </w:r>
          </w:p>
        </w:tc>
        <w:tc>
          <w:tcPr>
            <w:tcW w:type="dxa" w:w="3572"/>
          </w:tcPr>
          <w:p>
            <w:pPr>
              <w:spacing w:before="20" w:after="20" w:line="276" w:lineRule="auto"/>
              <w:ind w:firstLine="0"/>
            </w:pPr>
            <w:r/>
            <w:r>
              <w:rPr>
                <w:rFonts w:ascii="Times New Roman" w:hAnsi="Times New Roman" w:eastAsia="宋体"/>
                <w:b w:val="0"/>
                <w:i w:val="0"/>
                <w:sz w:val="21"/>
              </w:rPr>
              <w:t>统一为命中仅提示风险，由业务方在尽调结论中判断，不做业务级硬拦截</w:t>
            </w:r>
          </w:p>
        </w:tc>
      </w:tr>
      <w:tr>
        <w:tc>
          <w:tcPr>
            <w:tcW w:type="dxa" w:w="1928"/>
          </w:tcPr>
          <w:p>
            <w:pPr>
              <w:spacing w:before="20" w:after="20" w:line="276" w:lineRule="auto"/>
              <w:ind w:firstLine="0"/>
            </w:pPr>
            <w:r/>
            <w:r>
              <w:rPr>
                <w:rFonts w:ascii="Times New Roman" w:hAnsi="Times New Roman" w:eastAsia="宋体"/>
                <w:b w:val="0"/>
                <w:i w:val="0"/>
                <w:sz w:val="21"/>
              </w:rPr>
              <w:t>名单解除缺少明确路径与留痕</w:t>
            </w:r>
          </w:p>
        </w:tc>
        <w:tc>
          <w:tcPr>
            <w:tcW w:type="dxa" w:w="3572"/>
          </w:tcPr>
          <w:p>
            <w:pPr>
              <w:spacing w:before="20" w:after="20" w:line="276" w:lineRule="auto"/>
              <w:ind w:firstLine="0"/>
            </w:pPr>
            <w:r/>
            <w:r>
              <w:rPr>
                <w:rFonts w:ascii="Times New Roman" w:hAnsi="Times New Roman" w:eastAsia="宋体"/>
                <w:b w:val="0"/>
                <w:i w:val="0"/>
                <w:sz w:val="21"/>
              </w:rPr>
              <w:t>解除与否依赖临时沟通，事后无据可查</w:t>
            </w:r>
          </w:p>
        </w:tc>
        <w:tc>
          <w:tcPr>
            <w:tcW w:type="dxa" w:w="3572"/>
          </w:tcPr>
          <w:p>
            <w:pPr>
              <w:spacing w:before="20" w:after="20" w:line="276" w:lineRule="auto"/>
              <w:ind w:firstLine="0"/>
            </w:pPr>
            <w:r/>
            <w:r>
              <w:rPr>
                <w:rFonts w:ascii="Times New Roman" w:hAnsi="Times New Roman" w:eastAsia="宋体"/>
                <w:b w:val="0"/>
                <w:i w:val="0"/>
                <w:sz w:val="21"/>
              </w:rPr>
              <w:t>区分需审批的申请解除与无需审批的直接解除两条路径，解除结果写入变更日志</w:t>
            </w:r>
          </w:p>
        </w:tc>
      </w:tr>
      <w:tr>
        <w:tc>
          <w:tcPr>
            <w:tcW w:type="dxa" w:w="1928"/>
          </w:tcPr>
          <w:p>
            <w:pPr>
              <w:spacing w:before="20" w:after="20" w:line="276" w:lineRule="auto"/>
              <w:ind w:firstLine="0"/>
            </w:pPr>
            <w:r/>
            <w:r>
              <w:rPr>
                <w:rFonts w:ascii="Times New Roman" w:hAnsi="Times New Roman" w:eastAsia="宋体"/>
                <w:b w:val="0"/>
                <w:i w:val="0"/>
                <w:sz w:val="21"/>
              </w:rPr>
              <w:t>批量建库时格式与体量不受控，导入容易失败</w:t>
            </w:r>
          </w:p>
        </w:tc>
        <w:tc>
          <w:tcPr>
            <w:tcW w:type="dxa" w:w="3572"/>
          </w:tcPr>
          <w:p>
            <w:pPr>
              <w:spacing w:before="20" w:after="20" w:line="276" w:lineRule="auto"/>
              <w:ind w:firstLine="0"/>
            </w:pPr>
            <w:r/>
            <w:r>
              <w:rPr>
                <w:rFonts w:ascii="Times New Roman" w:hAnsi="Times New Roman" w:eastAsia="宋体"/>
                <w:b w:val="0"/>
                <w:i w:val="0"/>
                <w:sz w:val="21"/>
              </w:rPr>
              <w:t>逐条录入效率低，文件格式混乱</w:t>
            </w:r>
          </w:p>
        </w:tc>
        <w:tc>
          <w:tcPr>
            <w:tcW w:type="dxa" w:w="3572"/>
          </w:tcPr>
          <w:p>
            <w:pPr>
              <w:spacing w:before="20" w:after="20" w:line="276" w:lineRule="auto"/>
              <w:ind w:firstLine="0"/>
            </w:pPr>
            <w:r/>
            <w:r>
              <w:rPr>
                <w:rFonts w:ascii="Times New Roman" w:hAnsi="Times New Roman" w:eastAsia="宋体"/>
                <w:b w:val="0"/>
                <w:i w:val="0"/>
                <w:sz w:val="21"/>
              </w:rPr>
              <w:t>提供按 14 字段生成的导入模板并限定扩展名与文件大小，校验通过后才允许执行导入</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4.3.2　背景与目标</w:t>
      </w:r>
    </w:p>
    <w:tbl>
      <w:tblPr>
        <w:tblStyle w:val="TableGrid"/>
        <w:tblW w:type="auto" w:w="0"/>
        <w:jc w:val="center"/>
        <w:tblLayout w:type="fixed"/>
        <w:tblLook w:firstColumn="1" w:firstRow="1" w:lastColumn="0" w:lastRow="0" w:noHBand="0" w:noVBand="1" w:val="04A0"/>
      </w:tblPr>
      <w:tblGrid>
        <w:gridCol w:w="8958"/>
      </w:tblGrid>
      <w:tr>
        <w:trPr>
          <w:tblHeader w:val="true"/>
        </w:trPr>
        <w:tc>
          <w:tcPr>
            <w:tcW w:type="dxa" w:w="9071"/>
            <w:shd w:val="clear" w:color="auto" w:fill="DCE6F1"/>
          </w:tcPr>
          <w:p>
            <w:pPr>
              <w:spacing w:before="40" w:after="40" w:line="276" w:lineRule="auto"/>
              <w:jc w:val="center"/>
            </w:pPr>
            <w:r/>
            <w:r>
              <w:rPr>
                <w:rFonts w:ascii="Times New Roman" w:hAnsi="Times New Roman" w:eastAsia="黑体"/>
                <w:b/>
                <w:i w:val="0"/>
                <w:sz w:val="21"/>
              </w:rPr>
              <w:t>目标 / 衡量口径</w:t>
            </w:r>
          </w:p>
        </w:tc>
      </w:tr>
      <w:tr>
        <w:tc>
          <w:tcPr>
            <w:tcW w:type="dxa" w:w="9071"/>
          </w:tcPr>
          <w:p>
            <w:pPr>
              <w:spacing w:before="20" w:after="20" w:line="276" w:lineRule="auto"/>
              <w:ind w:firstLine="0"/>
            </w:pPr>
            <w:r/>
            <w:r>
              <w:rPr>
                <w:rFonts w:ascii="Times New Roman" w:hAnsi="Times New Roman" w:eastAsia="宋体"/>
                <w:b w:val="0"/>
                <w:i w:val="0"/>
                <w:sz w:val="21"/>
              </w:rPr>
              <w:t>名单录入支持 14 字段表单与 CSV 批量导入双通道，单个导入文件不超过 10MB</w:t>
            </w:r>
          </w:p>
        </w:tc>
      </w:tr>
      <w:tr>
        <w:tc>
          <w:tcPr>
            <w:tcW w:type="dxa" w:w="9071"/>
          </w:tcPr>
          <w:p>
            <w:pPr>
              <w:spacing w:before="20" w:after="20" w:line="276" w:lineRule="auto"/>
              <w:ind w:firstLine="0"/>
            </w:pPr>
            <w:r/>
            <w:r>
              <w:rPr>
                <w:rFonts w:ascii="Times New Roman" w:hAnsi="Times New Roman" w:eastAsia="宋体"/>
                <w:b w:val="0"/>
                <w:i w:val="0"/>
                <w:sz w:val="21"/>
              </w:rPr>
              <w:t>名单状态覆盖已生效、解除待审批、已解除、已失效 4 态，解除结果全部留痕</w:t>
            </w:r>
          </w:p>
        </w:tc>
      </w:tr>
      <w:tr>
        <w:tc>
          <w:tcPr>
            <w:tcW w:type="dxa" w:w="9071"/>
          </w:tcPr>
          <w:p>
            <w:pPr>
              <w:spacing w:before="20" w:after="20" w:line="276" w:lineRule="auto"/>
              <w:ind w:firstLine="0"/>
            </w:pPr>
            <w:r/>
            <w:r>
              <w:rPr>
                <w:rFonts w:ascii="Times New Roman" w:hAnsi="Times New Roman" w:eastAsia="宋体"/>
                <w:b w:val="0"/>
                <w:i w:val="0"/>
                <w:sz w:val="21"/>
              </w:rPr>
              <w:t>名单命中在项目创建与企业背调环节以风险提示形式呈现，不做业务级硬拦截</w:t>
            </w:r>
          </w:p>
        </w:tc>
      </w:tr>
      <w:tr>
        <w:tc>
          <w:tcPr>
            <w:tcW w:type="dxa" w:w="9071"/>
          </w:tcPr>
          <w:p>
            <w:pPr>
              <w:spacing w:before="20" w:after="20" w:line="276" w:lineRule="auto"/>
              <w:ind w:firstLine="0"/>
            </w:pPr>
            <w:r/>
            <w:r>
              <w:rPr>
                <w:rFonts w:ascii="Times New Roman" w:hAnsi="Times New Roman" w:eastAsia="宋体"/>
                <w:b w:val="0"/>
                <w:i w:val="0"/>
                <w:sz w:val="21"/>
              </w:rPr>
              <w:t>名单等级按 4 档关注级别展示并以固定配色区分</w:t>
            </w:r>
          </w:p>
        </w:tc>
      </w:tr>
    </w:tbl>
    <w:p>
      <w:pPr>
        <w:spacing w:before="0" w:after="0" w:line="240" w:lineRule="auto"/>
      </w:pPr>
    </w:p>
    <w:p>
      <w:pPr>
        <w:spacing w:before="80" w:after="120" w:line="360" w:lineRule="auto"/>
      </w:pPr>
      <w:r>
        <w:rPr>
          <w:rFonts w:ascii="Times New Roman" w:hAnsi="Times New Roman" w:eastAsia="宋体"/>
          <w:b w:val="0"/>
          <w:i w:val="0"/>
          <w:color w:val="595959"/>
          <w:sz w:val="21"/>
        </w:rPr>
        <w:t>说明：文中口径以业务方已确认结论为准；未确认项集中列于本章末与第 5 章。</w:t>
      </w:r>
    </w:p>
    <w:p>
      <w:pPr>
        <w:pStyle w:val="Heading3"/>
        <w:keepNext/>
        <w:spacing w:before="160" w:after="80" w:line="312" w:lineRule="auto"/>
        <w:ind w:firstLine="0"/>
      </w:pPr>
      <w:r>
        <w:rPr>
          <w:rFonts w:ascii="Times New Roman" w:hAnsi="Times New Roman" w:eastAsia="黑体"/>
          <w:b/>
          <w:i w:val="0"/>
          <w:sz w:val="24"/>
        </w:rPr>
        <w:t>4.3.3　角色与用户需求</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361"/>
            <w:shd w:val="clear" w:color="auto" w:fill="DCE6F1"/>
          </w:tcPr>
          <w:p>
            <w:pPr>
              <w:spacing w:before="40" w:after="40" w:line="276" w:lineRule="auto"/>
              <w:jc w:val="center"/>
            </w:pPr>
            <w:r/>
            <w:r>
              <w:rPr>
                <w:rFonts w:ascii="Times New Roman" w:hAnsi="Times New Roman" w:eastAsia="黑体"/>
                <w:b/>
                <w:i w:val="0"/>
                <w:sz w:val="21"/>
              </w:rPr>
              <w:t>角色</w:t>
            </w:r>
          </w:p>
        </w:tc>
        <w:tc>
          <w:tcPr>
            <w:tcW w:type="dxa" w:w="1247"/>
            <w:shd w:val="clear" w:color="auto" w:fill="DCE6F1"/>
          </w:tcPr>
          <w:p>
            <w:pPr>
              <w:spacing w:before="40" w:after="40" w:line="276" w:lineRule="auto"/>
              <w:jc w:val="center"/>
            </w:pPr>
            <w:r/>
            <w:r>
              <w:rPr>
                <w:rFonts w:ascii="Times New Roman" w:hAnsi="Times New Roman" w:eastAsia="黑体"/>
                <w:b/>
                <w:i w:val="0"/>
                <w:sz w:val="21"/>
              </w:rPr>
              <w:t>所属部门</w:t>
            </w:r>
          </w:p>
        </w:tc>
        <w:tc>
          <w:tcPr>
            <w:tcW w:type="dxa" w:w="6463"/>
            <w:shd w:val="clear" w:color="auto" w:fill="DCE6F1"/>
          </w:tcPr>
          <w:p>
            <w:pPr>
              <w:spacing w:before="40" w:after="40" w:line="276" w:lineRule="auto"/>
              <w:jc w:val="center"/>
            </w:pPr>
            <w:r/>
            <w:r>
              <w:rPr>
                <w:rFonts w:ascii="Times New Roman" w:hAnsi="Times New Roman" w:eastAsia="黑体"/>
                <w:b/>
                <w:i w:val="0"/>
                <w:sz w:val="21"/>
              </w:rPr>
              <w:t>用户需求（我要…以便…）</w:t>
            </w:r>
          </w:p>
        </w:tc>
      </w:tr>
      <w:tr>
        <w:tc>
          <w:tcPr>
            <w:tcW w:type="dxa" w:w="1361"/>
          </w:tcPr>
          <w:p>
            <w:pPr>
              <w:spacing w:before="20" w:after="20" w:line="276" w:lineRule="auto"/>
              <w:ind w:firstLine="0"/>
            </w:pPr>
            <w:r/>
            <w:r>
              <w:rPr>
                <w:rFonts w:ascii="Times New Roman" w:hAnsi="Times New Roman" w:eastAsia="宋体"/>
                <w:b w:val="0"/>
                <w:i w:val="0"/>
                <w:sz w:val="21"/>
              </w:rPr>
              <w:t>风控人员</w:t>
            </w:r>
          </w:p>
        </w:tc>
        <w:tc>
          <w:tcPr>
            <w:tcW w:type="dxa" w:w="1247"/>
          </w:tcPr>
          <w:p>
            <w:pPr>
              <w:spacing w:before="20" w:after="20" w:line="276" w:lineRule="auto"/>
              <w:ind w:firstLine="0"/>
            </w:pPr>
            <w:r/>
            <w:r>
              <w:rPr>
                <w:rFonts w:ascii="Times New Roman" w:hAnsi="Times New Roman" w:eastAsia="宋体"/>
                <w:b w:val="0"/>
                <w:i w:val="0"/>
                <w:sz w:val="21"/>
              </w:rPr>
              <w:t>风控部</w:t>
            </w:r>
          </w:p>
        </w:tc>
        <w:tc>
          <w:tcPr>
            <w:tcW w:type="dxa" w:w="6463"/>
          </w:tcPr>
          <w:p>
            <w:pPr>
              <w:spacing w:before="20" w:after="20" w:line="276" w:lineRule="auto"/>
              <w:ind w:firstLine="0"/>
            </w:pPr>
            <w:r/>
            <w:r>
              <w:rPr>
                <w:rFonts w:ascii="Times New Roman" w:hAnsi="Times New Roman" w:eastAsia="宋体"/>
                <w:b w:val="0"/>
                <w:i w:val="0"/>
                <w:sz w:val="21"/>
              </w:rPr>
              <w:t>我要登记问题企业名单并批量导入，以便尽调时能识别高风险主体</w:t>
            </w:r>
          </w:p>
        </w:tc>
      </w:tr>
      <w:tr>
        <w:tc>
          <w:tcPr>
            <w:tcW w:type="dxa" w:w="1361"/>
          </w:tcPr>
          <w:p>
            <w:pPr>
              <w:spacing w:before="20" w:after="20" w:line="276" w:lineRule="auto"/>
              <w:ind w:firstLine="0"/>
            </w:pPr>
            <w:r/>
            <w:r>
              <w:rPr>
                <w:rFonts w:ascii="Times New Roman" w:hAnsi="Times New Roman" w:eastAsia="宋体"/>
                <w:b w:val="0"/>
                <w:i w:val="0"/>
                <w:sz w:val="21"/>
              </w:rPr>
              <w:t>总经办</w:t>
            </w:r>
          </w:p>
        </w:tc>
        <w:tc>
          <w:tcPr>
            <w:tcW w:type="dxa" w:w="1247"/>
          </w:tcPr>
          <w:p>
            <w:pPr>
              <w:spacing w:before="20" w:after="20" w:line="276" w:lineRule="auto"/>
              <w:ind w:firstLine="0"/>
            </w:pPr>
            <w:r/>
            <w:r>
              <w:rPr>
                <w:rFonts w:ascii="Times New Roman" w:hAnsi="Times New Roman" w:eastAsia="宋体"/>
                <w:b w:val="0"/>
                <w:i w:val="0"/>
                <w:sz w:val="21"/>
              </w:rPr>
              <w:t>总经办</w:t>
            </w:r>
          </w:p>
        </w:tc>
        <w:tc>
          <w:tcPr>
            <w:tcW w:type="dxa" w:w="6463"/>
          </w:tcPr>
          <w:p>
            <w:pPr>
              <w:spacing w:before="20" w:after="20" w:line="276" w:lineRule="auto"/>
              <w:ind w:firstLine="0"/>
            </w:pPr>
            <w:r/>
            <w:r>
              <w:rPr>
                <w:rFonts w:ascii="Times New Roman" w:hAnsi="Times New Roman" w:eastAsia="宋体"/>
                <w:b w:val="0"/>
                <w:i w:val="0"/>
                <w:sz w:val="21"/>
              </w:rPr>
              <w:t>我要审批黑名单解除申请，以便名单解控有据可依</w:t>
            </w:r>
          </w:p>
        </w:tc>
      </w:tr>
      <w:tr>
        <w:tc>
          <w:tcPr>
            <w:tcW w:type="dxa" w:w="1361"/>
          </w:tcPr>
          <w:p>
            <w:pPr>
              <w:spacing w:before="20" w:after="20" w:line="276" w:lineRule="auto"/>
              <w:ind w:firstLine="0"/>
            </w:pPr>
            <w:r/>
            <w:r>
              <w:rPr>
                <w:rFonts w:ascii="Times New Roman" w:hAnsi="Times New Roman" w:eastAsia="宋体"/>
                <w:b w:val="0"/>
                <w:i w:val="0"/>
                <w:sz w:val="21"/>
              </w:rPr>
              <w:t>业务员</w:t>
            </w:r>
          </w:p>
        </w:tc>
        <w:tc>
          <w:tcPr>
            <w:tcW w:type="dxa" w:w="1247"/>
          </w:tcPr>
          <w:p>
            <w:pPr>
              <w:spacing w:before="20" w:after="20" w:line="276" w:lineRule="auto"/>
              <w:ind w:firstLine="0"/>
            </w:pPr>
            <w:r/>
            <w:r>
              <w:rPr>
                <w:rFonts w:ascii="Times New Roman" w:hAnsi="Times New Roman" w:eastAsia="宋体"/>
                <w:b w:val="0"/>
                <w:i w:val="0"/>
                <w:sz w:val="21"/>
              </w:rPr>
              <w:t>业务部</w:t>
            </w:r>
          </w:p>
        </w:tc>
        <w:tc>
          <w:tcPr>
            <w:tcW w:type="dxa" w:w="6463"/>
          </w:tcPr>
          <w:p>
            <w:pPr>
              <w:spacing w:before="20" w:after="20" w:line="276" w:lineRule="auto"/>
              <w:ind w:firstLine="0"/>
            </w:pPr>
            <w:r/>
            <w:r>
              <w:rPr>
                <w:rFonts w:ascii="Times New Roman" w:hAnsi="Times New Roman" w:eastAsia="宋体"/>
                <w:b w:val="0"/>
                <w:i w:val="0"/>
                <w:sz w:val="21"/>
              </w:rPr>
              <w:t>我要在创建项目时看到黑名单命中提示，以便判断是否更换关联企业</w:t>
            </w:r>
          </w:p>
        </w:tc>
      </w:tr>
      <w:tr>
        <w:tc>
          <w:tcPr>
            <w:tcW w:type="dxa" w:w="1361"/>
          </w:tcPr>
          <w:p>
            <w:pPr>
              <w:spacing w:before="20" w:after="20" w:line="276" w:lineRule="auto"/>
              <w:ind w:firstLine="0"/>
            </w:pPr>
            <w:r/>
            <w:r>
              <w:rPr>
                <w:rFonts w:ascii="Times New Roman" w:hAnsi="Times New Roman" w:eastAsia="宋体"/>
                <w:b w:val="0"/>
                <w:i w:val="0"/>
                <w:sz w:val="21"/>
              </w:rPr>
              <w:t>风控部管理员</w:t>
            </w:r>
          </w:p>
        </w:tc>
        <w:tc>
          <w:tcPr>
            <w:tcW w:type="dxa" w:w="1247"/>
          </w:tcPr>
          <w:p>
            <w:pPr>
              <w:spacing w:before="20" w:after="20" w:line="276" w:lineRule="auto"/>
              <w:ind w:firstLine="0"/>
            </w:pPr>
            <w:r/>
            <w:r>
              <w:rPr>
                <w:rFonts w:ascii="Times New Roman" w:hAnsi="Times New Roman" w:eastAsia="宋体"/>
                <w:b w:val="0"/>
                <w:i w:val="0"/>
                <w:sz w:val="21"/>
              </w:rPr>
              <w:t>风控部</w:t>
            </w:r>
          </w:p>
        </w:tc>
        <w:tc>
          <w:tcPr>
            <w:tcW w:type="dxa" w:w="6463"/>
          </w:tcPr>
          <w:p>
            <w:pPr>
              <w:spacing w:before="20" w:after="20" w:line="276" w:lineRule="auto"/>
              <w:ind w:firstLine="0"/>
            </w:pPr>
            <w:r/>
            <w:r>
              <w:rPr>
                <w:rFonts w:ascii="Times New Roman" w:hAnsi="Times New Roman" w:eastAsia="宋体"/>
                <w:b w:val="0"/>
                <w:i w:val="0"/>
                <w:sz w:val="21"/>
              </w:rPr>
              <w:t>我要直接解除无需审批的名单记录，以便及时恢复被误标的企业</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4.3.4　功能结构与范围</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474"/>
            <w:shd w:val="clear" w:color="auto" w:fill="DCE6F1"/>
          </w:tcPr>
          <w:p>
            <w:pPr>
              <w:spacing w:before="40" w:after="40" w:line="276" w:lineRule="auto"/>
              <w:jc w:val="center"/>
            </w:pPr>
            <w:r/>
            <w:r>
              <w:rPr>
                <w:rFonts w:ascii="Times New Roman" w:hAnsi="Times New Roman" w:eastAsia="黑体"/>
                <w:b/>
                <w:i w:val="0"/>
                <w:sz w:val="21"/>
              </w:rPr>
              <w:t>功能</w:t>
            </w:r>
          </w:p>
        </w:tc>
        <w:tc>
          <w:tcPr>
            <w:tcW w:type="dxa" w:w="3175"/>
            <w:shd w:val="clear" w:color="auto" w:fill="DCE6F1"/>
          </w:tcPr>
          <w:p>
            <w:pPr>
              <w:spacing w:before="40" w:after="40" w:line="276" w:lineRule="auto"/>
              <w:jc w:val="center"/>
            </w:pPr>
            <w:r/>
            <w:r>
              <w:rPr>
                <w:rFonts w:ascii="Times New Roman" w:hAnsi="Times New Roman" w:eastAsia="黑体"/>
                <w:b/>
                <w:i w:val="0"/>
                <w:sz w:val="21"/>
              </w:rPr>
              <w:t>功能说明</w:t>
            </w:r>
          </w:p>
        </w:tc>
        <w:tc>
          <w:tcPr>
            <w:tcW w:type="dxa" w:w="4422"/>
            <w:shd w:val="clear" w:color="auto" w:fill="DCE6F1"/>
          </w:tcPr>
          <w:p>
            <w:pPr>
              <w:spacing w:before="40" w:after="40" w:line="276" w:lineRule="auto"/>
              <w:jc w:val="center"/>
            </w:pPr>
            <w:r/>
            <w:r>
              <w:rPr>
                <w:rFonts w:ascii="Times New Roman" w:hAnsi="Times New Roman" w:eastAsia="黑体"/>
                <w:b/>
                <w:i w:val="0"/>
                <w:sz w:val="21"/>
              </w:rPr>
              <w:t>关键规则</w:t>
            </w:r>
          </w:p>
        </w:tc>
      </w:tr>
      <w:tr>
        <w:tc>
          <w:tcPr>
            <w:tcW w:type="dxa" w:w="1474"/>
          </w:tcPr>
          <w:p>
            <w:pPr>
              <w:spacing w:before="20" w:after="20" w:line="276" w:lineRule="auto"/>
              <w:ind w:firstLine="0"/>
            </w:pPr>
            <w:r/>
            <w:r>
              <w:rPr>
                <w:rFonts w:ascii="Times New Roman" w:hAnsi="Times New Roman" w:eastAsia="宋体"/>
                <w:b w:val="0"/>
                <w:i w:val="0"/>
                <w:sz w:val="21"/>
              </w:rPr>
              <w:t>新增黑（灰）名单信息</w:t>
            </w:r>
          </w:p>
        </w:tc>
        <w:tc>
          <w:tcPr>
            <w:tcW w:type="dxa" w:w="3175"/>
          </w:tcPr>
          <w:p>
            <w:pPr>
              <w:spacing w:before="20" w:after="20" w:line="276" w:lineRule="auto"/>
              <w:ind w:firstLine="0"/>
            </w:pPr>
            <w:r/>
            <w:r>
              <w:rPr>
                <w:rFonts w:ascii="Times New Roman" w:hAnsi="Times New Roman" w:eastAsia="宋体"/>
                <w:b w:val="0"/>
                <w:i w:val="0"/>
                <w:sz w:val="21"/>
              </w:rPr>
              <w:t>在名单列表页点击「新增黑名单企业」打开登记弹窗，采集企业主体信息、名单类型、等级、列入原因、观察区间与备注附件。</w:t>
            </w:r>
          </w:p>
        </w:tc>
        <w:tc>
          <w:tcPr>
            <w:tcW w:type="dxa" w:w="4422"/>
          </w:tcPr>
          <w:p>
            <w:pPr>
              <w:spacing w:before="20" w:after="20" w:line="276" w:lineRule="auto"/>
              <w:ind w:firstLine="0"/>
            </w:pPr>
            <w:r/>
            <w:r>
              <w:rPr>
                <w:rFonts w:ascii="Times New Roman" w:hAnsi="Times New Roman" w:eastAsia="宋体"/>
                <w:b w:val="0"/>
                <w:i w:val="0"/>
                <w:sz w:val="21"/>
              </w:rPr>
              <w:t>14 个字段中 4 个必填，分别为企业名称、黑名单等级、列入黑名单原因、企业类型，任一为空时阻止提交并高亮提示；黑名单等级取值为高度关注、中度关注、一般关注，新增时不含已解除；列入黑名单原因取值为资金紧张、重大违约、欺诈、失信被执行、经营异常、其他；企业类型取值为其他、私营、国有、集体、外商独资、中外合资；统一社会信用代码为选填且限 18 位。</w:t>
            </w:r>
          </w:p>
        </w:tc>
      </w:tr>
      <w:tr>
        <w:tc>
          <w:tcPr>
            <w:tcW w:type="dxa" w:w="1474"/>
          </w:tcPr>
          <w:p>
            <w:pPr>
              <w:spacing w:before="20" w:after="20" w:line="276" w:lineRule="auto"/>
              <w:ind w:firstLine="0"/>
            </w:pPr>
            <w:r/>
            <w:r>
              <w:rPr>
                <w:rFonts w:ascii="Times New Roman" w:hAnsi="Times New Roman" w:eastAsia="宋体"/>
                <w:b w:val="0"/>
                <w:i w:val="0"/>
                <w:sz w:val="21"/>
              </w:rPr>
              <w:t>批量导入与模板下载</w:t>
            </w:r>
          </w:p>
        </w:tc>
        <w:tc>
          <w:tcPr>
            <w:tcW w:type="dxa" w:w="3175"/>
          </w:tcPr>
          <w:p>
            <w:pPr>
              <w:spacing w:before="20" w:after="20" w:line="276" w:lineRule="auto"/>
              <w:ind w:firstLine="0"/>
            </w:pPr>
            <w:r/>
            <w:r>
              <w:rPr>
                <w:rFonts w:ascii="Times New Roman" w:hAnsi="Times New Roman" w:eastAsia="宋体"/>
                <w:b w:val="0"/>
                <w:i w:val="0"/>
                <w:sz w:val="21"/>
              </w:rPr>
              <w:t>点击「批量导入」打开导入弹窗，包含模板下载区、拖拽上传区与上传结果区，模板按 14 字段生成并带示例行。</w:t>
            </w:r>
          </w:p>
        </w:tc>
        <w:tc>
          <w:tcPr>
            <w:tcW w:type="dxa" w:w="4422"/>
          </w:tcPr>
          <w:p>
            <w:pPr>
              <w:spacing w:before="20" w:after="20" w:line="276" w:lineRule="auto"/>
              <w:ind w:firstLine="0"/>
            </w:pPr>
            <w:r/>
            <w:r>
              <w:rPr>
                <w:rFonts w:ascii="Times New Roman" w:hAnsi="Times New Roman" w:eastAsia="宋体"/>
                <w:b w:val="0"/>
                <w:i w:val="0"/>
                <w:sz w:val="21"/>
              </w:rPr>
              <w:t>导入接受 xlsx、xls、csv 三种扩展名，文件大小不超过 10MB；未选择文件时「开始导入」按钮保持禁用，格式或大小校验通过后才可点击；校验失败时展示红色错误提示且按钮保持禁用；模板文件名固定为黑名单企业导入模板.csv，含 UTF-8 BOM 头以避免中文乱码。</w:t>
            </w:r>
          </w:p>
        </w:tc>
      </w:tr>
      <w:tr>
        <w:tc>
          <w:tcPr>
            <w:tcW w:type="dxa" w:w="1474"/>
          </w:tcPr>
          <w:p>
            <w:pPr>
              <w:spacing w:before="20" w:after="20" w:line="276" w:lineRule="auto"/>
              <w:ind w:firstLine="0"/>
            </w:pPr>
            <w:r/>
            <w:r>
              <w:rPr>
                <w:rFonts w:ascii="Times New Roman" w:hAnsi="Times New Roman" w:eastAsia="宋体"/>
                <w:b w:val="0"/>
                <w:i w:val="0"/>
                <w:sz w:val="21"/>
              </w:rPr>
              <w:t>名单列表查询与分级展示</w:t>
            </w:r>
          </w:p>
        </w:tc>
        <w:tc>
          <w:tcPr>
            <w:tcW w:type="dxa" w:w="3175"/>
          </w:tcPr>
          <w:p>
            <w:pPr>
              <w:spacing w:before="20" w:after="20" w:line="276" w:lineRule="auto"/>
              <w:ind w:firstLine="0"/>
            </w:pPr>
            <w:r/>
            <w:r>
              <w:rPr>
                <w:rFonts w:ascii="Times New Roman" w:hAnsi="Times New Roman" w:eastAsia="宋体"/>
                <w:b w:val="0"/>
                <w:i w:val="0"/>
                <w:sz w:val="21"/>
              </w:rPr>
              <w:t>名单列表为单一「全部」Tab，表格展示企业名称、统一社会信用代码、法定代表人、企业类型、所在地、企业性质、黑名单等级、列入黑名单原因、观察区间、是否有在途业务与操作列。</w:t>
            </w:r>
          </w:p>
        </w:tc>
        <w:tc>
          <w:tcPr>
            <w:tcW w:type="dxa" w:w="4422"/>
          </w:tcPr>
          <w:p>
            <w:pPr>
              <w:spacing w:before="20" w:after="20" w:line="276" w:lineRule="auto"/>
              <w:ind w:firstLine="0"/>
            </w:pPr>
            <w:r/>
            <w:r>
              <w:rPr>
                <w:rFonts w:ascii="Times New Roman" w:hAnsi="Times New Roman" w:eastAsia="宋体"/>
                <w:b w:val="0"/>
                <w:i w:val="0"/>
                <w:sz w:val="21"/>
              </w:rPr>
              <w:t>关注级别分 4 档并按固定配色区分，高度关注为红底、中度关注为橙底、低度关注为黄底、已解除为绿底；行操作固定为修改、解除、详情 3 项；批量删除按钮置于 Tab 行最右侧且仅在勾选行后显示，顶部同步显示已选条数。</w:t>
            </w:r>
          </w:p>
        </w:tc>
      </w:tr>
      <w:tr>
        <w:tc>
          <w:tcPr>
            <w:tcW w:type="dxa" w:w="1474"/>
          </w:tcPr>
          <w:p>
            <w:pPr>
              <w:spacing w:before="20" w:after="20" w:line="276" w:lineRule="auto"/>
              <w:ind w:firstLine="0"/>
            </w:pPr>
            <w:r/>
            <w:r>
              <w:rPr>
                <w:rFonts w:ascii="Times New Roman" w:hAnsi="Times New Roman" w:eastAsia="宋体"/>
                <w:b w:val="0"/>
                <w:i w:val="0"/>
                <w:sz w:val="21"/>
              </w:rPr>
              <w:t>名单解除（申请解除与直接解除）</w:t>
            </w:r>
          </w:p>
        </w:tc>
        <w:tc>
          <w:tcPr>
            <w:tcW w:type="dxa" w:w="3175"/>
          </w:tcPr>
          <w:p>
            <w:pPr>
              <w:spacing w:before="20" w:after="20" w:line="276" w:lineRule="auto"/>
              <w:ind w:firstLine="0"/>
            </w:pPr>
            <w:r/>
            <w:r>
              <w:rPr>
                <w:rFonts w:ascii="Times New Roman" w:hAnsi="Times New Roman" w:eastAsia="宋体"/>
                <w:b w:val="0"/>
                <w:i w:val="0"/>
                <w:sz w:val="21"/>
              </w:rPr>
              <w:t>详情页提供两条解除路径：需审批的名单由风控提交解除申请后走审批，无需审批的名单可直接解除，解除结果写入变更日志。</w:t>
            </w:r>
          </w:p>
        </w:tc>
        <w:tc>
          <w:tcPr>
            <w:tcW w:type="dxa" w:w="4422"/>
          </w:tcPr>
          <w:p>
            <w:pPr>
              <w:spacing w:before="20" w:after="20" w:line="276" w:lineRule="auto"/>
              <w:ind w:firstLine="0"/>
            </w:pPr>
            <w:r/>
            <w:r>
              <w:rPr>
                <w:rFonts w:ascii="Times New Roman" w:hAnsi="Times New Roman" w:eastAsia="宋体"/>
                <w:b w:val="0"/>
                <w:i w:val="0"/>
                <w:sz w:val="21"/>
              </w:rPr>
              <w:t>提交解除申请后名单状态由已生效变为解除待审批，审批通过变为已解除并写入变更日志，审批驳回回到已生效；无需审批的名单直接解除后状态变为已解除；带有效期的名单到期后状态自动变为已失效。</w:t>
            </w:r>
          </w:p>
        </w:tc>
      </w:tr>
      <w:tr>
        <w:tc>
          <w:tcPr>
            <w:tcW w:type="dxa" w:w="1474"/>
          </w:tcPr>
          <w:p>
            <w:pPr>
              <w:spacing w:before="20" w:after="20" w:line="276" w:lineRule="auto"/>
              <w:ind w:firstLine="0"/>
            </w:pPr>
            <w:r/>
            <w:r>
              <w:rPr>
                <w:rFonts w:ascii="Times New Roman" w:hAnsi="Times New Roman" w:eastAsia="宋体"/>
                <w:b w:val="0"/>
                <w:i w:val="0"/>
                <w:sz w:val="21"/>
              </w:rPr>
              <w:t>黑名单命中提示</w:t>
            </w:r>
          </w:p>
        </w:tc>
        <w:tc>
          <w:tcPr>
            <w:tcW w:type="dxa" w:w="3175"/>
          </w:tcPr>
          <w:p>
            <w:pPr>
              <w:spacing w:before="20" w:after="20" w:line="276" w:lineRule="auto"/>
              <w:ind w:firstLine="0"/>
            </w:pPr>
            <w:r/>
            <w:r>
              <w:rPr>
                <w:rFonts w:ascii="Times New Roman" w:hAnsi="Times New Roman" w:eastAsia="宋体"/>
                <w:b w:val="0"/>
                <w:i w:val="0"/>
                <w:sz w:val="21"/>
              </w:rPr>
              <w:t>创建项目做企业背调时查询名单数据，命中后在尽调结果中以风险提示形式展示，命中结论同时进入客户风险扫描结果。</w:t>
            </w:r>
          </w:p>
        </w:tc>
        <w:tc>
          <w:tcPr>
            <w:tcW w:type="dxa" w:w="4422"/>
          </w:tcPr>
          <w:p>
            <w:pPr>
              <w:spacing w:before="20" w:after="20" w:line="276" w:lineRule="auto"/>
              <w:ind w:firstLine="0"/>
            </w:pPr>
            <w:r/>
            <w:r>
              <w:rPr>
                <w:rFonts w:ascii="Times New Roman" w:hAnsi="Times New Roman" w:eastAsia="宋体"/>
                <w:b w:val="0"/>
                <w:i w:val="0"/>
                <w:sz w:val="21"/>
              </w:rPr>
              <w:t>命中黑名单时提示「客户 XXX 命中黑名单（合作黑名单）」，仅提示风险，不阻断合同、付款、收发货的关联业务；黑灰名单与假国企央企为平台内部自建数据，其余风险数据来自外部订阅服务。</w:t>
            </w:r>
          </w:p>
        </w:tc>
      </w:tr>
      <w:tr>
        <w:tc>
          <w:tcPr>
            <w:tcW w:type="dxa" w:w="1474"/>
          </w:tcPr>
          <w:p>
            <w:pPr>
              <w:spacing w:before="20" w:after="20" w:line="276" w:lineRule="auto"/>
              <w:ind w:firstLine="0"/>
            </w:pPr>
            <w:r/>
            <w:r>
              <w:rPr>
                <w:rFonts w:ascii="Times New Roman" w:hAnsi="Times New Roman" w:eastAsia="宋体"/>
                <w:b w:val="0"/>
                <w:i w:val="0"/>
                <w:sz w:val="21"/>
              </w:rPr>
              <w:t>名单来源与假央企标识维护</w:t>
            </w:r>
          </w:p>
        </w:tc>
        <w:tc>
          <w:tcPr>
            <w:tcW w:type="dxa" w:w="3175"/>
          </w:tcPr>
          <w:p>
            <w:pPr>
              <w:spacing w:before="20" w:after="20" w:line="276" w:lineRule="auto"/>
              <w:ind w:firstLine="0"/>
            </w:pPr>
            <w:r/>
            <w:r>
              <w:rPr>
                <w:rFonts w:ascii="Times New Roman" w:hAnsi="Times New Roman" w:eastAsia="宋体"/>
                <w:b w:val="0"/>
                <w:i w:val="0"/>
                <w:sz w:val="21"/>
              </w:rPr>
              <w:t>登记时记录名单的数据来源与是否属于假冒国企央企，支撑内部自建数据与外部数据的区分使用。</w:t>
            </w:r>
          </w:p>
        </w:tc>
        <w:tc>
          <w:tcPr>
            <w:tcW w:type="dxa" w:w="4422"/>
          </w:tcPr>
          <w:p>
            <w:pPr>
              <w:spacing w:before="20" w:after="20" w:line="276" w:lineRule="auto"/>
              <w:ind w:firstLine="0"/>
            </w:pPr>
            <w:r/>
            <w:r>
              <w:rPr>
                <w:rFonts w:ascii="Times New Roman" w:hAnsi="Times New Roman" w:eastAsia="宋体"/>
                <w:b w:val="0"/>
                <w:i w:val="0"/>
                <w:sz w:val="21"/>
              </w:rPr>
              <w:t>数据来源取值为手动录入、系统接入、第三方数据、风险预警；是否为假央企国企取值为否、是、待核实；名单类型取值为经营异常、失信被执行、重大税收违法、严重违法失信、假冒国企央企。</w:t>
            </w:r>
          </w:p>
        </w:tc>
      </w:tr>
    </w:tbl>
    <w:p>
      <w:pPr>
        <w:spacing w:before="0" w:after="0" w:line="240" w:lineRule="auto"/>
      </w:pP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tblGrid>
      <w:tr>
        <w:trPr>
          <w:tblHeader w:val="true"/>
        </w:trPr>
        <w:tc>
          <w:tcPr>
            <w:tcW w:type="dxa" w:w="1247"/>
            <w:shd w:val="clear" w:color="auto" w:fill="DCE6F1"/>
          </w:tcPr>
          <w:p>
            <w:pPr>
              <w:spacing w:before="40" w:after="40" w:line="276" w:lineRule="auto"/>
              <w:jc w:val="center"/>
            </w:pPr>
            <w:r/>
            <w:r>
              <w:rPr>
                <w:rFonts w:ascii="Times New Roman" w:hAnsi="Times New Roman" w:eastAsia="黑体"/>
                <w:b/>
                <w:i w:val="0"/>
                <w:sz w:val="19"/>
              </w:rPr>
              <w:t>页面</w:t>
            </w:r>
          </w:p>
        </w:tc>
        <w:tc>
          <w:tcPr>
            <w:tcW w:type="dxa" w:w="1474"/>
            <w:shd w:val="clear" w:color="auto" w:fill="DCE6F1"/>
          </w:tcPr>
          <w:p>
            <w:pPr>
              <w:spacing w:before="40" w:after="40" w:line="276" w:lineRule="auto"/>
              <w:jc w:val="center"/>
            </w:pPr>
            <w:r/>
            <w:r>
              <w:rPr>
                <w:rFonts w:ascii="Times New Roman" w:hAnsi="Times New Roman" w:eastAsia="黑体"/>
                <w:b/>
                <w:i w:val="0"/>
                <w:sz w:val="19"/>
              </w:rPr>
              <w:t>文件</w:t>
            </w:r>
          </w:p>
        </w:tc>
        <w:tc>
          <w:tcPr>
            <w:tcW w:type="dxa" w:w="1134"/>
            <w:shd w:val="clear" w:color="auto" w:fill="DCE6F1"/>
          </w:tcPr>
          <w:p>
            <w:pPr>
              <w:spacing w:before="40" w:after="40" w:line="276" w:lineRule="auto"/>
              <w:jc w:val="center"/>
            </w:pPr>
            <w:r/>
            <w:r>
              <w:rPr>
                <w:rFonts w:ascii="Times New Roman" w:hAnsi="Times New Roman" w:eastAsia="黑体"/>
                <w:b/>
                <w:i w:val="0"/>
                <w:sz w:val="19"/>
              </w:rPr>
              <w:t>入口</w:t>
            </w:r>
          </w:p>
        </w:tc>
        <w:tc>
          <w:tcPr>
            <w:tcW w:type="dxa" w:w="2041"/>
            <w:shd w:val="clear" w:color="auto" w:fill="DCE6F1"/>
          </w:tcPr>
          <w:p>
            <w:pPr>
              <w:spacing w:before="40" w:after="40" w:line="276" w:lineRule="auto"/>
              <w:jc w:val="center"/>
            </w:pPr>
            <w:r/>
            <w:r>
              <w:rPr>
                <w:rFonts w:ascii="Times New Roman" w:hAnsi="Times New Roman" w:eastAsia="黑体"/>
                <w:b/>
                <w:i w:val="0"/>
                <w:sz w:val="19"/>
              </w:rPr>
              <w:t>主要区块</w:t>
            </w:r>
          </w:p>
        </w:tc>
        <w:tc>
          <w:tcPr>
            <w:tcW w:type="dxa" w:w="1701"/>
            <w:shd w:val="clear" w:color="auto" w:fill="DCE6F1"/>
          </w:tcPr>
          <w:p>
            <w:pPr>
              <w:spacing w:before="40" w:after="40" w:line="276" w:lineRule="auto"/>
              <w:jc w:val="center"/>
            </w:pPr>
            <w:r/>
            <w:r>
              <w:rPr>
                <w:rFonts w:ascii="Times New Roman" w:hAnsi="Times New Roman" w:eastAsia="黑体"/>
                <w:b/>
                <w:i w:val="0"/>
                <w:sz w:val="19"/>
              </w:rPr>
              <w:t>主要操作</w:t>
            </w:r>
          </w:p>
        </w:tc>
        <w:tc>
          <w:tcPr>
            <w:tcW w:type="dxa" w:w="1474"/>
            <w:shd w:val="clear" w:color="auto" w:fill="DCE6F1"/>
          </w:tcPr>
          <w:p>
            <w:pPr>
              <w:spacing w:before="40" w:after="40" w:line="276" w:lineRule="auto"/>
              <w:jc w:val="center"/>
            </w:pPr>
            <w:r/>
            <w:r>
              <w:rPr>
                <w:rFonts w:ascii="Times New Roman" w:hAnsi="Times New Roman" w:eastAsia="黑体"/>
                <w:b/>
                <w:i w:val="0"/>
                <w:sz w:val="19"/>
              </w:rPr>
              <w:t>跳转</w:t>
            </w:r>
          </w:p>
        </w:tc>
      </w:tr>
      <w:tr>
        <w:tc>
          <w:tcPr>
            <w:tcW w:type="dxa" w:w="1247"/>
          </w:tcPr>
          <w:p>
            <w:pPr>
              <w:spacing w:before="20" w:after="20" w:line="276" w:lineRule="auto"/>
              <w:ind w:firstLine="0"/>
            </w:pPr>
            <w:r/>
            <w:r>
              <w:rPr>
                <w:rFonts w:ascii="Times New Roman" w:hAnsi="Times New Roman" w:eastAsia="宋体"/>
                <w:b w:val="0"/>
                <w:i w:val="0"/>
                <w:sz w:val="19"/>
              </w:rPr>
              <w:t>黑名单管理列表页</w:t>
            </w:r>
          </w:p>
        </w:tc>
        <w:tc>
          <w:tcPr>
            <w:tcW w:type="dxa" w:w="1474"/>
          </w:tcPr>
          <w:p>
            <w:pPr>
              <w:spacing w:before="20" w:after="20" w:line="276" w:lineRule="auto"/>
              <w:ind w:firstLine="0"/>
            </w:pPr>
            <w:r/>
            <w:r>
              <w:rPr>
                <w:rFonts w:ascii="Times New Roman" w:hAnsi="Times New Roman" w:eastAsia="宋体"/>
                <w:b w:val="0"/>
                <w:i w:val="0"/>
                <w:sz w:val="19"/>
              </w:rPr>
              <w:t>blacklist.html</w:t>
            </w:r>
          </w:p>
        </w:tc>
        <w:tc>
          <w:tcPr>
            <w:tcW w:type="dxa" w:w="1134"/>
          </w:tcPr>
          <w:p>
            <w:pPr>
              <w:spacing w:before="20" w:after="20" w:line="276" w:lineRule="auto"/>
              <w:ind w:firstLine="0"/>
            </w:pPr>
            <w:r/>
            <w:r>
              <w:rPr>
                <w:rFonts w:ascii="Times New Roman" w:hAnsi="Times New Roman" w:eastAsia="宋体"/>
                <w:b w:val="0"/>
                <w:i w:val="0"/>
                <w:sz w:val="19"/>
              </w:rPr>
              <w:t>准入管理 → 黑名单管理</w:t>
            </w:r>
          </w:p>
        </w:tc>
        <w:tc>
          <w:tcPr>
            <w:tcW w:type="dxa" w:w="2041"/>
          </w:tcPr>
          <w:p>
            <w:pPr>
              <w:spacing w:before="20" w:after="20" w:line="276" w:lineRule="auto"/>
              <w:ind w:firstLine="0"/>
            </w:pPr>
            <w:r/>
            <w:r>
              <w:rPr>
                <w:rFonts w:ascii="Times New Roman" w:hAnsi="Times New Roman" w:eastAsia="宋体"/>
                <w:b w:val="0"/>
                <w:i w:val="0"/>
                <w:sz w:val="19"/>
              </w:rPr>
              <w:t>标题区与「新增黑名单企业」「批量导入」主操作、筛选区（名单类型、企业类型等）、单一「全部」Tab、名单数据表格、分页</w:t>
            </w:r>
          </w:p>
        </w:tc>
        <w:tc>
          <w:tcPr>
            <w:tcW w:type="dxa" w:w="1701"/>
          </w:tcPr>
          <w:p>
            <w:pPr>
              <w:spacing w:before="20" w:after="20" w:line="276" w:lineRule="auto"/>
              <w:ind w:firstLine="0"/>
            </w:pPr>
            <w:r/>
            <w:r>
              <w:rPr>
                <w:rFonts w:ascii="Times New Roman" w:hAnsi="Times New Roman" w:eastAsia="宋体"/>
                <w:b w:val="0"/>
                <w:i w:val="0"/>
                <w:sz w:val="19"/>
              </w:rPr>
              <w:t>新增黑名单企业、批量导入、批量删除、修改、解除、详情、清除全部</w:t>
            </w:r>
          </w:p>
        </w:tc>
        <w:tc>
          <w:tcPr>
            <w:tcW w:type="dxa" w:w="1474"/>
          </w:tcPr>
          <w:p>
            <w:pPr>
              <w:spacing w:before="20" w:after="20" w:line="276" w:lineRule="auto"/>
              <w:ind w:firstLine="0"/>
            </w:pPr>
            <w:r/>
            <w:r>
              <w:rPr>
                <w:rFonts w:ascii="Times New Roman" w:hAnsi="Times New Roman" w:eastAsia="宋体"/>
                <w:b w:val="0"/>
                <w:i w:val="0"/>
                <w:sz w:val="19"/>
              </w:rPr>
              <w:t>新增与导入均在本页内以弹窗打开，完成后回到名单列表</w:t>
            </w:r>
          </w:p>
        </w:tc>
      </w:tr>
      <w:tr>
        <w:tc>
          <w:tcPr>
            <w:tcW w:type="dxa" w:w="1247"/>
          </w:tcPr>
          <w:p>
            <w:pPr>
              <w:spacing w:before="20" w:after="20" w:line="276" w:lineRule="auto"/>
              <w:ind w:firstLine="0"/>
            </w:pPr>
            <w:r/>
            <w:r>
              <w:rPr>
                <w:rFonts w:ascii="Times New Roman" w:hAnsi="Times New Roman" w:eastAsia="宋体"/>
                <w:b w:val="0"/>
                <w:i w:val="0"/>
                <w:sz w:val="19"/>
              </w:rPr>
              <w:t>新增黑（灰）名单信息弹窗</w:t>
            </w:r>
          </w:p>
        </w:tc>
        <w:tc>
          <w:tcPr>
            <w:tcW w:type="dxa" w:w="1474"/>
          </w:tcPr>
          <w:p>
            <w:pPr>
              <w:spacing w:before="20" w:after="20" w:line="276" w:lineRule="auto"/>
              <w:ind w:firstLine="0"/>
            </w:pPr>
            <w:r/>
            <w:r>
              <w:rPr>
                <w:rFonts w:ascii="Times New Roman" w:hAnsi="Times New Roman" w:eastAsia="宋体"/>
                <w:b w:val="0"/>
                <w:i w:val="0"/>
                <w:sz w:val="19"/>
              </w:rPr>
              <w:t>blacklist.html</w:t>
            </w:r>
          </w:p>
        </w:tc>
        <w:tc>
          <w:tcPr>
            <w:tcW w:type="dxa" w:w="1134"/>
          </w:tcPr>
          <w:p>
            <w:pPr>
              <w:spacing w:before="20" w:after="20" w:line="276" w:lineRule="auto"/>
              <w:ind w:firstLine="0"/>
            </w:pPr>
            <w:r/>
            <w:r>
              <w:rPr>
                <w:rFonts w:ascii="Times New Roman" w:hAnsi="Times New Roman" w:eastAsia="宋体"/>
                <w:b w:val="0"/>
                <w:i w:val="0"/>
                <w:sz w:val="19"/>
              </w:rPr>
              <w:t>黑名单列表页 → 新增黑名单企业</w:t>
            </w:r>
          </w:p>
        </w:tc>
        <w:tc>
          <w:tcPr>
            <w:tcW w:type="dxa" w:w="2041"/>
          </w:tcPr>
          <w:p>
            <w:pPr>
              <w:spacing w:before="20" w:after="20" w:line="276" w:lineRule="auto"/>
              <w:ind w:firstLine="0"/>
            </w:pPr>
            <w:r/>
            <w:r>
              <w:rPr>
                <w:rFonts w:ascii="Times New Roman" w:hAnsi="Times New Roman" w:eastAsia="宋体"/>
                <w:b w:val="0"/>
                <w:i w:val="0"/>
                <w:sz w:val="19"/>
              </w:rPr>
              <w:t>14 字段表单（4 列 7 行布局，备注跨 2 列）、观察区间日期选择、备注文本域、固定底部操作区</w:t>
            </w:r>
          </w:p>
        </w:tc>
        <w:tc>
          <w:tcPr>
            <w:tcW w:type="dxa" w:w="1701"/>
          </w:tcPr>
          <w:p>
            <w:pPr>
              <w:spacing w:before="20" w:after="20" w:line="276" w:lineRule="auto"/>
              <w:ind w:firstLine="0"/>
            </w:pPr>
            <w:r/>
            <w:r>
              <w:rPr>
                <w:rFonts w:ascii="Times New Roman" w:hAnsi="Times New Roman" w:eastAsia="宋体"/>
                <w:b w:val="0"/>
                <w:i w:val="0"/>
                <w:sz w:val="19"/>
              </w:rPr>
              <w:t>取消、确定</w:t>
            </w:r>
          </w:p>
        </w:tc>
        <w:tc>
          <w:tcPr>
            <w:tcW w:type="dxa" w:w="1474"/>
          </w:tcPr>
          <w:p>
            <w:pPr>
              <w:spacing w:before="20" w:after="20" w:line="276" w:lineRule="auto"/>
              <w:ind w:firstLine="0"/>
            </w:pPr>
            <w:r/>
            <w:r>
              <w:rPr>
                <w:rFonts w:ascii="Times New Roman" w:hAnsi="Times New Roman" w:eastAsia="宋体"/>
                <w:b w:val="0"/>
                <w:i w:val="0"/>
                <w:sz w:val="19"/>
              </w:rPr>
              <w:t>确定提交成功后关闭弹窗并刷新黑名单列表页</w:t>
            </w:r>
          </w:p>
        </w:tc>
      </w:tr>
      <w:tr>
        <w:tc>
          <w:tcPr>
            <w:tcW w:type="dxa" w:w="1247"/>
          </w:tcPr>
          <w:p>
            <w:pPr>
              <w:spacing w:before="20" w:after="20" w:line="276" w:lineRule="auto"/>
              <w:ind w:firstLine="0"/>
            </w:pPr>
            <w:r/>
            <w:r>
              <w:rPr>
                <w:rFonts w:ascii="Times New Roman" w:hAnsi="Times New Roman" w:eastAsia="宋体"/>
                <w:b w:val="0"/>
                <w:i w:val="0"/>
                <w:sz w:val="19"/>
              </w:rPr>
              <w:t>批量导入黑名单弹窗</w:t>
            </w:r>
          </w:p>
        </w:tc>
        <w:tc>
          <w:tcPr>
            <w:tcW w:type="dxa" w:w="1474"/>
          </w:tcPr>
          <w:p>
            <w:pPr>
              <w:spacing w:before="20" w:after="20" w:line="276" w:lineRule="auto"/>
              <w:ind w:firstLine="0"/>
            </w:pPr>
            <w:r/>
            <w:r>
              <w:rPr>
                <w:rFonts w:ascii="Times New Roman" w:hAnsi="Times New Roman" w:eastAsia="宋体"/>
                <w:b w:val="0"/>
                <w:i w:val="0"/>
                <w:sz w:val="19"/>
              </w:rPr>
              <w:t>blacklist.html</w:t>
            </w:r>
          </w:p>
        </w:tc>
        <w:tc>
          <w:tcPr>
            <w:tcW w:type="dxa" w:w="1134"/>
          </w:tcPr>
          <w:p>
            <w:pPr>
              <w:spacing w:before="20" w:after="20" w:line="276" w:lineRule="auto"/>
              <w:ind w:firstLine="0"/>
            </w:pPr>
            <w:r/>
            <w:r>
              <w:rPr>
                <w:rFonts w:ascii="Times New Roman" w:hAnsi="Times New Roman" w:eastAsia="宋体"/>
                <w:b w:val="0"/>
                <w:i w:val="0"/>
                <w:sz w:val="19"/>
              </w:rPr>
              <w:t>黑名单列表页 → 批量导入</w:t>
            </w:r>
          </w:p>
        </w:tc>
        <w:tc>
          <w:tcPr>
            <w:tcW w:type="dxa" w:w="2041"/>
          </w:tcPr>
          <w:p>
            <w:pPr>
              <w:spacing w:before="20" w:after="20" w:line="276" w:lineRule="auto"/>
              <w:ind w:firstLine="0"/>
            </w:pPr>
            <w:r/>
            <w:r>
              <w:rPr>
                <w:rFonts w:ascii="Times New Roman" w:hAnsi="Times New Roman" w:eastAsia="宋体"/>
                <w:b w:val="0"/>
                <w:i w:val="0"/>
                <w:sz w:val="19"/>
              </w:rPr>
              <w:t>模板下载区、文件拖拽上传区、上传结果展示区（成功绿底或失败红底）、固定底部操作区</w:t>
            </w:r>
          </w:p>
        </w:tc>
        <w:tc>
          <w:tcPr>
            <w:tcW w:type="dxa" w:w="1701"/>
          </w:tcPr>
          <w:p>
            <w:pPr>
              <w:spacing w:before="20" w:after="20" w:line="276" w:lineRule="auto"/>
              <w:ind w:firstLine="0"/>
            </w:pPr>
            <w:r/>
            <w:r>
              <w:rPr>
                <w:rFonts w:ascii="Times New Roman" w:hAnsi="Times New Roman" w:eastAsia="宋体"/>
                <w:b w:val="0"/>
                <w:i w:val="0"/>
                <w:sz w:val="19"/>
              </w:rPr>
              <w:t>下载模板、取消、开始导入</w:t>
            </w:r>
          </w:p>
        </w:tc>
        <w:tc>
          <w:tcPr>
            <w:tcW w:type="dxa" w:w="1474"/>
          </w:tcPr>
          <w:p>
            <w:pPr>
              <w:spacing w:before="20" w:after="20" w:line="276" w:lineRule="auto"/>
              <w:ind w:firstLine="0"/>
            </w:pPr>
            <w:r/>
            <w:r>
              <w:rPr>
                <w:rFonts w:ascii="Times New Roman" w:hAnsi="Times New Roman" w:eastAsia="宋体"/>
                <w:b w:val="0"/>
                <w:i w:val="0"/>
                <w:sz w:val="19"/>
              </w:rPr>
              <w:t>导入完成后关闭弹窗并刷新黑名单列表页</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4.3.5　数据关系</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474"/>
            <w:shd w:val="clear" w:color="auto" w:fill="DCE6F1"/>
          </w:tcPr>
          <w:p>
            <w:pPr>
              <w:spacing w:before="40" w:after="40" w:line="276" w:lineRule="auto"/>
              <w:jc w:val="center"/>
            </w:pPr>
            <w:r/>
            <w:r>
              <w:rPr>
                <w:rFonts w:ascii="Times New Roman" w:hAnsi="Times New Roman" w:eastAsia="黑体"/>
                <w:b/>
                <w:i w:val="0"/>
                <w:sz w:val="21"/>
              </w:rPr>
              <w:t>业务对象</w:t>
            </w:r>
          </w:p>
        </w:tc>
        <w:tc>
          <w:tcPr>
            <w:tcW w:type="dxa" w:w="4195"/>
            <w:shd w:val="clear" w:color="auto" w:fill="DCE6F1"/>
          </w:tcPr>
          <w:p>
            <w:pPr>
              <w:spacing w:before="40" w:after="40" w:line="276" w:lineRule="auto"/>
              <w:jc w:val="center"/>
            </w:pPr>
            <w:r/>
            <w:r>
              <w:rPr>
                <w:rFonts w:ascii="Times New Roman" w:hAnsi="Times New Roman" w:eastAsia="黑体"/>
                <w:b/>
                <w:i w:val="0"/>
                <w:sz w:val="21"/>
              </w:rPr>
              <w:t>关键字段与口径</w:t>
            </w:r>
          </w:p>
        </w:tc>
        <w:tc>
          <w:tcPr>
            <w:tcW w:type="dxa" w:w="3402"/>
            <w:shd w:val="clear" w:color="auto" w:fill="DCE6F1"/>
          </w:tcPr>
          <w:p>
            <w:pPr>
              <w:spacing w:before="40" w:after="40" w:line="276" w:lineRule="auto"/>
              <w:jc w:val="center"/>
            </w:pPr>
            <w:r/>
            <w:r>
              <w:rPr>
                <w:rFonts w:ascii="Times New Roman" w:hAnsi="Times New Roman" w:eastAsia="黑体"/>
                <w:b/>
                <w:i w:val="0"/>
                <w:sz w:val="21"/>
              </w:rPr>
              <w:t>与其他对象的关系</w:t>
            </w:r>
          </w:p>
        </w:tc>
      </w:tr>
      <w:tr>
        <w:tc>
          <w:tcPr>
            <w:tcW w:type="dxa" w:w="1474"/>
          </w:tcPr>
          <w:p>
            <w:pPr>
              <w:spacing w:before="20" w:after="20" w:line="276" w:lineRule="auto"/>
              <w:ind w:firstLine="0"/>
            </w:pPr>
            <w:r/>
            <w:r>
              <w:rPr>
                <w:rFonts w:ascii="Times New Roman" w:hAnsi="Times New Roman" w:eastAsia="宋体"/>
                <w:b w:val="0"/>
                <w:i w:val="0"/>
                <w:sz w:val="21"/>
              </w:rPr>
              <w:t>黑（灰）名单记录</w:t>
            </w:r>
          </w:p>
        </w:tc>
        <w:tc>
          <w:tcPr>
            <w:tcW w:type="dxa" w:w="4195"/>
          </w:tcPr>
          <w:p>
            <w:pPr>
              <w:spacing w:before="20" w:after="20" w:line="276" w:lineRule="auto"/>
              <w:ind w:firstLine="0"/>
            </w:pPr>
            <w:r/>
            <w:r>
              <w:rPr>
                <w:rFonts w:ascii="Times New Roman" w:hAnsi="Times New Roman" w:eastAsia="宋体"/>
                <w:b w:val="0"/>
                <w:i w:val="0"/>
                <w:sz w:val="21"/>
              </w:rPr>
              <w:t>企业名称：必填</w:t>
            </w:r>
            <w:r>
              <w:br/>
            </w:r>
            <w:r>
              <w:rPr>
                <w:rFonts w:ascii="Times New Roman" w:hAnsi="Times New Roman" w:eastAsia="宋体"/>
                <w:b w:val="0"/>
                <w:i w:val="0"/>
                <w:sz w:val="21"/>
              </w:rPr>
              <w:t>黑名单等级：必填，高度关注、中度关注、一般关注</w:t>
            </w:r>
            <w:r>
              <w:br/>
            </w:r>
            <w:r>
              <w:rPr>
                <w:rFonts w:ascii="Times New Roman" w:hAnsi="Times New Roman" w:eastAsia="宋体"/>
                <w:b w:val="0"/>
                <w:i w:val="0"/>
                <w:sz w:val="21"/>
              </w:rPr>
              <w:t>列入黑名单原因：必填，资金紧张、重大违约、欺诈、失信被执行、经营异常、其他</w:t>
            </w:r>
            <w:r>
              <w:br/>
            </w:r>
            <w:r>
              <w:rPr>
                <w:rFonts w:ascii="Times New Roman" w:hAnsi="Times New Roman" w:eastAsia="宋体"/>
                <w:b w:val="0"/>
                <w:i w:val="0"/>
                <w:sz w:val="21"/>
              </w:rPr>
              <w:t>企业类型：必填，其他、私营、国有、集体、外商独资、中外合资</w:t>
            </w:r>
            <w:r>
              <w:br/>
            </w:r>
            <w:r>
              <w:rPr>
                <w:rFonts w:ascii="Times New Roman" w:hAnsi="Times New Roman" w:eastAsia="宋体"/>
                <w:b w:val="0"/>
                <w:i w:val="0"/>
                <w:sz w:val="21"/>
              </w:rPr>
              <w:t>统一社会信用代码：选填，18 位</w:t>
            </w:r>
            <w:r>
              <w:br/>
            </w:r>
            <w:r>
              <w:rPr>
                <w:rFonts w:ascii="Times New Roman" w:hAnsi="Times New Roman" w:eastAsia="宋体"/>
                <w:b w:val="0"/>
                <w:i w:val="0"/>
                <w:sz w:val="21"/>
              </w:rPr>
              <w:t>法定代表人：选填</w:t>
            </w:r>
            <w:r>
              <w:br/>
            </w:r>
            <w:r>
              <w:rPr>
                <w:rFonts w:ascii="Times New Roman" w:hAnsi="Times New Roman" w:eastAsia="宋体"/>
                <w:b w:val="0"/>
                <w:i w:val="0"/>
                <w:sz w:val="21"/>
              </w:rPr>
              <w:t>所在地：选填，省、市、区三段式</w:t>
            </w:r>
            <w:r>
              <w:br/>
            </w:r>
            <w:r>
              <w:rPr>
                <w:rFonts w:ascii="Times New Roman" w:hAnsi="Times New Roman" w:eastAsia="宋体"/>
                <w:b w:val="0"/>
                <w:i w:val="0"/>
                <w:sz w:val="21"/>
              </w:rPr>
              <w:t>名单类型：选填，经营异常、失信被执行、重大税收违法、严重违法失信、假冒国企央企</w:t>
            </w:r>
            <w:r>
              <w:br/>
            </w:r>
            <w:r>
              <w:rPr>
                <w:rFonts w:ascii="Times New Roman" w:hAnsi="Times New Roman" w:eastAsia="宋体"/>
                <w:b w:val="0"/>
                <w:i w:val="0"/>
                <w:sz w:val="21"/>
              </w:rPr>
              <w:t>企业性质：选填，私营、国有、集体、外商独资、中外合资、其他</w:t>
            </w:r>
            <w:r>
              <w:br/>
            </w:r>
            <w:r>
              <w:rPr>
                <w:rFonts w:ascii="Times New Roman" w:hAnsi="Times New Roman" w:eastAsia="宋体"/>
                <w:b w:val="0"/>
                <w:i w:val="0"/>
                <w:sz w:val="21"/>
              </w:rPr>
              <w:t>是否有在途业务：选填，是、否</w:t>
            </w:r>
            <w:r>
              <w:br/>
            </w:r>
            <w:r>
              <w:rPr>
                <w:rFonts w:ascii="Times New Roman" w:hAnsi="Times New Roman" w:eastAsia="宋体"/>
                <w:b w:val="0"/>
                <w:i w:val="0"/>
                <w:sz w:val="21"/>
              </w:rPr>
              <w:t>数据来源：选填，手动录入、系统接入、第三方数据、风险预警</w:t>
            </w:r>
            <w:r>
              <w:br/>
            </w:r>
            <w:r>
              <w:rPr>
                <w:rFonts w:ascii="Times New Roman" w:hAnsi="Times New Roman" w:eastAsia="宋体"/>
                <w:b w:val="0"/>
                <w:i w:val="0"/>
                <w:sz w:val="21"/>
              </w:rPr>
              <w:t>观察区间：选填，开始日期至结束日期</w:t>
            </w:r>
            <w:r>
              <w:br/>
            </w:r>
            <w:r>
              <w:rPr>
                <w:rFonts w:ascii="Times New Roman" w:hAnsi="Times New Roman" w:eastAsia="宋体"/>
                <w:b w:val="0"/>
                <w:i w:val="0"/>
                <w:sz w:val="21"/>
              </w:rPr>
              <w:t>备注与附件：选填</w:t>
            </w:r>
            <w:r>
              <w:br/>
            </w:r>
            <w:r>
              <w:rPr>
                <w:rFonts w:ascii="Times New Roman" w:hAnsi="Times New Roman" w:eastAsia="宋体"/>
                <w:b w:val="0"/>
                <w:i w:val="0"/>
                <w:sz w:val="21"/>
              </w:rPr>
              <w:t>是否为假央企国企：选填，否、是、待核实</w:t>
            </w:r>
            <w:r>
              <w:br/>
            </w:r>
            <w:r>
              <w:rPr>
                <w:rFonts w:ascii="Times New Roman" w:hAnsi="Times New Roman" w:eastAsia="宋体"/>
                <w:b w:val="0"/>
                <w:i w:val="0"/>
                <w:sz w:val="21"/>
              </w:rPr>
              <w:t>状态：已生效、解除待审批、已解除、已失效</w:t>
            </w:r>
          </w:p>
        </w:tc>
        <w:tc>
          <w:tcPr>
            <w:tcW w:type="dxa" w:w="3402"/>
          </w:tcPr>
          <w:p>
            <w:pPr>
              <w:spacing w:before="20" w:after="20" w:line="276" w:lineRule="auto"/>
              <w:ind w:firstLine="0"/>
            </w:pPr>
            <w:r/>
            <w:r>
              <w:rPr>
                <w:rFonts w:ascii="Times New Roman" w:hAnsi="Times New Roman" w:eastAsia="宋体"/>
                <w:b w:val="0"/>
                <w:i w:val="0"/>
                <w:sz w:val="21"/>
              </w:rPr>
              <w:t>被项目尽调与客户档案查询命中；命中结果以风险提示形式返回给业务，不做业务级拦截</w:t>
            </w:r>
          </w:p>
        </w:tc>
      </w:tr>
      <w:tr>
        <w:tc>
          <w:tcPr>
            <w:tcW w:type="dxa" w:w="1474"/>
          </w:tcPr>
          <w:p>
            <w:pPr>
              <w:spacing w:before="20" w:after="20" w:line="276" w:lineRule="auto"/>
              <w:ind w:firstLine="0"/>
            </w:pPr>
            <w:r/>
            <w:r>
              <w:rPr>
                <w:rFonts w:ascii="Times New Roman" w:hAnsi="Times New Roman" w:eastAsia="宋体"/>
                <w:b w:val="0"/>
                <w:i w:val="0"/>
                <w:sz w:val="21"/>
              </w:rPr>
              <w:t>名单关注级别</w:t>
            </w:r>
          </w:p>
        </w:tc>
        <w:tc>
          <w:tcPr>
            <w:tcW w:type="dxa" w:w="4195"/>
          </w:tcPr>
          <w:p>
            <w:pPr>
              <w:spacing w:before="20" w:after="20" w:line="276" w:lineRule="auto"/>
              <w:ind w:firstLine="0"/>
            </w:pPr>
            <w:r/>
            <w:r>
              <w:rPr>
                <w:rFonts w:ascii="Times New Roman" w:hAnsi="Times New Roman" w:eastAsia="宋体"/>
                <w:b w:val="0"/>
                <w:i w:val="0"/>
                <w:sz w:val="21"/>
              </w:rPr>
              <w:t>级别：高度关注、中度关注、低度关注、已解除</w:t>
            </w:r>
            <w:r>
              <w:br/>
            </w:r>
            <w:r>
              <w:rPr>
                <w:rFonts w:ascii="Times New Roman" w:hAnsi="Times New Roman" w:eastAsia="宋体"/>
                <w:b w:val="0"/>
                <w:i w:val="0"/>
                <w:sz w:val="21"/>
              </w:rPr>
              <w:t>配色：高度关注红底、中度关注橙底、低度关注黄底、已解除绿底</w:t>
            </w:r>
          </w:p>
        </w:tc>
        <w:tc>
          <w:tcPr>
            <w:tcW w:type="dxa" w:w="3402"/>
          </w:tcPr>
          <w:p>
            <w:pPr>
              <w:spacing w:before="20" w:after="20" w:line="276" w:lineRule="auto"/>
              <w:ind w:firstLine="0"/>
            </w:pPr>
            <w:r/>
            <w:r>
              <w:rPr>
                <w:rFonts w:ascii="Times New Roman" w:hAnsi="Times New Roman" w:eastAsia="宋体"/>
                <w:b w:val="0"/>
                <w:i w:val="0"/>
                <w:sz w:val="21"/>
              </w:rPr>
              <w:t>作为名单记录的展示分级，决定列表中等级标签的呈现样式</w:t>
            </w:r>
          </w:p>
        </w:tc>
      </w:tr>
      <w:tr>
        <w:tc>
          <w:tcPr>
            <w:tcW w:type="dxa" w:w="1474"/>
          </w:tcPr>
          <w:p>
            <w:pPr>
              <w:spacing w:before="20" w:after="20" w:line="276" w:lineRule="auto"/>
              <w:ind w:firstLine="0"/>
            </w:pPr>
            <w:r/>
            <w:r>
              <w:rPr>
                <w:rFonts w:ascii="Times New Roman" w:hAnsi="Times New Roman" w:eastAsia="宋体"/>
                <w:b w:val="0"/>
                <w:i w:val="0"/>
                <w:sz w:val="21"/>
              </w:rPr>
              <w:t>名单变更日志</w:t>
            </w:r>
          </w:p>
        </w:tc>
        <w:tc>
          <w:tcPr>
            <w:tcW w:type="dxa" w:w="4195"/>
          </w:tcPr>
          <w:p>
            <w:pPr>
              <w:spacing w:before="20" w:after="20" w:line="276" w:lineRule="auto"/>
              <w:ind w:firstLine="0"/>
            </w:pPr>
            <w:r/>
            <w:r>
              <w:rPr>
                <w:rFonts w:ascii="Times New Roman" w:hAnsi="Times New Roman" w:eastAsia="宋体"/>
                <w:b w:val="0"/>
                <w:i w:val="0"/>
                <w:sz w:val="21"/>
              </w:rPr>
              <w:t>变更类型：黑名单变更</w:t>
            </w:r>
            <w:r>
              <w:br/>
            </w:r>
            <w:r>
              <w:rPr>
                <w:rFonts w:ascii="Times New Roman" w:hAnsi="Times New Roman" w:eastAsia="宋体"/>
                <w:b w:val="0"/>
                <w:i w:val="0"/>
                <w:sz w:val="21"/>
              </w:rPr>
              <w:t>记录内容：解除、等级调整等操作的前后值、原因、操作人、关联项目</w:t>
            </w:r>
          </w:p>
        </w:tc>
        <w:tc>
          <w:tcPr>
            <w:tcW w:type="dxa" w:w="3402"/>
          </w:tcPr>
          <w:p>
            <w:pPr>
              <w:spacing w:before="20" w:after="20" w:line="276" w:lineRule="auto"/>
              <w:ind w:firstLine="0"/>
            </w:pPr>
            <w:r/>
            <w:r>
              <w:rPr>
                <w:rFonts w:ascii="Times New Roman" w:hAnsi="Times New Roman" w:eastAsia="宋体"/>
                <w:b w:val="0"/>
                <w:i w:val="0"/>
                <w:sz w:val="21"/>
              </w:rPr>
              <w:t>名单解除与等级调整写入客户变更日志，供客户档案的变更历史统一追溯</w:t>
            </w:r>
          </w:p>
        </w:tc>
      </w:tr>
      <w:tr>
        <w:tc>
          <w:tcPr>
            <w:tcW w:type="dxa" w:w="1474"/>
          </w:tcPr>
          <w:p>
            <w:pPr>
              <w:spacing w:before="20" w:after="20" w:line="276" w:lineRule="auto"/>
              <w:ind w:firstLine="0"/>
            </w:pPr>
            <w:r/>
            <w:r>
              <w:rPr>
                <w:rFonts w:ascii="Times New Roman" w:hAnsi="Times New Roman" w:eastAsia="宋体"/>
                <w:b w:val="0"/>
                <w:i w:val="0"/>
                <w:sz w:val="21"/>
              </w:rPr>
              <w:t>名单导入文件</w:t>
            </w:r>
          </w:p>
        </w:tc>
        <w:tc>
          <w:tcPr>
            <w:tcW w:type="dxa" w:w="4195"/>
          </w:tcPr>
          <w:p>
            <w:pPr>
              <w:spacing w:before="20" w:after="20" w:line="276" w:lineRule="auto"/>
              <w:ind w:firstLine="0"/>
            </w:pPr>
            <w:r/>
            <w:r>
              <w:rPr>
                <w:rFonts w:ascii="Times New Roman" w:hAnsi="Times New Roman" w:eastAsia="宋体"/>
                <w:b w:val="0"/>
                <w:i w:val="0"/>
                <w:sz w:val="21"/>
              </w:rPr>
              <w:t>允许扩展名：xlsx、xls、csv</w:t>
            </w:r>
            <w:r>
              <w:br/>
            </w:r>
            <w:r>
              <w:rPr>
                <w:rFonts w:ascii="Times New Roman" w:hAnsi="Times New Roman" w:eastAsia="宋体"/>
                <w:b w:val="0"/>
                <w:i w:val="0"/>
                <w:sz w:val="21"/>
              </w:rPr>
              <w:t>文件大小上限：10MB</w:t>
            </w:r>
            <w:r>
              <w:br/>
            </w:r>
            <w:r>
              <w:rPr>
                <w:rFonts w:ascii="Times New Roman" w:hAnsi="Times New Roman" w:eastAsia="宋体"/>
                <w:b w:val="0"/>
                <w:i w:val="0"/>
                <w:sz w:val="21"/>
              </w:rPr>
              <w:t>模板列：14 个字段名，含 1 行脱敏示例数据</w:t>
            </w:r>
          </w:p>
        </w:tc>
        <w:tc>
          <w:tcPr>
            <w:tcW w:type="dxa" w:w="3402"/>
          </w:tcPr>
          <w:p>
            <w:pPr>
              <w:spacing w:before="20" w:after="20" w:line="276" w:lineRule="auto"/>
              <w:ind w:firstLine="0"/>
            </w:pPr>
            <w:r/>
            <w:r>
              <w:rPr>
                <w:rFonts w:ascii="Times New Roman" w:hAnsi="Times New Roman" w:eastAsia="宋体"/>
                <w:b w:val="0"/>
                <w:i w:val="0"/>
                <w:sz w:val="21"/>
              </w:rPr>
              <w:t>导入文件按模板列映射为名单记录，导入结果以成功或失败分色展示</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4.3.6　角色权限与数据权限</w:t>
      </w:r>
    </w:p>
    <w:p>
      <w:pPr>
        <w:spacing w:before="0" w:after="120" w:line="360" w:lineRule="auto"/>
      </w:pPr>
      <w:r>
        <w:rPr>
          <w:rFonts w:ascii="Times New Roman" w:hAnsi="Times New Roman" w:eastAsia="宋体"/>
          <w:b w:val="0"/>
          <w:i w:val="0"/>
          <w:sz w:val="24"/>
        </w:rPr>
        <w:t>本期为系统全量权限（业务方裁决 D17）；下表角色为典型使用角色，非权限分级。模块内保留操作归属的说明性规则：名单新增与批量导入由风控部发起，解除申请由风控部提交、总经办审批，无需审批的名单可直接解除，名单行操作固定为修改、解除、详情。</w:t>
      </w:r>
    </w:p>
    <w:p>
      <w:pPr>
        <w:spacing w:before="0" w:after="80" w:line="360" w:lineRule="auto"/>
      </w:pPr>
      <w:r>
        <w:rPr>
          <w:rFonts w:ascii="Times New Roman" w:hAnsi="Times New Roman" w:eastAsia="宋体"/>
          <w:b w:val="0"/>
          <w:i w:val="0"/>
          <w:sz w:val="24"/>
        </w:rPr>
        <w:t>数据可见性：按单据归属与业务筛选查看；手机号、统一社会信用代码等敏感字段默认打码，手动点击查看完整值且查看行为留痕。</w:t>
      </w:r>
    </w:p>
    <w:p>
      <w:pPr>
        <w:pStyle w:val="Heading3"/>
        <w:keepNext/>
        <w:spacing w:before="160" w:after="80" w:line="312" w:lineRule="auto"/>
        <w:ind w:firstLine="0"/>
      </w:pPr>
      <w:r>
        <w:rPr>
          <w:rFonts w:ascii="Times New Roman" w:hAnsi="Times New Roman" w:eastAsia="黑体"/>
          <w:b/>
          <w:i w:val="0"/>
          <w:sz w:val="24"/>
        </w:rPr>
        <w:t>4.3.7　业务流程与页面</w:t>
      </w:r>
    </w:p>
    <w:p>
      <w:pPr>
        <w:spacing w:before="120" w:after="60"/>
        <w:ind w:firstLine="0"/>
        <w:jc w:val="center"/>
      </w:pPr>
      <w:r>
        <w:drawing>
          <wp:inline xmlns:a="http://schemas.openxmlformats.org/drawingml/2006/main" xmlns:pic="http://schemas.openxmlformats.org/drawingml/2006/picture">
            <wp:extent cx="5616000" cy="2065655"/>
            <wp:docPr id="5" name="Picture 5"/>
            <wp:cNvGraphicFramePr>
              <a:graphicFrameLocks noChangeAspect="1"/>
            </wp:cNvGraphicFramePr>
            <a:graphic>
              <a:graphicData uri="http://schemas.openxmlformats.org/drawingml/2006/picture">
                <pic:pic>
                  <pic:nvPicPr>
                    <pic:cNvPr id="0" name="mermaid-blacklist.png"/>
                    <pic:cNvPicPr/>
                  </pic:nvPicPr>
                  <pic:blipFill>
                    <a:blip r:embed="rId15"/>
                    <a:stretch>
                      <a:fillRect/>
                    </a:stretch>
                  </pic:blipFill>
                  <pic:spPr>
                    <a:xfrm>
                      <a:off x="0" y="0"/>
                      <a:ext cx="5616000" cy="2065655"/>
                    </a:xfrm>
                    <a:prstGeom prst="rect"/>
                  </pic:spPr>
                </pic:pic>
              </a:graphicData>
            </a:graphic>
          </wp:inline>
        </w:drawing>
      </w:r>
    </w:p>
    <w:p>
      <w:pPr>
        <w:spacing w:before="0" w:after="200" w:line="240" w:lineRule="auto"/>
        <w:ind w:firstLine="0"/>
        <w:jc w:val="center"/>
      </w:pPr>
      <w:r>
        <w:rPr>
          <w:rFonts w:ascii="Times New Roman" w:hAnsi="Times New Roman" w:eastAsia="宋体"/>
          <w:b w:val="0"/>
          <w:i w:val="0"/>
          <w:sz w:val="21"/>
        </w:rPr>
        <w:t>图 4-3-1　黑名单管理 主业务流程</w:t>
      </w:r>
    </w:p>
    <w:p>
      <w:pPr>
        <w:spacing w:before="0" w:after="60" w:line="360" w:lineRule="auto"/>
      </w:pPr>
      <w:r>
        <w:rPr>
          <w:rFonts w:ascii="Times New Roman" w:hAnsi="Times New Roman" w:eastAsia="宋体"/>
          <w:b/>
          <w:i w:val="0"/>
          <w:sz w:val="24"/>
        </w:rPr>
        <w:t>主流程步骤：</w:t>
      </w:r>
    </w:p>
    <w:p>
      <w:pPr>
        <w:spacing w:before="0" w:after="60" w:line="336" w:lineRule="auto"/>
        <w:ind w:left="510" w:hanging="510"/>
      </w:pPr>
      <w:r>
        <w:rPr>
          <w:rFonts w:ascii="Times New Roman" w:hAnsi="Times New Roman" w:eastAsia="宋体"/>
          <w:b w:val="0"/>
          <w:i w:val="0"/>
          <w:sz w:val="24"/>
        </w:rPr>
        <w:t>1. 风控人员在名单列表页点击「新增黑名单企业」打开登记弹窗</w:t>
      </w:r>
    </w:p>
    <w:p>
      <w:pPr>
        <w:spacing w:before="0" w:after="60" w:line="336" w:lineRule="auto"/>
        <w:ind w:left="510" w:hanging="510"/>
      </w:pPr>
      <w:r>
        <w:rPr>
          <w:rFonts w:ascii="Times New Roman" w:hAnsi="Times New Roman" w:eastAsia="宋体"/>
          <w:b w:val="0"/>
          <w:i w:val="0"/>
          <w:sz w:val="24"/>
        </w:rPr>
        <w:t>2. 填写企业名称、黑名单等级、列入黑名单原因、企业类型 4 项必填及其余选填项</w:t>
      </w:r>
    </w:p>
    <w:p>
      <w:pPr>
        <w:spacing w:before="0" w:after="60" w:line="336" w:lineRule="auto"/>
        <w:ind w:left="510" w:hanging="510"/>
      </w:pPr>
      <w:r>
        <w:rPr>
          <w:rFonts w:ascii="Times New Roman" w:hAnsi="Times New Roman" w:eastAsia="宋体"/>
          <w:b w:val="0"/>
          <w:i w:val="0"/>
          <w:sz w:val="24"/>
        </w:rPr>
        <w:t>3. 提交成功后名单记录生效，状态为已生效，列表刷新</w:t>
      </w:r>
    </w:p>
    <w:p>
      <w:pPr>
        <w:spacing w:before="0" w:after="60" w:line="336" w:lineRule="auto"/>
        <w:ind w:left="510" w:hanging="510"/>
      </w:pPr>
      <w:r>
        <w:rPr>
          <w:rFonts w:ascii="Times New Roman" w:hAnsi="Times New Roman" w:eastAsia="宋体"/>
          <w:b w:val="0"/>
          <w:i w:val="0"/>
          <w:sz w:val="24"/>
        </w:rPr>
        <w:t>4. 需要批量建库时点击「批量导入」下载 CSV 模板并上传文件</w:t>
      </w:r>
    </w:p>
    <w:p>
      <w:pPr>
        <w:spacing w:before="0" w:after="60" w:line="336" w:lineRule="auto"/>
        <w:ind w:left="510" w:hanging="510"/>
      </w:pPr>
      <w:r>
        <w:rPr>
          <w:rFonts w:ascii="Times New Roman" w:hAnsi="Times New Roman" w:eastAsia="宋体"/>
          <w:b w:val="0"/>
          <w:i w:val="0"/>
          <w:sz w:val="24"/>
        </w:rPr>
        <w:t>5. 文件格式与大小校验通过后执行导入，列表刷新并展示导入结果</w:t>
      </w:r>
    </w:p>
    <w:p>
      <w:pPr>
        <w:spacing w:before="0" w:after="60" w:line="336" w:lineRule="auto"/>
        <w:ind w:left="510" w:hanging="510"/>
      </w:pPr>
      <w:r>
        <w:rPr>
          <w:rFonts w:ascii="Times New Roman" w:hAnsi="Times New Roman" w:eastAsia="宋体"/>
          <w:b w:val="0"/>
          <w:i w:val="0"/>
          <w:sz w:val="24"/>
        </w:rPr>
        <w:t>6. 创建项目做企业背调时系统查询名单数据，命中则以风险提示形式展示</w:t>
      </w:r>
    </w:p>
    <w:p>
      <w:pPr>
        <w:spacing w:before="0" w:after="60" w:line="336" w:lineRule="auto"/>
        <w:ind w:left="510" w:hanging="510"/>
      </w:pPr>
      <w:r>
        <w:rPr>
          <w:rFonts w:ascii="Times New Roman" w:hAnsi="Times New Roman" w:eastAsia="宋体"/>
          <w:b w:val="0"/>
          <w:i w:val="0"/>
          <w:sz w:val="24"/>
        </w:rPr>
        <w:t>7. 需要解除时在详情页发起解除申请，名单状态变为解除待审批</w:t>
      </w:r>
    </w:p>
    <w:p>
      <w:pPr>
        <w:spacing w:before="0" w:after="60" w:line="336" w:lineRule="auto"/>
        <w:ind w:left="510" w:hanging="510"/>
      </w:pPr>
      <w:r>
        <w:rPr>
          <w:rFonts w:ascii="Times New Roman" w:hAnsi="Times New Roman" w:eastAsia="宋体"/>
          <w:b w:val="0"/>
          <w:i w:val="0"/>
          <w:sz w:val="24"/>
        </w:rPr>
        <w:t>8. 审批通过后名单状态变为已解除并写入变更日志，无需审批的名单可直接解除</w:t>
      </w:r>
    </w:p>
    <w:p>
      <w:pPr>
        <w:spacing w:before="0" w:after="60" w:line="336" w:lineRule="auto"/>
        <w:ind w:left="510" w:hanging="510"/>
      </w:pPr>
      <w:r>
        <w:rPr>
          <w:rFonts w:ascii="Times New Roman" w:hAnsi="Times New Roman" w:eastAsia="宋体"/>
          <w:b w:val="0"/>
          <w:i w:val="0"/>
          <w:sz w:val="24"/>
        </w:rPr>
        <w:t>9. 带观察区间的名单到期后状态自动变为已失效</w:t>
      </w:r>
    </w:p>
    <w:p>
      <w:pPr>
        <w:spacing w:before="120" w:after="60" w:line="360" w:lineRule="auto"/>
      </w:pPr>
      <w:r>
        <w:rPr>
          <w:rFonts w:ascii="Times New Roman" w:hAnsi="Times New Roman" w:eastAsia="宋体"/>
          <w:b/>
          <w:i w:val="0"/>
          <w:sz w:val="24"/>
        </w:rPr>
        <w:t>异常分支：</w:t>
      </w:r>
    </w:p>
    <w:tbl>
      <w:tblPr>
        <w:tblStyle w:val="TableGrid"/>
        <w:tblW w:type="auto" w:w="0"/>
        <w:jc w:val="center"/>
        <w:tblLayout w:type="fixed"/>
        <w:tblLook w:firstColumn="1" w:firstRow="1" w:lastColumn="0" w:lastRow="0" w:noHBand="0" w:noVBand="1" w:val="04A0"/>
      </w:tblPr>
      <w:tblGrid>
        <w:gridCol w:w="4479"/>
        <w:gridCol w:w="4479"/>
      </w:tblGrid>
      <w:tr>
        <w:trPr>
          <w:tblHeader w:val="true"/>
        </w:trPr>
        <w:tc>
          <w:tcPr>
            <w:tcW w:type="dxa" w:w="2835"/>
            <w:shd w:val="clear" w:color="auto" w:fill="DCE6F1"/>
          </w:tcPr>
          <w:p>
            <w:pPr>
              <w:spacing w:before="40" w:after="40" w:line="276" w:lineRule="auto"/>
              <w:jc w:val="center"/>
            </w:pPr>
            <w:r/>
            <w:r>
              <w:rPr>
                <w:rFonts w:ascii="Times New Roman" w:hAnsi="Times New Roman" w:eastAsia="黑体"/>
                <w:b/>
                <w:i w:val="0"/>
                <w:sz w:val="21"/>
              </w:rPr>
              <w:t>异常场景</w:t>
            </w:r>
          </w:p>
        </w:tc>
        <w:tc>
          <w:tcPr>
            <w:tcW w:type="dxa" w:w="6236"/>
            <w:shd w:val="clear" w:color="auto" w:fill="DCE6F1"/>
          </w:tcPr>
          <w:p>
            <w:pPr>
              <w:spacing w:before="40" w:after="40" w:line="276" w:lineRule="auto"/>
              <w:jc w:val="center"/>
            </w:pPr>
            <w:r/>
            <w:r>
              <w:rPr>
                <w:rFonts w:ascii="Times New Roman" w:hAnsi="Times New Roman" w:eastAsia="黑体"/>
                <w:b/>
                <w:i w:val="0"/>
                <w:sz w:val="21"/>
              </w:rPr>
              <w:t>系统处理</w:t>
            </w:r>
          </w:p>
        </w:tc>
      </w:tr>
      <w:tr>
        <w:tc>
          <w:tcPr>
            <w:tcW w:type="dxa" w:w="2835"/>
          </w:tcPr>
          <w:p>
            <w:pPr>
              <w:spacing w:before="20" w:after="20" w:line="276" w:lineRule="auto"/>
              <w:ind w:firstLine="0"/>
            </w:pPr>
            <w:r/>
            <w:r>
              <w:rPr>
                <w:rFonts w:ascii="Times New Roman" w:hAnsi="Times New Roman" w:eastAsia="宋体"/>
                <w:b w:val="0"/>
                <w:i w:val="0"/>
                <w:sz w:val="21"/>
              </w:rPr>
              <w:t>无权限访问</w:t>
            </w:r>
          </w:p>
        </w:tc>
        <w:tc>
          <w:tcPr>
            <w:tcW w:type="dxa" w:w="6236"/>
          </w:tcPr>
          <w:p>
            <w:pPr>
              <w:spacing w:before="20" w:after="20" w:line="276" w:lineRule="auto"/>
              <w:ind w:firstLine="0"/>
            </w:pPr>
            <w:r/>
            <w:r>
              <w:rPr>
                <w:rFonts w:ascii="Times New Roman" w:hAnsi="Times New Roman" w:eastAsia="宋体"/>
                <w:b w:val="0"/>
                <w:i w:val="0"/>
                <w:sz w:val="21"/>
              </w:rPr>
              <w:t>按钮按操作归属矩阵灰化不可点并给出原因提示；总经办侧不提供新增名单与批量导入入口</w:t>
            </w:r>
          </w:p>
        </w:tc>
      </w:tr>
      <w:tr>
        <w:tc>
          <w:tcPr>
            <w:tcW w:type="dxa" w:w="2835"/>
          </w:tcPr>
          <w:p>
            <w:pPr>
              <w:spacing w:before="20" w:after="20" w:line="276" w:lineRule="auto"/>
              <w:ind w:firstLine="0"/>
            </w:pPr>
            <w:r/>
            <w:r>
              <w:rPr>
                <w:rFonts w:ascii="Times New Roman" w:hAnsi="Times New Roman" w:eastAsia="宋体"/>
                <w:b w:val="0"/>
                <w:i w:val="0"/>
                <w:sz w:val="21"/>
              </w:rPr>
              <w:t>空数据</w:t>
            </w:r>
          </w:p>
        </w:tc>
        <w:tc>
          <w:tcPr>
            <w:tcW w:type="dxa" w:w="6236"/>
          </w:tcPr>
          <w:p>
            <w:pPr>
              <w:spacing w:before="20" w:after="20" w:line="276" w:lineRule="auto"/>
              <w:ind w:firstLine="0"/>
            </w:pPr>
            <w:r/>
            <w:r>
              <w:rPr>
                <w:rFonts w:ascii="Times New Roman" w:hAnsi="Times New Roman" w:eastAsia="宋体"/>
                <w:b w:val="0"/>
                <w:i w:val="0"/>
                <w:sz w:val="21"/>
              </w:rPr>
              <w:t>名单列表无数据显示「暂无数据」，并引导使用「新增黑名单企业」，该入口在任何情况下均可用</w:t>
            </w:r>
          </w:p>
        </w:tc>
      </w:tr>
      <w:tr>
        <w:tc>
          <w:tcPr>
            <w:tcW w:type="dxa" w:w="2835"/>
          </w:tcPr>
          <w:p>
            <w:pPr>
              <w:spacing w:before="20" w:after="20" w:line="276" w:lineRule="auto"/>
              <w:ind w:firstLine="0"/>
            </w:pPr>
            <w:r/>
            <w:r>
              <w:rPr>
                <w:rFonts w:ascii="Times New Roman" w:hAnsi="Times New Roman" w:eastAsia="宋体"/>
                <w:b w:val="0"/>
                <w:i w:val="0"/>
                <w:sz w:val="21"/>
              </w:rPr>
              <w:t>重复提交</w:t>
            </w:r>
          </w:p>
        </w:tc>
        <w:tc>
          <w:tcPr>
            <w:tcW w:type="dxa" w:w="6236"/>
          </w:tcPr>
          <w:p>
            <w:pPr>
              <w:spacing w:before="20" w:after="20" w:line="276" w:lineRule="auto"/>
              <w:ind w:firstLine="0"/>
            </w:pPr>
            <w:r/>
            <w:r>
              <w:rPr>
                <w:rFonts w:ascii="Times New Roman" w:hAnsi="Times New Roman" w:eastAsia="宋体"/>
                <w:b w:val="0"/>
                <w:i w:val="0"/>
                <w:sz w:val="21"/>
              </w:rPr>
              <w:t>登记弹窗的 4 项必填任一为空时阻止提交并高亮提示；导入弹窗在未选择文件或校验未通过时「开始导入」保持禁用，避免重复导入同一文件</w:t>
            </w:r>
          </w:p>
        </w:tc>
      </w:tr>
      <w:tr>
        <w:tc>
          <w:tcPr>
            <w:tcW w:type="dxa" w:w="2835"/>
          </w:tcPr>
          <w:p>
            <w:pPr>
              <w:spacing w:before="20" w:after="20" w:line="276" w:lineRule="auto"/>
              <w:ind w:firstLine="0"/>
            </w:pPr>
            <w:r/>
            <w:r>
              <w:rPr>
                <w:rFonts w:ascii="Times New Roman" w:hAnsi="Times New Roman" w:eastAsia="宋体"/>
                <w:b w:val="0"/>
                <w:i w:val="0"/>
                <w:sz w:val="21"/>
              </w:rPr>
              <w:t>接口失败</w:t>
            </w:r>
          </w:p>
        </w:tc>
        <w:tc>
          <w:tcPr>
            <w:tcW w:type="dxa" w:w="6236"/>
          </w:tcPr>
          <w:p>
            <w:pPr>
              <w:spacing w:before="20" w:after="20" w:line="276" w:lineRule="auto"/>
              <w:ind w:firstLine="0"/>
            </w:pPr>
            <w:r/>
            <w:r>
              <w:rPr>
                <w:rFonts w:ascii="Times New Roman" w:hAnsi="Times New Roman" w:eastAsia="宋体"/>
                <w:b w:val="0"/>
                <w:i w:val="0"/>
                <w:sz w:val="21"/>
              </w:rPr>
              <w:t>新增名单提交失败时按统一失败引导处理，顶部红色提示并保留用户输入、按钮恢复可点；批量导入部分行失败时以红底失败结果展示，失败行明细的展示方式待业务方确认</w:t>
            </w:r>
          </w:p>
        </w:tc>
      </w:tr>
      <w:tr>
        <w:tc>
          <w:tcPr>
            <w:tcW w:type="dxa" w:w="2835"/>
          </w:tcPr>
          <w:p>
            <w:pPr>
              <w:spacing w:before="20" w:after="20" w:line="276" w:lineRule="auto"/>
              <w:ind w:firstLine="0"/>
            </w:pPr>
            <w:r/>
            <w:r>
              <w:rPr>
                <w:rFonts w:ascii="Times New Roman" w:hAnsi="Times New Roman" w:eastAsia="宋体"/>
                <w:b w:val="0"/>
                <w:i w:val="0"/>
                <w:sz w:val="21"/>
              </w:rPr>
              <w:t>状态冲突</w:t>
            </w:r>
          </w:p>
        </w:tc>
        <w:tc>
          <w:tcPr>
            <w:tcW w:type="dxa" w:w="6236"/>
          </w:tcPr>
          <w:p>
            <w:pPr>
              <w:spacing w:before="20" w:after="20" w:line="276" w:lineRule="auto"/>
              <w:ind w:firstLine="0"/>
            </w:pPr>
            <w:r/>
            <w:r>
              <w:rPr>
                <w:rFonts w:ascii="Times New Roman" w:hAnsi="Times New Roman" w:eastAsia="宋体"/>
                <w:b w:val="0"/>
                <w:i w:val="0"/>
                <w:sz w:val="21"/>
              </w:rPr>
              <w:t>名单已处于已解除或已失效时不可再次发起解除；解除待审批期间不允许直接解除，审批驳回后名单回到已生效</w:t>
            </w:r>
          </w:p>
        </w:tc>
      </w:tr>
      <w:tr>
        <w:tc>
          <w:tcPr>
            <w:tcW w:type="dxa" w:w="2835"/>
          </w:tcPr>
          <w:p>
            <w:pPr>
              <w:spacing w:before="20" w:after="20" w:line="276" w:lineRule="auto"/>
              <w:ind w:firstLine="0"/>
            </w:pPr>
            <w:r/>
            <w:r>
              <w:rPr>
                <w:rFonts w:ascii="Times New Roman" w:hAnsi="Times New Roman" w:eastAsia="宋体"/>
                <w:b w:val="0"/>
                <w:i w:val="0"/>
                <w:sz w:val="21"/>
              </w:rPr>
              <w:t>超限</w:t>
            </w:r>
          </w:p>
        </w:tc>
        <w:tc>
          <w:tcPr>
            <w:tcW w:type="dxa" w:w="6236"/>
          </w:tcPr>
          <w:p>
            <w:pPr>
              <w:spacing w:before="20" w:after="20" w:line="276" w:lineRule="auto"/>
              <w:ind w:firstLine="0"/>
            </w:pPr>
            <w:r/>
            <w:r>
              <w:rPr>
                <w:rFonts w:ascii="Times New Roman" w:hAnsi="Times New Roman" w:eastAsia="宋体"/>
                <w:b w:val="0"/>
                <w:i w:val="0"/>
                <w:sz w:val="21"/>
              </w:rPr>
              <w:t>导入文件大小超过 10MB 或扩展名不在 xlsx、xls、csv 列表内时提示错误并保持导入按钮禁用；统一社会信用代码字段限 18 位，超长无法通过校验</w:t>
            </w:r>
          </w:p>
        </w:tc>
      </w:tr>
    </w:tbl>
    <w:p>
      <w:pPr>
        <w:spacing w:before="0" w:after="0" w:line="240" w:lineRule="auto"/>
      </w:pPr>
    </w:p>
    <w:p>
      <w:pPr>
        <w:spacing w:before="120" w:after="60"/>
        <w:ind w:firstLine="0"/>
        <w:jc w:val="center"/>
      </w:pPr>
      <w:r>
        <w:drawing>
          <wp:inline xmlns:a="http://schemas.openxmlformats.org/drawingml/2006/main" xmlns:pic="http://schemas.openxmlformats.org/drawingml/2006/picture">
            <wp:extent cx="5616000" cy="3334500"/>
            <wp:docPr id="6" name="Picture 6"/>
            <wp:cNvGraphicFramePr>
              <a:graphicFrameLocks noChangeAspect="1"/>
            </wp:cNvGraphicFramePr>
            <a:graphic>
              <a:graphicData uri="http://schemas.openxmlformats.org/drawingml/2006/picture">
                <pic:pic>
                  <pic:nvPicPr>
                    <pic:cNvPr id="0" name="blacklist.png"/>
                    <pic:cNvPicPr/>
                  </pic:nvPicPr>
                  <pic:blipFill>
                    <a:blip r:embed="rId16"/>
                    <a:stretch>
                      <a:fillRect/>
                    </a:stretch>
                  </pic:blipFill>
                  <pic:spPr>
                    <a:xfrm>
                      <a:off x="0" y="0"/>
                      <a:ext cx="5616000" cy="3334500"/>
                    </a:xfrm>
                    <a:prstGeom prst="rect"/>
                  </pic:spPr>
                </pic:pic>
              </a:graphicData>
            </a:graphic>
          </wp:inline>
        </w:drawing>
      </w:r>
    </w:p>
    <w:p>
      <w:pPr>
        <w:spacing w:before="0" w:after="200" w:line="240" w:lineRule="auto"/>
        <w:ind w:firstLine="0"/>
        <w:jc w:val="center"/>
      </w:pPr>
      <w:r>
        <w:rPr>
          <w:rFonts w:ascii="Times New Roman" w:hAnsi="Times New Roman" w:eastAsia="宋体"/>
          <w:b w:val="0"/>
          <w:i w:val="0"/>
          <w:sz w:val="21"/>
        </w:rPr>
        <w:t>图 4-3-2　黑名单管理 原型页面</w:t>
      </w:r>
    </w:p>
    <w:p>
      <w:pPr>
        <w:spacing w:before="80" w:after="60" w:line="360" w:lineRule="auto"/>
      </w:pPr>
      <w:r>
        <w:rPr>
          <w:rFonts w:ascii="Times New Roman" w:hAnsi="Times New Roman" w:eastAsia="宋体"/>
          <w:b/>
          <w:i w:val="0"/>
          <w:sz w:val="24"/>
        </w:rPr>
        <w:t>页面级说明：</w:t>
      </w: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tblGrid>
      <w:tr>
        <w:trPr>
          <w:tblHeader w:val="true"/>
        </w:trPr>
        <w:tc>
          <w:tcPr>
            <w:tcW w:type="dxa" w:w="1178"/>
            <w:shd w:val="clear" w:color="auto" w:fill="DCE6F1"/>
          </w:tcPr>
          <w:p>
            <w:pPr>
              <w:spacing w:before="40" w:after="40" w:line="276" w:lineRule="auto"/>
              <w:jc w:val="center"/>
            </w:pPr>
            <w:r/>
            <w:r>
              <w:rPr>
                <w:rFonts w:ascii="Times New Roman" w:hAnsi="Times New Roman" w:eastAsia="黑体"/>
                <w:b/>
                <w:i w:val="0"/>
                <w:sz w:val="19"/>
              </w:rPr>
              <w:t>页面</w:t>
            </w:r>
          </w:p>
        </w:tc>
        <w:tc>
          <w:tcPr>
            <w:tcW w:type="dxa" w:w="1531"/>
            <w:shd w:val="clear" w:color="auto" w:fill="DCE6F1"/>
          </w:tcPr>
          <w:p>
            <w:pPr>
              <w:spacing w:before="40" w:after="40" w:line="276" w:lineRule="auto"/>
              <w:jc w:val="center"/>
            </w:pPr>
            <w:r/>
            <w:r>
              <w:rPr>
                <w:rFonts w:ascii="Times New Roman" w:hAnsi="Times New Roman" w:eastAsia="黑体"/>
                <w:b/>
                <w:i w:val="0"/>
                <w:sz w:val="19"/>
              </w:rPr>
              <w:t>原型文件</w:t>
            </w:r>
          </w:p>
        </w:tc>
        <w:tc>
          <w:tcPr>
            <w:tcW w:type="dxa" w:w="1119"/>
            <w:shd w:val="clear" w:color="auto" w:fill="DCE6F1"/>
          </w:tcPr>
          <w:p>
            <w:pPr>
              <w:spacing w:before="40" w:after="40" w:line="276" w:lineRule="auto"/>
              <w:jc w:val="center"/>
            </w:pPr>
            <w:r/>
            <w:r>
              <w:rPr>
                <w:rFonts w:ascii="Times New Roman" w:hAnsi="Times New Roman" w:eastAsia="黑体"/>
                <w:b/>
                <w:i w:val="0"/>
                <w:sz w:val="19"/>
              </w:rPr>
              <w:t>进入方式</w:t>
            </w:r>
          </w:p>
        </w:tc>
        <w:tc>
          <w:tcPr>
            <w:tcW w:type="dxa" w:w="2062"/>
            <w:shd w:val="clear" w:color="auto" w:fill="DCE6F1"/>
          </w:tcPr>
          <w:p>
            <w:pPr>
              <w:spacing w:before="40" w:after="40" w:line="276" w:lineRule="auto"/>
              <w:jc w:val="center"/>
            </w:pPr>
            <w:r/>
            <w:r>
              <w:rPr>
                <w:rFonts w:ascii="Times New Roman" w:hAnsi="Times New Roman" w:eastAsia="黑体"/>
                <w:b/>
                <w:i w:val="0"/>
                <w:sz w:val="19"/>
              </w:rPr>
              <w:t>关键区块</w:t>
            </w:r>
          </w:p>
        </w:tc>
        <w:tc>
          <w:tcPr>
            <w:tcW w:type="dxa" w:w="1767"/>
            <w:shd w:val="clear" w:color="auto" w:fill="DCE6F1"/>
          </w:tcPr>
          <w:p>
            <w:pPr>
              <w:spacing w:before="40" w:after="40" w:line="276" w:lineRule="auto"/>
              <w:jc w:val="center"/>
            </w:pPr>
            <w:r/>
            <w:r>
              <w:rPr>
                <w:rFonts w:ascii="Times New Roman" w:hAnsi="Times New Roman" w:eastAsia="黑体"/>
                <w:b/>
                <w:i w:val="0"/>
                <w:sz w:val="19"/>
              </w:rPr>
              <w:t>主要按钮与行为</w:t>
            </w:r>
          </w:p>
        </w:tc>
        <w:tc>
          <w:tcPr>
            <w:tcW w:type="dxa" w:w="1414"/>
            <w:shd w:val="clear" w:color="auto" w:fill="DCE6F1"/>
          </w:tcPr>
          <w:p>
            <w:pPr>
              <w:spacing w:before="40" w:after="40" w:line="276" w:lineRule="auto"/>
              <w:jc w:val="center"/>
            </w:pPr>
            <w:r/>
            <w:r>
              <w:rPr>
                <w:rFonts w:ascii="Times New Roman" w:hAnsi="Times New Roman" w:eastAsia="黑体"/>
                <w:b/>
                <w:i w:val="0"/>
                <w:sz w:val="19"/>
              </w:rPr>
              <w:t>跳转去向</w:t>
            </w:r>
          </w:p>
        </w:tc>
      </w:tr>
      <w:tr>
        <w:tc>
          <w:tcPr>
            <w:tcW w:type="dxa" w:w="1178"/>
          </w:tcPr>
          <w:p>
            <w:pPr>
              <w:spacing w:before="20" w:after="20" w:line="276" w:lineRule="auto"/>
              <w:ind w:firstLine="0"/>
            </w:pPr>
            <w:r/>
            <w:r>
              <w:rPr>
                <w:rFonts w:ascii="Times New Roman" w:hAnsi="Times New Roman" w:eastAsia="宋体"/>
                <w:b w:val="0"/>
                <w:i w:val="0"/>
                <w:sz w:val="19"/>
              </w:rPr>
              <w:t>黑名单管理列表页</w:t>
            </w:r>
          </w:p>
        </w:tc>
        <w:tc>
          <w:tcPr>
            <w:tcW w:type="dxa" w:w="1531"/>
          </w:tcPr>
          <w:p>
            <w:pPr>
              <w:spacing w:before="20" w:after="20" w:line="276" w:lineRule="auto"/>
              <w:ind w:firstLine="0"/>
            </w:pPr>
            <w:r/>
            <w:r>
              <w:rPr>
                <w:rFonts w:ascii="Times New Roman" w:hAnsi="Times New Roman" w:eastAsia="宋体"/>
                <w:b w:val="0"/>
                <w:i w:val="0"/>
                <w:sz w:val="19"/>
              </w:rPr>
              <w:t>blacklist.html</w:t>
            </w:r>
          </w:p>
        </w:tc>
        <w:tc>
          <w:tcPr>
            <w:tcW w:type="dxa" w:w="1119"/>
          </w:tcPr>
          <w:p>
            <w:pPr>
              <w:spacing w:before="20" w:after="20" w:line="276" w:lineRule="auto"/>
              <w:ind w:firstLine="0"/>
            </w:pPr>
            <w:r/>
            <w:r>
              <w:rPr>
                <w:rFonts w:ascii="Times New Roman" w:hAnsi="Times New Roman" w:eastAsia="宋体"/>
                <w:b w:val="0"/>
                <w:i w:val="0"/>
                <w:sz w:val="19"/>
              </w:rPr>
              <w:t>准入管理 → 黑名单管理</w:t>
            </w:r>
          </w:p>
        </w:tc>
        <w:tc>
          <w:tcPr>
            <w:tcW w:type="dxa" w:w="2062"/>
          </w:tcPr>
          <w:p>
            <w:pPr>
              <w:spacing w:before="20" w:after="20" w:line="276" w:lineRule="auto"/>
              <w:ind w:firstLine="0"/>
            </w:pPr>
            <w:r/>
            <w:r>
              <w:rPr>
                <w:rFonts w:ascii="Times New Roman" w:hAnsi="Times New Roman" w:eastAsia="宋体"/>
                <w:b w:val="0"/>
                <w:i w:val="0"/>
                <w:sz w:val="19"/>
              </w:rPr>
              <w:t>标题区与「新增黑名单企业」「批量导入」主操作、筛选区（名单类型、企业类型等）、单一「全部」Tab、名单数据表格、分页</w:t>
            </w:r>
          </w:p>
        </w:tc>
        <w:tc>
          <w:tcPr>
            <w:tcW w:type="dxa" w:w="1767"/>
          </w:tcPr>
          <w:p>
            <w:pPr>
              <w:spacing w:before="20" w:after="20" w:line="276" w:lineRule="auto"/>
              <w:ind w:firstLine="0"/>
            </w:pPr>
            <w:r/>
            <w:r>
              <w:rPr>
                <w:rFonts w:ascii="Times New Roman" w:hAnsi="Times New Roman" w:eastAsia="宋体"/>
                <w:b w:val="0"/>
                <w:i w:val="0"/>
                <w:sz w:val="19"/>
              </w:rPr>
              <w:t>新增黑名单企业、批量导入、批量删除、修改、解除、详情、清除全部</w:t>
            </w:r>
          </w:p>
        </w:tc>
        <w:tc>
          <w:tcPr>
            <w:tcW w:type="dxa" w:w="1414"/>
          </w:tcPr>
          <w:p>
            <w:pPr>
              <w:spacing w:before="20" w:after="20" w:line="276" w:lineRule="auto"/>
              <w:ind w:firstLine="0"/>
            </w:pPr>
            <w:r/>
            <w:r>
              <w:rPr>
                <w:rFonts w:ascii="Times New Roman" w:hAnsi="Times New Roman" w:eastAsia="宋体"/>
                <w:b w:val="0"/>
                <w:i w:val="0"/>
                <w:sz w:val="19"/>
              </w:rPr>
              <w:t>新增与导入均在本页内以弹窗打开，完成后回到名单列表</w:t>
            </w:r>
          </w:p>
        </w:tc>
      </w:tr>
      <w:tr>
        <w:tc>
          <w:tcPr>
            <w:tcW w:type="dxa" w:w="1178"/>
          </w:tcPr>
          <w:p>
            <w:pPr>
              <w:spacing w:before="20" w:after="20" w:line="276" w:lineRule="auto"/>
              <w:ind w:firstLine="0"/>
            </w:pPr>
            <w:r/>
            <w:r>
              <w:rPr>
                <w:rFonts w:ascii="Times New Roman" w:hAnsi="Times New Roman" w:eastAsia="宋体"/>
                <w:b w:val="0"/>
                <w:i w:val="0"/>
                <w:sz w:val="19"/>
              </w:rPr>
              <w:t>新增黑（灰）名单信息弹窗</w:t>
            </w:r>
          </w:p>
        </w:tc>
        <w:tc>
          <w:tcPr>
            <w:tcW w:type="dxa" w:w="1531"/>
          </w:tcPr>
          <w:p>
            <w:pPr>
              <w:spacing w:before="20" w:after="20" w:line="276" w:lineRule="auto"/>
              <w:ind w:firstLine="0"/>
            </w:pPr>
            <w:r/>
            <w:r>
              <w:rPr>
                <w:rFonts w:ascii="Times New Roman" w:hAnsi="Times New Roman" w:eastAsia="宋体"/>
                <w:b w:val="0"/>
                <w:i w:val="0"/>
                <w:sz w:val="19"/>
              </w:rPr>
              <w:t>blacklist.html</w:t>
            </w:r>
          </w:p>
        </w:tc>
        <w:tc>
          <w:tcPr>
            <w:tcW w:type="dxa" w:w="1119"/>
          </w:tcPr>
          <w:p>
            <w:pPr>
              <w:spacing w:before="20" w:after="20" w:line="276" w:lineRule="auto"/>
              <w:ind w:firstLine="0"/>
            </w:pPr>
            <w:r/>
            <w:r>
              <w:rPr>
                <w:rFonts w:ascii="Times New Roman" w:hAnsi="Times New Roman" w:eastAsia="宋体"/>
                <w:b w:val="0"/>
                <w:i w:val="0"/>
                <w:sz w:val="19"/>
              </w:rPr>
              <w:t>黑名单列表页 → 新增黑名单企业</w:t>
            </w:r>
          </w:p>
        </w:tc>
        <w:tc>
          <w:tcPr>
            <w:tcW w:type="dxa" w:w="2062"/>
          </w:tcPr>
          <w:p>
            <w:pPr>
              <w:spacing w:before="20" w:after="20" w:line="276" w:lineRule="auto"/>
              <w:ind w:firstLine="0"/>
            </w:pPr>
            <w:r/>
            <w:r>
              <w:rPr>
                <w:rFonts w:ascii="Times New Roman" w:hAnsi="Times New Roman" w:eastAsia="宋体"/>
                <w:b w:val="0"/>
                <w:i w:val="0"/>
                <w:sz w:val="19"/>
              </w:rPr>
              <w:t>14 字段表单（4 列 7 行布局，备注跨 2 列）、观察区间日期选择、备注文本域、固定底部操作区</w:t>
            </w:r>
          </w:p>
        </w:tc>
        <w:tc>
          <w:tcPr>
            <w:tcW w:type="dxa" w:w="1767"/>
          </w:tcPr>
          <w:p>
            <w:pPr>
              <w:spacing w:before="20" w:after="20" w:line="276" w:lineRule="auto"/>
              <w:ind w:firstLine="0"/>
            </w:pPr>
            <w:r/>
            <w:r>
              <w:rPr>
                <w:rFonts w:ascii="Times New Roman" w:hAnsi="Times New Roman" w:eastAsia="宋体"/>
                <w:b w:val="0"/>
                <w:i w:val="0"/>
                <w:sz w:val="19"/>
              </w:rPr>
              <w:t>取消、确定</w:t>
            </w:r>
          </w:p>
        </w:tc>
        <w:tc>
          <w:tcPr>
            <w:tcW w:type="dxa" w:w="1414"/>
          </w:tcPr>
          <w:p>
            <w:pPr>
              <w:spacing w:before="20" w:after="20" w:line="276" w:lineRule="auto"/>
              <w:ind w:firstLine="0"/>
            </w:pPr>
            <w:r/>
            <w:r>
              <w:rPr>
                <w:rFonts w:ascii="Times New Roman" w:hAnsi="Times New Roman" w:eastAsia="宋体"/>
                <w:b w:val="0"/>
                <w:i w:val="0"/>
                <w:sz w:val="19"/>
              </w:rPr>
              <w:t>确定提交成功后关闭弹窗并刷新黑名单列表页</w:t>
            </w:r>
          </w:p>
        </w:tc>
      </w:tr>
      <w:tr>
        <w:tc>
          <w:tcPr>
            <w:tcW w:type="dxa" w:w="1178"/>
          </w:tcPr>
          <w:p>
            <w:pPr>
              <w:spacing w:before="20" w:after="20" w:line="276" w:lineRule="auto"/>
              <w:ind w:firstLine="0"/>
            </w:pPr>
            <w:r/>
            <w:r>
              <w:rPr>
                <w:rFonts w:ascii="Times New Roman" w:hAnsi="Times New Roman" w:eastAsia="宋体"/>
                <w:b w:val="0"/>
                <w:i w:val="0"/>
                <w:sz w:val="19"/>
              </w:rPr>
              <w:t>批量导入黑名单弹窗</w:t>
            </w:r>
          </w:p>
        </w:tc>
        <w:tc>
          <w:tcPr>
            <w:tcW w:type="dxa" w:w="1531"/>
          </w:tcPr>
          <w:p>
            <w:pPr>
              <w:spacing w:before="20" w:after="20" w:line="276" w:lineRule="auto"/>
              <w:ind w:firstLine="0"/>
            </w:pPr>
            <w:r/>
            <w:r>
              <w:rPr>
                <w:rFonts w:ascii="Times New Roman" w:hAnsi="Times New Roman" w:eastAsia="宋体"/>
                <w:b w:val="0"/>
                <w:i w:val="0"/>
                <w:sz w:val="19"/>
              </w:rPr>
              <w:t>blacklist.html</w:t>
            </w:r>
          </w:p>
        </w:tc>
        <w:tc>
          <w:tcPr>
            <w:tcW w:type="dxa" w:w="1119"/>
          </w:tcPr>
          <w:p>
            <w:pPr>
              <w:spacing w:before="20" w:after="20" w:line="276" w:lineRule="auto"/>
              <w:ind w:firstLine="0"/>
            </w:pPr>
            <w:r/>
            <w:r>
              <w:rPr>
                <w:rFonts w:ascii="Times New Roman" w:hAnsi="Times New Roman" w:eastAsia="宋体"/>
                <w:b w:val="0"/>
                <w:i w:val="0"/>
                <w:sz w:val="19"/>
              </w:rPr>
              <w:t>黑名单列表页 → 批量导入</w:t>
            </w:r>
          </w:p>
        </w:tc>
        <w:tc>
          <w:tcPr>
            <w:tcW w:type="dxa" w:w="2062"/>
          </w:tcPr>
          <w:p>
            <w:pPr>
              <w:spacing w:before="20" w:after="20" w:line="276" w:lineRule="auto"/>
              <w:ind w:firstLine="0"/>
            </w:pPr>
            <w:r/>
            <w:r>
              <w:rPr>
                <w:rFonts w:ascii="Times New Roman" w:hAnsi="Times New Roman" w:eastAsia="宋体"/>
                <w:b w:val="0"/>
                <w:i w:val="0"/>
                <w:sz w:val="19"/>
              </w:rPr>
              <w:t>模板下载区、文件拖拽上传区、上传结果展示区（成功绿底或失败红底）、固定底部操作区</w:t>
            </w:r>
          </w:p>
        </w:tc>
        <w:tc>
          <w:tcPr>
            <w:tcW w:type="dxa" w:w="1767"/>
          </w:tcPr>
          <w:p>
            <w:pPr>
              <w:spacing w:before="20" w:after="20" w:line="276" w:lineRule="auto"/>
              <w:ind w:firstLine="0"/>
            </w:pPr>
            <w:r/>
            <w:r>
              <w:rPr>
                <w:rFonts w:ascii="Times New Roman" w:hAnsi="Times New Roman" w:eastAsia="宋体"/>
                <w:b w:val="0"/>
                <w:i w:val="0"/>
                <w:sz w:val="19"/>
              </w:rPr>
              <w:t>下载模板、取消、开始导入</w:t>
            </w:r>
          </w:p>
        </w:tc>
        <w:tc>
          <w:tcPr>
            <w:tcW w:type="dxa" w:w="1414"/>
          </w:tcPr>
          <w:p>
            <w:pPr>
              <w:spacing w:before="20" w:after="20" w:line="276" w:lineRule="auto"/>
              <w:ind w:firstLine="0"/>
            </w:pPr>
            <w:r/>
            <w:r>
              <w:rPr>
                <w:rFonts w:ascii="Times New Roman" w:hAnsi="Times New Roman" w:eastAsia="宋体"/>
                <w:b w:val="0"/>
                <w:i w:val="0"/>
                <w:sz w:val="19"/>
              </w:rPr>
              <w:t>导入完成后关闭弹窗并刷新黑名单列表页</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4.3.8　验收标准与待确认项</w:t>
      </w:r>
    </w:p>
    <w:tbl>
      <w:tblPr>
        <w:tblStyle w:val="TableGrid"/>
        <w:tblW w:type="auto" w:w="0"/>
        <w:jc w:val="center"/>
        <w:tblLayout w:type="fixed"/>
        <w:tblLook w:firstColumn="1" w:firstRow="1" w:lastColumn="0" w:lastRow="0" w:noHBand="0" w:noVBand="1" w:val="04A0"/>
      </w:tblPr>
      <w:tblGrid>
        <w:gridCol w:w="4479"/>
        <w:gridCol w:w="4479"/>
      </w:tblGrid>
      <w:tr>
        <w:trPr>
          <w:tblHeader w:val="true"/>
        </w:trPr>
        <w:tc>
          <w:tcPr>
            <w:tcW w:type="dxa" w:w="1701"/>
            <w:shd w:val="clear" w:color="auto" w:fill="DCE6F1"/>
          </w:tcPr>
          <w:p>
            <w:pPr>
              <w:spacing w:before="40" w:after="40" w:line="276" w:lineRule="auto"/>
              <w:jc w:val="center"/>
            </w:pPr>
            <w:r/>
            <w:r>
              <w:rPr>
                <w:rFonts w:ascii="Times New Roman" w:hAnsi="Times New Roman" w:eastAsia="黑体"/>
                <w:b/>
                <w:i w:val="0"/>
                <w:sz w:val="21"/>
              </w:rPr>
              <w:t>功能</w:t>
            </w:r>
          </w:p>
        </w:tc>
        <w:tc>
          <w:tcPr>
            <w:tcW w:type="dxa" w:w="7370"/>
            <w:shd w:val="clear" w:color="auto" w:fill="DCE6F1"/>
          </w:tcPr>
          <w:p>
            <w:pPr>
              <w:spacing w:before="40" w:after="40" w:line="276" w:lineRule="auto"/>
              <w:jc w:val="center"/>
            </w:pPr>
            <w:r/>
            <w:r>
              <w:rPr>
                <w:rFonts w:ascii="Times New Roman" w:hAnsi="Times New Roman" w:eastAsia="黑体"/>
                <w:b/>
                <w:i w:val="0"/>
                <w:sz w:val="21"/>
              </w:rPr>
              <w:t>验收要点（由关键规则转写）</w:t>
            </w:r>
          </w:p>
        </w:tc>
      </w:tr>
      <w:tr>
        <w:tc>
          <w:tcPr>
            <w:tcW w:type="dxa" w:w="1701"/>
          </w:tcPr>
          <w:p>
            <w:pPr>
              <w:spacing w:before="20" w:after="20" w:line="276" w:lineRule="auto"/>
              <w:ind w:firstLine="0"/>
            </w:pPr>
            <w:r/>
            <w:r>
              <w:rPr>
                <w:rFonts w:ascii="Times New Roman" w:hAnsi="Times New Roman" w:eastAsia="宋体"/>
                <w:b w:val="0"/>
                <w:i w:val="0"/>
                <w:sz w:val="21"/>
              </w:rPr>
              <w:t>新增黑（灰）名单信息</w:t>
            </w:r>
          </w:p>
        </w:tc>
        <w:tc>
          <w:tcPr>
            <w:tcW w:type="dxa" w:w="7370"/>
          </w:tcPr>
          <w:p>
            <w:pPr>
              <w:spacing w:before="20" w:after="20" w:line="276" w:lineRule="auto"/>
              <w:ind w:firstLine="0"/>
            </w:pPr>
            <w:r/>
            <w:r>
              <w:rPr>
                <w:rFonts w:ascii="Times New Roman" w:hAnsi="Times New Roman" w:eastAsia="宋体"/>
                <w:b w:val="0"/>
                <w:i w:val="0"/>
                <w:sz w:val="21"/>
              </w:rPr>
              <w:t>14 个字段中 4 个必填，分别为企业名称、黑名单等级、列入黑名单原因、企业类型，任一为空时阻止提交并高亮提示；黑名单等级取值为高度关注、中度关注、一般关注，新增时不含已解除；列入黑名单原因取值为资金紧张、重大违约、欺诈、失信被执行、经营异常、其他；企业类型取值为其他、私营、国有、集体、外商独资、中外合资；统一社会信用代码为选填且限 18 位。</w:t>
            </w:r>
          </w:p>
        </w:tc>
      </w:tr>
      <w:tr>
        <w:tc>
          <w:tcPr>
            <w:tcW w:type="dxa" w:w="1701"/>
          </w:tcPr>
          <w:p>
            <w:pPr>
              <w:spacing w:before="20" w:after="20" w:line="276" w:lineRule="auto"/>
              <w:ind w:firstLine="0"/>
            </w:pPr>
            <w:r/>
            <w:r>
              <w:rPr>
                <w:rFonts w:ascii="Times New Roman" w:hAnsi="Times New Roman" w:eastAsia="宋体"/>
                <w:b w:val="0"/>
                <w:i w:val="0"/>
                <w:sz w:val="21"/>
              </w:rPr>
              <w:t>批量导入与模板下载</w:t>
            </w:r>
          </w:p>
        </w:tc>
        <w:tc>
          <w:tcPr>
            <w:tcW w:type="dxa" w:w="7370"/>
          </w:tcPr>
          <w:p>
            <w:pPr>
              <w:spacing w:before="20" w:after="20" w:line="276" w:lineRule="auto"/>
              <w:ind w:firstLine="0"/>
            </w:pPr>
            <w:r/>
            <w:r>
              <w:rPr>
                <w:rFonts w:ascii="Times New Roman" w:hAnsi="Times New Roman" w:eastAsia="宋体"/>
                <w:b w:val="0"/>
                <w:i w:val="0"/>
                <w:sz w:val="21"/>
              </w:rPr>
              <w:t>导入接受 xlsx、xls、csv 三种扩展名，文件大小不超过 10MB；未选择文件时「开始导入」按钮保持禁用，格式或大小校验通过后才可点击；校验失败时展示红色错误提示且按钮保持禁用；模板文件名固定为黑名单企业导入模板.csv，含 UTF-8 BOM 头以避免中文乱码。</w:t>
            </w:r>
          </w:p>
        </w:tc>
      </w:tr>
      <w:tr>
        <w:tc>
          <w:tcPr>
            <w:tcW w:type="dxa" w:w="1701"/>
          </w:tcPr>
          <w:p>
            <w:pPr>
              <w:spacing w:before="20" w:after="20" w:line="276" w:lineRule="auto"/>
              <w:ind w:firstLine="0"/>
            </w:pPr>
            <w:r/>
            <w:r>
              <w:rPr>
                <w:rFonts w:ascii="Times New Roman" w:hAnsi="Times New Roman" w:eastAsia="宋体"/>
                <w:b w:val="0"/>
                <w:i w:val="0"/>
                <w:sz w:val="21"/>
              </w:rPr>
              <w:t>名单列表查询与分级展示</w:t>
            </w:r>
          </w:p>
        </w:tc>
        <w:tc>
          <w:tcPr>
            <w:tcW w:type="dxa" w:w="7370"/>
          </w:tcPr>
          <w:p>
            <w:pPr>
              <w:spacing w:before="20" w:after="20" w:line="276" w:lineRule="auto"/>
              <w:ind w:firstLine="0"/>
            </w:pPr>
            <w:r/>
            <w:r>
              <w:rPr>
                <w:rFonts w:ascii="Times New Roman" w:hAnsi="Times New Roman" w:eastAsia="宋体"/>
                <w:b w:val="0"/>
                <w:i w:val="0"/>
                <w:sz w:val="21"/>
              </w:rPr>
              <w:t>关注级别分 4 档并按固定配色区分，高度关注为红底、中度关注为橙底、低度关注为黄底、已解除为绿底；行操作固定为修改、解除、详情 3 项；批量删除按钮置于 Tab 行最右侧且仅在勾选行后显示，顶部同步显示已选条数。</w:t>
            </w:r>
          </w:p>
        </w:tc>
      </w:tr>
      <w:tr>
        <w:tc>
          <w:tcPr>
            <w:tcW w:type="dxa" w:w="1701"/>
          </w:tcPr>
          <w:p>
            <w:pPr>
              <w:spacing w:before="20" w:after="20" w:line="276" w:lineRule="auto"/>
              <w:ind w:firstLine="0"/>
            </w:pPr>
            <w:r/>
            <w:r>
              <w:rPr>
                <w:rFonts w:ascii="Times New Roman" w:hAnsi="Times New Roman" w:eastAsia="宋体"/>
                <w:b w:val="0"/>
                <w:i w:val="0"/>
                <w:sz w:val="21"/>
              </w:rPr>
              <w:t>名单解除（申请解除与直接解除）</w:t>
            </w:r>
          </w:p>
        </w:tc>
        <w:tc>
          <w:tcPr>
            <w:tcW w:type="dxa" w:w="7370"/>
          </w:tcPr>
          <w:p>
            <w:pPr>
              <w:spacing w:before="20" w:after="20" w:line="276" w:lineRule="auto"/>
              <w:ind w:firstLine="0"/>
            </w:pPr>
            <w:r/>
            <w:r>
              <w:rPr>
                <w:rFonts w:ascii="Times New Roman" w:hAnsi="Times New Roman" w:eastAsia="宋体"/>
                <w:b w:val="0"/>
                <w:i w:val="0"/>
                <w:sz w:val="21"/>
              </w:rPr>
              <w:t>提交解除申请后名单状态由已生效变为解除待审批，审批通过变为已解除并写入变更日志，审批驳回回到已生效；无需审批的名单直接解除后状态变为已解除；带有效期的名单到期后状态自动变为已失效。</w:t>
            </w:r>
          </w:p>
        </w:tc>
      </w:tr>
      <w:tr>
        <w:tc>
          <w:tcPr>
            <w:tcW w:type="dxa" w:w="1701"/>
          </w:tcPr>
          <w:p>
            <w:pPr>
              <w:spacing w:before="20" w:after="20" w:line="276" w:lineRule="auto"/>
              <w:ind w:firstLine="0"/>
            </w:pPr>
            <w:r/>
            <w:r>
              <w:rPr>
                <w:rFonts w:ascii="Times New Roman" w:hAnsi="Times New Roman" w:eastAsia="宋体"/>
                <w:b w:val="0"/>
                <w:i w:val="0"/>
                <w:sz w:val="21"/>
              </w:rPr>
              <w:t>黑名单命中提示</w:t>
            </w:r>
          </w:p>
        </w:tc>
        <w:tc>
          <w:tcPr>
            <w:tcW w:type="dxa" w:w="7370"/>
          </w:tcPr>
          <w:p>
            <w:pPr>
              <w:spacing w:before="20" w:after="20" w:line="276" w:lineRule="auto"/>
              <w:ind w:firstLine="0"/>
            </w:pPr>
            <w:r/>
            <w:r>
              <w:rPr>
                <w:rFonts w:ascii="Times New Roman" w:hAnsi="Times New Roman" w:eastAsia="宋体"/>
                <w:b w:val="0"/>
                <w:i w:val="0"/>
                <w:sz w:val="21"/>
              </w:rPr>
              <w:t>命中黑名单时提示「客户 XXX 命中黑名单（合作黑名单）」，仅提示风险，不阻断合同、付款、收发货的关联业务；黑灰名单与假国企央企为平台内部自建数据，其余风险数据来自外部订阅服务。</w:t>
            </w:r>
          </w:p>
        </w:tc>
      </w:tr>
      <w:tr>
        <w:tc>
          <w:tcPr>
            <w:tcW w:type="dxa" w:w="1701"/>
          </w:tcPr>
          <w:p>
            <w:pPr>
              <w:spacing w:before="20" w:after="20" w:line="276" w:lineRule="auto"/>
              <w:ind w:firstLine="0"/>
            </w:pPr>
            <w:r/>
            <w:r>
              <w:rPr>
                <w:rFonts w:ascii="Times New Roman" w:hAnsi="Times New Roman" w:eastAsia="宋体"/>
                <w:b w:val="0"/>
                <w:i w:val="0"/>
                <w:sz w:val="21"/>
              </w:rPr>
              <w:t>名单来源与假央企标识维护</w:t>
            </w:r>
          </w:p>
        </w:tc>
        <w:tc>
          <w:tcPr>
            <w:tcW w:type="dxa" w:w="7370"/>
          </w:tcPr>
          <w:p>
            <w:pPr>
              <w:spacing w:before="20" w:after="20" w:line="276" w:lineRule="auto"/>
              <w:ind w:firstLine="0"/>
            </w:pPr>
            <w:r/>
            <w:r>
              <w:rPr>
                <w:rFonts w:ascii="Times New Roman" w:hAnsi="Times New Roman" w:eastAsia="宋体"/>
                <w:b w:val="0"/>
                <w:i w:val="0"/>
                <w:sz w:val="21"/>
              </w:rPr>
              <w:t>数据来源取值为手动录入、系统接入、第三方数据、风险预警；是否为假央企国企取值为否、是、待核实；名单类型取值为经营异常、失信被执行、重大税收违法、严重违法失信、假冒国企央企。</w:t>
            </w:r>
          </w:p>
        </w:tc>
      </w:tr>
    </w:tbl>
    <w:p>
      <w:pPr>
        <w:spacing w:before="0" w:after="0" w:line="240" w:lineRule="auto"/>
      </w:pPr>
    </w:p>
    <w:p>
      <w:pPr>
        <w:spacing w:before="120" w:after="60" w:line="360" w:lineRule="auto"/>
      </w:pPr>
      <w:r>
        <w:rPr>
          <w:rFonts w:ascii="Times New Roman" w:hAnsi="Times New Roman" w:eastAsia="宋体"/>
          <w:b/>
          <w:i w:val="0"/>
          <w:sz w:val="24"/>
        </w:rPr>
        <w:t>待业务方确认：</w:t>
      </w:r>
    </w:p>
    <w:p>
      <w:pPr>
        <w:spacing w:before="0" w:after="60" w:line="336" w:lineRule="auto"/>
        <w:ind w:left="340" w:firstLine="0"/>
      </w:pPr>
      <w:r>
        <w:rPr>
          <w:rFonts w:ascii="Times New Roman" w:hAnsi="Times New Roman" w:eastAsia="宋体"/>
          <w:b w:val="0"/>
          <w:i w:val="0"/>
          <w:sz w:val="24"/>
        </w:rPr>
        <w:t>· 待业务方确认：黑名单关注级别中「一般关注」与「低度关注」两种叫法的统一</w:t>
      </w:r>
    </w:p>
    <w:p>
      <w:pPr>
        <w:spacing w:before="0" w:after="60" w:line="336" w:lineRule="auto"/>
        <w:ind w:left="340" w:firstLine="0"/>
      </w:pPr>
      <w:r>
        <w:rPr>
          <w:rFonts w:ascii="Times New Roman" w:hAnsi="Times New Roman" w:eastAsia="宋体"/>
          <w:b w:val="0"/>
          <w:i w:val="0"/>
          <w:sz w:val="24"/>
        </w:rPr>
        <w:t>· 待业务方确认：名单的 4 个状态与落库标识的对应关系</w:t>
      </w:r>
    </w:p>
    <w:p>
      <w:pPr>
        <w:spacing w:before="0" w:after="60" w:line="336" w:lineRule="auto"/>
        <w:ind w:left="340" w:firstLine="0"/>
      </w:pPr>
      <w:r>
        <w:rPr>
          <w:rFonts w:ascii="Times New Roman" w:hAnsi="Times New Roman" w:eastAsia="宋体"/>
          <w:b w:val="0"/>
          <w:i w:val="0"/>
          <w:sz w:val="24"/>
        </w:rPr>
        <w:t>· 待业务方确认：黑名单命中提示的具体展示位置与文案，当前仅明确提示不阻断</w:t>
      </w:r>
    </w:p>
    <w:p>
      <w:pPr>
        <w:spacing w:before="0" w:after="60" w:line="336" w:lineRule="auto"/>
        <w:ind w:left="340" w:firstLine="0"/>
      </w:pPr>
      <w:r>
        <w:rPr>
          <w:rFonts w:ascii="Times New Roman" w:hAnsi="Times New Roman" w:eastAsia="宋体"/>
          <w:b w:val="0"/>
          <w:i w:val="0"/>
          <w:sz w:val="24"/>
        </w:rPr>
        <w:t>· 待业务方确认：新增名单接口失败时的提示文案</w:t>
      </w:r>
    </w:p>
    <w:p>
      <w:pPr>
        <w:spacing w:before="0" w:after="60" w:line="336" w:lineRule="auto"/>
        <w:ind w:left="340" w:firstLine="0"/>
      </w:pPr>
      <w:r>
        <w:rPr>
          <w:rFonts w:ascii="Times New Roman" w:hAnsi="Times New Roman" w:eastAsia="宋体"/>
          <w:b w:val="0"/>
          <w:i w:val="0"/>
          <w:sz w:val="24"/>
        </w:rPr>
        <w:t>· 待业务方确认：批量删除名单的确认文案与是否需要二次确认</w:t>
      </w:r>
    </w:p>
    <w:p>
      <w:r>
        <w:br w:type="page"/>
      </w:r>
    </w:p>
    <w:p>
      <w:pPr>
        <w:pStyle w:val="Heading2"/>
        <w:keepNext/>
        <w:spacing w:before="240" w:after="120" w:line="312" w:lineRule="auto"/>
        <w:ind w:firstLine="0"/>
      </w:pPr>
      <w:r>
        <w:rPr>
          <w:rFonts w:ascii="Times New Roman" w:hAnsi="Times New Roman" w:eastAsia="黑体"/>
          <w:b/>
          <w:i w:val="0"/>
          <w:sz w:val="28"/>
        </w:rPr>
        <w:t>4.4　工作台</w:t>
      </w:r>
    </w:p>
    <w:p>
      <w:pPr>
        <w:spacing w:before="0" w:after="160" w:line="360" w:lineRule="auto"/>
      </w:pPr>
      <w:r>
        <w:rPr>
          <w:rFonts w:ascii="Times New Roman" w:hAnsi="Times New Roman" w:eastAsia="宋体"/>
          <w:b w:val="0"/>
          <w:i w:val="0"/>
          <w:color w:val="595959"/>
          <w:sz w:val="21"/>
        </w:rPr>
        <w:t>菜单路径：工作台</w:t>
      </w:r>
    </w:p>
    <w:p>
      <w:pPr>
        <w:pStyle w:val="Heading3"/>
        <w:keepNext/>
        <w:spacing w:before="160" w:after="80" w:line="312" w:lineRule="auto"/>
        <w:ind w:firstLine="0"/>
      </w:pPr>
      <w:r>
        <w:rPr>
          <w:rFonts w:ascii="Times New Roman" w:hAnsi="Times New Roman" w:eastAsia="黑体"/>
          <w:b/>
          <w:i w:val="0"/>
          <w:sz w:val="24"/>
        </w:rPr>
        <w:t>4.4.1　一页结论</w:t>
      </w:r>
    </w:p>
    <w:p>
      <w:pPr>
        <w:spacing w:before="0" w:after="120" w:line="360" w:lineRule="auto"/>
      </w:pPr>
      <w:r>
        <w:rPr>
          <w:rFonts w:ascii="Times New Roman" w:hAnsi="Times New Roman" w:eastAsia="宋体"/>
          <w:b w:val="0"/>
          <w:i w:val="0"/>
          <w:sz w:val="24"/>
        </w:rPr>
        <w:t>作为业务端统一首页，把各模块的经营指标、风险预警、通知与全域待办聚合成一屏，让用户登录即可判断今天要处理什么。</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928"/>
            <w:shd w:val="clear" w:color="auto" w:fill="DCE6F1"/>
          </w:tcPr>
          <w:p>
            <w:pPr>
              <w:spacing w:before="40" w:after="40" w:line="276" w:lineRule="auto"/>
              <w:jc w:val="center"/>
            </w:pPr>
            <w:r/>
            <w:r>
              <w:rPr>
                <w:rFonts w:ascii="Times New Roman" w:hAnsi="Times New Roman" w:eastAsia="黑体"/>
                <w:b/>
                <w:i w:val="0"/>
                <w:sz w:val="21"/>
              </w:rPr>
              <w:t>问题</w:t>
            </w:r>
          </w:p>
        </w:tc>
        <w:tc>
          <w:tcPr>
            <w:tcW w:type="dxa" w:w="3572"/>
            <w:shd w:val="clear" w:color="auto" w:fill="DCE6F1"/>
          </w:tcPr>
          <w:p>
            <w:pPr>
              <w:spacing w:before="40" w:after="40" w:line="276" w:lineRule="auto"/>
              <w:jc w:val="center"/>
            </w:pPr>
            <w:r/>
            <w:r>
              <w:rPr>
                <w:rFonts w:ascii="Times New Roman" w:hAnsi="Times New Roman" w:eastAsia="黑体"/>
                <w:b/>
                <w:i w:val="0"/>
                <w:sz w:val="21"/>
              </w:rPr>
              <w:t>当前做法</w:t>
            </w:r>
          </w:p>
        </w:tc>
        <w:tc>
          <w:tcPr>
            <w:tcW w:type="dxa" w:w="3572"/>
            <w:shd w:val="clear" w:color="auto" w:fill="DCE6F1"/>
          </w:tcPr>
          <w:p>
            <w:pPr>
              <w:spacing w:before="40" w:after="40" w:line="276" w:lineRule="auto"/>
              <w:jc w:val="center"/>
            </w:pPr>
            <w:r/>
            <w:r>
              <w:rPr>
                <w:rFonts w:ascii="Times New Roman" w:hAnsi="Times New Roman" w:eastAsia="黑体"/>
                <w:b/>
                <w:i w:val="0"/>
                <w:sz w:val="21"/>
              </w:rPr>
              <w:t>本模块解法</w:t>
            </w:r>
          </w:p>
        </w:tc>
      </w:tr>
      <w:tr>
        <w:tc>
          <w:tcPr>
            <w:tcW w:type="dxa" w:w="1928"/>
          </w:tcPr>
          <w:p>
            <w:pPr>
              <w:spacing w:before="20" w:after="20" w:line="276" w:lineRule="auto"/>
              <w:ind w:firstLine="0"/>
            </w:pPr>
            <w:r/>
            <w:r>
              <w:rPr>
                <w:rFonts w:ascii="Times New Roman" w:hAnsi="Times New Roman" w:eastAsia="宋体"/>
                <w:b w:val="0"/>
                <w:i w:val="0"/>
                <w:sz w:val="21"/>
              </w:rPr>
              <w:t>待办散落在各模块，跨模块找单据成本高</w:t>
            </w:r>
          </w:p>
        </w:tc>
        <w:tc>
          <w:tcPr>
            <w:tcW w:type="dxa" w:w="3572"/>
          </w:tcPr>
          <w:p>
            <w:pPr>
              <w:spacing w:before="20" w:after="20" w:line="276" w:lineRule="auto"/>
              <w:ind w:firstLine="0"/>
            </w:pPr>
            <w:r/>
            <w:r>
              <w:rPr>
                <w:rFonts w:ascii="Times New Roman" w:hAnsi="Times New Roman" w:eastAsia="宋体"/>
                <w:b w:val="0"/>
                <w:i w:val="0"/>
                <w:sz w:val="21"/>
              </w:rPr>
              <w:t>逐个进入合同、收发货、货转、结算等菜单翻找待处理单据</w:t>
            </w:r>
          </w:p>
        </w:tc>
        <w:tc>
          <w:tcPr>
            <w:tcW w:type="dxa" w:w="3572"/>
          </w:tcPr>
          <w:p>
            <w:pPr>
              <w:spacing w:before="20" w:after="20" w:line="276" w:lineRule="auto"/>
              <w:ind w:firstLine="0"/>
            </w:pPr>
            <w:r/>
            <w:r>
              <w:rPr>
                <w:rFonts w:ascii="Times New Roman" w:hAnsi="Times New Roman" w:eastAsia="宋体"/>
                <w:b w:val="0"/>
                <w:i w:val="0"/>
                <w:sz w:val="21"/>
              </w:rPr>
              <w:t>首页按 10 个固定 Tab 聚合全域待办，切换即重渲染并更新计数</w:t>
            </w:r>
          </w:p>
        </w:tc>
      </w:tr>
      <w:tr>
        <w:tc>
          <w:tcPr>
            <w:tcW w:type="dxa" w:w="1928"/>
          </w:tcPr>
          <w:p>
            <w:pPr>
              <w:spacing w:before="20" w:after="20" w:line="276" w:lineRule="auto"/>
              <w:ind w:firstLine="0"/>
            </w:pPr>
            <w:r/>
            <w:r>
              <w:rPr>
                <w:rFonts w:ascii="Times New Roman" w:hAnsi="Times New Roman" w:eastAsia="宋体"/>
                <w:b w:val="0"/>
                <w:i w:val="0"/>
                <w:sz w:val="21"/>
              </w:rPr>
              <w:t>经营与资金情况要看多个页面</w:t>
            </w:r>
          </w:p>
        </w:tc>
        <w:tc>
          <w:tcPr>
            <w:tcW w:type="dxa" w:w="3572"/>
          </w:tcPr>
          <w:p>
            <w:pPr>
              <w:spacing w:before="20" w:after="20" w:line="276" w:lineRule="auto"/>
              <w:ind w:firstLine="0"/>
            </w:pPr>
            <w:r/>
            <w:r>
              <w:rPr>
                <w:rFonts w:ascii="Times New Roman" w:hAnsi="Times New Roman" w:eastAsia="宋体"/>
                <w:b w:val="0"/>
                <w:i w:val="0"/>
                <w:sz w:val="21"/>
              </w:rPr>
              <w:t>合同、发运、付款、回款分别到各模块查看</w:t>
            </w:r>
          </w:p>
        </w:tc>
        <w:tc>
          <w:tcPr>
            <w:tcW w:type="dxa" w:w="3572"/>
          </w:tcPr>
          <w:p>
            <w:pPr>
              <w:spacing w:before="20" w:after="20" w:line="276" w:lineRule="auto"/>
              <w:ind w:firstLine="0"/>
            </w:pPr>
            <w:r/>
            <w:r>
              <w:rPr>
                <w:rFonts w:ascii="Times New Roman" w:hAnsi="Times New Roman" w:eastAsia="宋体"/>
                <w:b w:val="0"/>
                <w:i w:val="0"/>
                <w:sz w:val="21"/>
              </w:rPr>
              <w:t>首页顶部集中呈现合同签署情况、发运情况与自有及融资金额</w:t>
            </w:r>
          </w:p>
        </w:tc>
      </w:tr>
      <w:tr>
        <w:tc>
          <w:tcPr>
            <w:tcW w:type="dxa" w:w="1928"/>
          </w:tcPr>
          <w:p>
            <w:pPr>
              <w:spacing w:before="20" w:after="20" w:line="276" w:lineRule="auto"/>
              <w:ind w:firstLine="0"/>
            </w:pPr>
            <w:r/>
            <w:r>
              <w:rPr>
                <w:rFonts w:ascii="Times New Roman" w:hAnsi="Times New Roman" w:eastAsia="宋体"/>
                <w:b w:val="0"/>
                <w:i w:val="0"/>
                <w:sz w:val="21"/>
              </w:rPr>
              <w:t>风险事项缺少统一入口</w:t>
            </w:r>
          </w:p>
        </w:tc>
        <w:tc>
          <w:tcPr>
            <w:tcW w:type="dxa" w:w="3572"/>
          </w:tcPr>
          <w:p>
            <w:pPr>
              <w:spacing w:before="20" w:after="20" w:line="276" w:lineRule="auto"/>
              <w:ind w:firstLine="0"/>
            </w:pPr>
            <w:r/>
            <w:r>
              <w:rPr>
                <w:rFonts w:ascii="Times New Roman" w:hAnsi="Times New Roman" w:eastAsia="宋体"/>
                <w:b w:val="0"/>
                <w:i w:val="0"/>
                <w:sz w:val="21"/>
              </w:rPr>
              <w:t>预警分散在各业务页面，容易错过</w:t>
            </w:r>
          </w:p>
        </w:tc>
        <w:tc>
          <w:tcPr>
            <w:tcW w:type="dxa" w:w="3572"/>
          </w:tcPr>
          <w:p>
            <w:pPr>
              <w:spacing w:before="20" w:after="20" w:line="276" w:lineRule="auto"/>
              <w:ind w:firstLine="0"/>
            </w:pPr>
            <w:r/>
            <w:r>
              <w:rPr>
                <w:rFonts w:ascii="Times New Roman" w:hAnsi="Times New Roman" w:eastAsia="宋体"/>
                <w:b w:val="0"/>
                <w:i w:val="0"/>
                <w:sz w:val="21"/>
              </w:rPr>
              <w:t>预警提醒按高、中、低 3 档聚合，每档提供带级别过滤的处理入口</w:t>
            </w:r>
          </w:p>
        </w:tc>
      </w:tr>
      <w:tr>
        <w:tc>
          <w:tcPr>
            <w:tcW w:type="dxa" w:w="1928"/>
          </w:tcPr>
          <w:p>
            <w:pPr>
              <w:spacing w:before="20" w:after="20" w:line="276" w:lineRule="auto"/>
              <w:ind w:firstLine="0"/>
            </w:pPr>
            <w:r/>
            <w:r>
              <w:rPr>
                <w:rFonts w:ascii="Times New Roman" w:hAnsi="Times New Roman" w:eastAsia="宋体"/>
                <w:b w:val="0"/>
                <w:i w:val="0"/>
                <w:sz w:val="21"/>
              </w:rPr>
              <w:t>审批与准入类消息没有集中送达点</w:t>
            </w:r>
          </w:p>
        </w:tc>
        <w:tc>
          <w:tcPr>
            <w:tcW w:type="dxa" w:w="3572"/>
          </w:tcPr>
          <w:p>
            <w:pPr>
              <w:spacing w:before="20" w:after="20" w:line="276" w:lineRule="auto"/>
              <w:ind w:firstLine="0"/>
            </w:pPr>
            <w:r/>
            <w:r>
              <w:rPr>
                <w:rFonts w:ascii="Times New Roman" w:hAnsi="Times New Roman" w:eastAsia="宋体"/>
                <w:b w:val="0"/>
                <w:i w:val="0"/>
                <w:sz w:val="21"/>
              </w:rPr>
              <w:t>靠人主动到各菜单查看</w:t>
            </w:r>
          </w:p>
        </w:tc>
        <w:tc>
          <w:tcPr>
            <w:tcW w:type="dxa" w:w="3572"/>
          </w:tcPr>
          <w:p>
            <w:pPr>
              <w:spacing w:before="20" w:after="20" w:line="276" w:lineRule="auto"/>
              <w:ind w:firstLine="0"/>
            </w:pPr>
            <w:r/>
            <w:r>
              <w:rPr>
                <w:rFonts w:ascii="Times New Roman" w:hAnsi="Times New Roman" w:eastAsia="宋体"/>
                <w:b w:val="0"/>
                <w:i w:val="0"/>
                <w:sz w:val="21"/>
              </w:rPr>
              <w:t>顶部消息入口指向通知中心，集中呈现审批通知与用户准入通知</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4.4.2　背景与目标</w:t>
      </w:r>
    </w:p>
    <w:tbl>
      <w:tblPr>
        <w:tblStyle w:val="TableGrid"/>
        <w:tblW w:type="auto" w:w="0"/>
        <w:jc w:val="center"/>
        <w:tblLayout w:type="fixed"/>
        <w:tblLook w:firstColumn="1" w:firstRow="1" w:lastColumn="0" w:lastRow="0" w:noHBand="0" w:noVBand="1" w:val="04A0"/>
      </w:tblPr>
      <w:tblGrid>
        <w:gridCol w:w="8958"/>
      </w:tblGrid>
      <w:tr>
        <w:trPr>
          <w:tblHeader w:val="true"/>
        </w:trPr>
        <w:tc>
          <w:tcPr>
            <w:tcW w:type="dxa" w:w="9071"/>
            <w:shd w:val="clear" w:color="auto" w:fill="DCE6F1"/>
          </w:tcPr>
          <w:p>
            <w:pPr>
              <w:spacing w:before="40" w:after="40" w:line="276" w:lineRule="auto"/>
              <w:jc w:val="center"/>
            </w:pPr>
            <w:r/>
            <w:r>
              <w:rPr>
                <w:rFonts w:ascii="Times New Roman" w:hAnsi="Times New Roman" w:eastAsia="黑体"/>
                <w:b/>
                <w:i w:val="0"/>
                <w:sz w:val="21"/>
              </w:rPr>
              <w:t>目标 / 衡量口径</w:t>
            </w:r>
          </w:p>
        </w:tc>
      </w:tr>
      <w:tr>
        <w:tc>
          <w:tcPr>
            <w:tcW w:type="dxa" w:w="9071"/>
          </w:tcPr>
          <w:p>
            <w:pPr>
              <w:spacing w:before="20" w:after="20" w:line="276" w:lineRule="auto"/>
              <w:ind w:firstLine="0"/>
            </w:pPr>
            <w:r/>
            <w:r>
              <w:rPr>
                <w:rFonts w:ascii="Times New Roman" w:hAnsi="Times New Roman" w:eastAsia="宋体"/>
                <w:b w:val="0"/>
                <w:i w:val="0"/>
                <w:sz w:val="21"/>
              </w:rPr>
              <w:t>待办事项固定 10 个 Tab 覆盖合同、收发货、业务线、货转、结算、资金与发票 7 个归口模块</w:t>
            </w:r>
          </w:p>
        </w:tc>
      </w:tr>
      <w:tr>
        <w:tc>
          <w:tcPr>
            <w:tcW w:type="dxa" w:w="9071"/>
          </w:tcPr>
          <w:p>
            <w:pPr>
              <w:spacing w:before="20" w:after="20" w:line="276" w:lineRule="auto"/>
              <w:ind w:firstLine="0"/>
            </w:pPr>
            <w:r/>
            <w:r>
              <w:rPr>
                <w:rFonts w:ascii="Times New Roman" w:hAnsi="Times New Roman" w:eastAsia="宋体"/>
                <w:b w:val="0"/>
                <w:i w:val="0"/>
                <w:sz w:val="21"/>
              </w:rPr>
              <w:t>工作台为只读聚合视图，本身不承载业务单据操作，避免与业务模块重复提交</w:t>
            </w:r>
          </w:p>
        </w:tc>
      </w:tr>
      <w:tr>
        <w:tc>
          <w:tcPr>
            <w:tcW w:type="dxa" w:w="9071"/>
          </w:tcPr>
          <w:p>
            <w:pPr>
              <w:spacing w:before="20" w:after="20" w:line="276" w:lineRule="auto"/>
              <w:ind w:firstLine="0"/>
            </w:pPr>
            <w:r/>
            <w:r>
              <w:rPr>
                <w:rFonts w:ascii="Times New Roman" w:hAnsi="Times New Roman" w:eastAsia="宋体"/>
                <w:b w:val="0"/>
                <w:i w:val="0"/>
                <w:sz w:val="21"/>
              </w:rPr>
              <w:t>任一聚合区块数据加载失败时降级为该区块暂无数据，其余区块正常展示</w:t>
            </w:r>
          </w:p>
        </w:tc>
      </w:tr>
      <w:tr>
        <w:tc>
          <w:tcPr>
            <w:tcW w:type="dxa" w:w="9071"/>
          </w:tcPr>
          <w:p>
            <w:pPr>
              <w:spacing w:before="20" w:after="20" w:line="276" w:lineRule="auto"/>
              <w:ind w:firstLine="0"/>
            </w:pPr>
            <w:r/>
            <w:r>
              <w:rPr>
                <w:rFonts w:ascii="Times New Roman" w:hAnsi="Times New Roman" w:eastAsia="宋体"/>
                <w:b w:val="0"/>
                <w:i w:val="0"/>
                <w:sz w:val="21"/>
              </w:rPr>
              <w:t>首页指标与待办计数与各业务模块口径一致，具体数值以系统运行报表为准</w:t>
            </w:r>
          </w:p>
        </w:tc>
      </w:tr>
    </w:tbl>
    <w:p>
      <w:pPr>
        <w:spacing w:before="0" w:after="0" w:line="240" w:lineRule="auto"/>
      </w:pPr>
    </w:p>
    <w:p>
      <w:pPr>
        <w:spacing w:before="80" w:after="120" w:line="360" w:lineRule="auto"/>
      </w:pPr>
      <w:r>
        <w:rPr>
          <w:rFonts w:ascii="Times New Roman" w:hAnsi="Times New Roman" w:eastAsia="宋体"/>
          <w:b w:val="0"/>
          <w:i w:val="0"/>
          <w:color w:val="595959"/>
          <w:sz w:val="21"/>
        </w:rPr>
        <w:t>说明：文中口径以业务方已确认结论为准；未确认项集中列于本章末与第 5 章。</w:t>
      </w:r>
    </w:p>
    <w:p>
      <w:pPr>
        <w:pStyle w:val="Heading3"/>
        <w:keepNext/>
        <w:spacing w:before="160" w:after="80" w:line="312" w:lineRule="auto"/>
        <w:ind w:firstLine="0"/>
      </w:pPr>
      <w:r>
        <w:rPr>
          <w:rFonts w:ascii="Times New Roman" w:hAnsi="Times New Roman" w:eastAsia="黑体"/>
          <w:b/>
          <w:i w:val="0"/>
          <w:sz w:val="24"/>
        </w:rPr>
        <w:t>4.4.3　角色与用户需求</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361"/>
            <w:shd w:val="clear" w:color="auto" w:fill="DCE6F1"/>
          </w:tcPr>
          <w:p>
            <w:pPr>
              <w:spacing w:before="40" w:after="40" w:line="276" w:lineRule="auto"/>
              <w:jc w:val="center"/>
            </w:pPr>
            <w:r/>
            <w:r>
              <w:rPr>
                <w:rFonts w:ascii="Times New Roman" w:hAnsi="Times New Roman" w:eastAsia="黑体"/>
                <w:b/>
                <w:i w:val="0"/>
                <w:sz w:val="21"/>
              </w:rPr>
              <w:t>角色</w:t>
            </w:r>
          </w:p>
        </w:tc>
        <w:tc>
          <w:tcPr>
            <w:tcW w:type="dxa" w:w="1247"/>
            <w:shd w:val="clear" w:color="auto" w:fill="DCE6F1"/>
          </w:tcPr>
          <w:p>
            <w:pPr>
              <w:spacing w:before="40" w:after="40" w:line="276" w:lineRule="auto"/>
              <w:jc w:val="center"/>
            </w:pPr>
            <w:r/>
            <w:r>
              <w:rPr>
                <w:rFonts w:ascii="Times New Roman" w:hAnsi="Times New Roman" w:eastAsia="黑体"/>
                <w:b/>
                <w:i w:val="0"/>
                <w:sz w:val="21"/>
              </w:rPr>
              <w:t>所属部门</w:t>
            </w:r>
          </w:p>
        </w:tc>
        <w:tc>
          <w:tcPr>
            <w:tcW w:type="dxa" w:w="6463"/>
            <w:shd w:val="clear" w:color="auto" w:fill="DCE6F1"/>
          </w:tcPr>
          <w:p>
            <w:pPr>
              <w:spacing w:before="40" w:after="40" w:line="276" w:lineRule="auto"/>
              <w:jc w:val="center"/>
            </w:pPr>
            <w:r/>
            <w:r>
              <w:rPr>
                <w:rFonts w:ascii="Times New Roman" w:hAnsi="Times New Roman" w:eastAsia="黑体"/>
                <w:b/>
                <w:i w:val="0"/>
                <w:sz w:val="21"/>
              </w:rPr>
              <w:t>用户需求（我要…以便…）</w:t>
            </w:r>
          </w:p>
        </w:tc>
      </w:tr>
      <w:tr>
        <w:tc>
          <w:tcPr>
            <w:tcW w:type="dxa" w:w="1361"/>
          </w:tcPr>
          <w:p>
            <w:pPr>
              <w:spacing w:before="20" w:after="20" w:line="276" w:lineRule="auto"/>
              <w:ind w:firstLine="0"/>
            </w:pPr>
            <w:r/>
            <w:r>
              <w:rPr>
                <w:rFonts w:ascii="Times New Roman" w:hAnsi="Times New Roman" w:eastAsia="宋体"/>
                <w:b w:val="0"/>
                <w:i w:val="0"/>
                <w:sz w:val="21"/>
              </w:rPr>
              <w:t>业务员</w:t>
            </w:r>
          </w:p>
        </w:tc>
        <w:tc>
          <w:tcPr>
            <w:tcW w:type="dxa" w:w="1247"/>
          </w:tcPr>
          <w:p>
            <w:pPr>
              <w:spacing w:before="20" w:after="20" w:line="276" w:lineRule="auto"/>
              <w:ind w:firstLine="0"/>
            </w:pPr>
            <w:r/>
            <w:r>
              <w:rPr>
                <w:rFonts w:ascii="Times New Roman" w:hAnsi="Times New Roman" w:eastAsia="宋体"/>
                <w:b w:val="0"/>
                <w:i w:val="0"/>
                <w:sz w:val="21"/>
              </w:rPr>
              <w:t>业务部</w:t>
            </w:r>
          </w:p>
        </w:tc>
        <w:tc>
          <w:tcPr>
            <w:tcW w:type="dxa" w:w="6463"/>
          </w:tcPr>
          <w:p>
            <w:pPr>
              <w:spacing w:before="20" w:after="20" w:line="276" w:lineRule="auto"/>
              <w:ind w:firstLine="0"/>
            </w:pPr>
            <w:r/>
            <w:r>
              <w:rPr>
                <w:rFonts w:ascii="Times New Roman" w:hAnsi="Times New Roman" w:eastAsia="宋体"/>
                <w:b w:val="0"/>
                <w:i w:val="0"/>
                <w:sz w:val="21"/>
              </w:rPr>
              <w:t>我要在首页看到我的待办与业务概览，以便快速进入处理</w:t>
            </w:r>
          </w:p>
        </w:tc>
      </w:tr>
      <w:tr>
        <w:tc>
          <w:tcPr>
            <w:tcW w:type="dxa" w:w="1361"/>
          </w:tcPr>
          <w:p>
            <w:pPr>
              <w:spacing w:before="20" w:after="20" w:line="276" w:lineRule="auto"/>
              <w:ind w:firstLine="0"/>
            </w:pPr>
            <w:r/>
            <w:r>
              <w:rPr>
                <w:rFonts w:ascii="Times New Roman" w:hAnsi="Times New Roman" w:eastAsia="宋体"/>
                <w:b w:val="0"/>
                <w:i w:val="0"/>
                <w:sz w:val="21"/>
              </w:rPr>
              <w:t>业务主管</w:t>
            </w:r>
          </w:p>
        </w:tc>
        <w:tc>
          <w:tcPr>
            <w:tcW w:type="dxa" w:w="1247"/>
          </w:tcPr>
          <w:p>
            <w:pPr>
              <w:spacing w:before="20" w:after="20" w:line="276" w:lineRule="auto"/>
              <w:ind w:firstLine="0"/>
            </w:pPr>
            <w:r/>
            <w:r>
              <w:rPr>
                <w:rFonts w:ascii="Times New Roman" w:hAnsi="Times New Roman" w:eastAsia="宋体"/>
                <w:b w:val="0"/>
                <w:i w:val="0"/>
                <w:sz w:val="21"/>
              </w:rPr>
              <w:t>业务部</w:t>
            </w:r>
          </w:p>
        </w:tc>
        <w:tc>
          <w:tcPr>
            <w:tcW w:type="dxa" w:w="6463"/>
          </w:tcPr>
          <w:p>
            <w:pPr>
              <w:spacing w:before="20" w:after="20" w:line="276" w:lineRule="auto"/>
              <w:ind w:firstLine="0"/>
            </w:pPr>
            <w:r/>
            <w:r>
              <w:rPr>
                <w:rFonts w:ascii="Times New Roman" w:hAnsi="Times New Roman" w:eastAsia="宋体"/>
                <w:b w:val="0"/>
                <w:i w:val="0"/>
                <w:sz w:val="21"/>
              </w:rPr>
              <w:t>我要在首页汇总团队待办与业务线进度，以便统筹调度</w:t>
            </w:r>
          </w:p>
        </w:tc>
      </w:tr>
      <w:tr>
        <w:tc>
          <w:tcPr>
            <w:tcW w:type="dxa" w:w="1361"/>
          </w:tcPr>
          <w:p>
            <w:pPr>
              <w:spacing w:before="20" w:after="20" w:line="276" w:lineRule="auto"/>
              <w:ind w:firstLine="0"/>
            </w:pPr>
            <w:r/>
            <w:r>
              <w:rPr>
                <w:rFonts w:ascii="Times New Roman" w:hAnsi="Times New Roman" w:eastAsia="宋体"/>
                <w:b w:val="0"/>
                <w:i w:val="0"/>
                <w:sz w:val="21"/>
              </w:rPr>
              <w:t>风控人员</w:t>
            </w:r>
          </w:p>
        </w:tc>
        <w:tc>
          <w:tcPr>
            <w:tcW w:type="dxa" w:w="1247"/>
          </w:tcPr>
          <w:p>
            <w:pPr>
              <w:spacing w:before="20" w:after="20" w:line="276" w:lineRule="auto"/>
              <w:ind w:firstLine="0"/>
            </w:pPr>
            <w:r/>
            <w:r>
              <w:rPr>
                <w:rFonts w:ascii="Times New Roman" w:hAnsi="Times New Roman" w:eastAsia="宋体"/>
                <w:b w:val="0"/>
                <w:i w:val="0"/>
                <w:sz w:val="21"/>
              </w:rPr>
              <w:t>风控部</w:t>
            </w:r>
          </w:p>
        </w:tc>
        <w:tc>
          <w:tcPr>
            <w:tcW w:type="dxa" w:w="6463"/>
          </w:tcPr>
          <w:p>
            <w:pPr>
              <w:spacing w:before="20" w:after="20" w:line="276" w:lineRule="auto"/>
              <w:ind w:firstLine="0"/>
            </w:pPr>
            <w:r/>
            <w:r>
              <w:rPr>
                <w:rFonts w:ascii="Times New Roman" w:hAnsi="Times New Roman" w:eastAsia="宋体"/>
                <w:b w:val="0"/>
                <w:i w:val="0"/>
                <w:sz w:val="21"/>
              </w:rPr>
              <w:t>我要在首页看到高风险预警与风险类待办，以便及时处置</w:t>
            </w:r>
          </w:p>
        </w:tc>
      </w:tr>
      <w:tr>
        <w:tc>
          <w:tcPr>
            <w:tcW w:type="dxa" w:w="1361"/>
          </w:tcPr>
          <w:p>
            <w:pPr>
              <w:spacing w:before="20" w:after="20" w:line="276" w:lineRule="auto"/>
              <w:ind w:firstLine="0"/>
            </w:pPr>
            <w:r/>
            <w:r>
              <w:rPr>
                <w:rFonts w:ascii="Times New Roman" w:hAnsi="Times New Roman" w:eastAsia="宋体"/>
                <w:b w:val="0"/>
                <w:i w:val="0"/>
                <w:sz w:val="21"/>
              </w:rPr>
              <w:t>财务人员</w:t>
            </w:r>
          </w:p>
        </w:tc>
        <w:tc>
          <w:tcPr>
            <w:tcW w:type="dxa" w:w="1247"/>
          </w:tcPr>
          <w:p>
            <w:pPr>
              <w:spacing w:before="20" w:after="20" w:line="276" w:lineRule="auto"/>
              <w:ind w:firstLine="0"/>
            </w:pPr>
            <w:r/>
            <w:r>
              <w:rPr>
                <w:rFonts w:ascii="Times New Roman" w:hAnsi="Times New Roman" w:eastAsia="宋体"/>
                <w:b w:val="0"/>
                <w:i w:val="0"/>
                <w:sz w:val="21"/>
              </w:rPr>
              <w:t>财务部</w:t>
            </w:r>
          </w:p>
        </w:tc>
        <w:tc>
          <w:tcPr>
            <w:tcW w:type="dxa" w:w="6463"/>
          </w:tcPr>
          <w:p>
            <w:pPr>
              <w:spacing w:before="20" w:after="20" w:line="276" w:lineRule="auto"/>
              <w:ind w:firstLine="0"/>
            </w:pPr>
            <w:r/>
            <w:r>
              <w:rPr>
                <w:rFonts w:ascii="Times New Roman" w:hAnsi="Times New Roman" w:eastAsia="宋体"/>
                <w:b w:val="0"/>
                <w:i w:val="0"/>
                <w:sz w:val="21"/>
              </w:rPr>
              <w:t>我要在首页看到资金与回款口径，以便核对资金情况</w:t>
            </w:r>
          </w:p>
        </w:tc>
      </w:tr>
      <w:tr>
        <w:tc>
          <w:tcPr>
            <w:tcW w:type="dxa" w:w="1361"/>
          </w:tcPr>
          <w:p>
            <w:pPr>
              <w:spacing w:before="20" w:after="20" w:line="276" w:lineRule="auto"/>
              <w:ind w:firstLine="0"/>
            </w:pPr>
            <w:r/>
            <w:r>
              <w:rPr>
                <w:rFonts w:ascii="Times New Roman" w:hAnsi="Times New Roman" w:eastAsia="宋体"/>
                <w:b w:val="0"/>
                <w:i w:val="0"/>
                <w:sz w:val="21"/>
              </w:rPr>
              <w:t>总经办</w:t>
            </w:r>
          </w:p>
        </w:tc>
        <w:tc>
          <w:tcPr>
            <w:tcW w:type="dxa" w:w="1247"/>
          </w:tcPr>
          <w:p>
            <w:pPr>
              <w:spacing w:before="20" w:after="20" w:line="276" w:lineRule="auto"/>
              <w:ind w:firstLine="0"/>
            </w:pPr>
            <w:r/>
            <w:r>
              <w:rPr>
                <w:rFonts w:ascii="Times New Roman" w:hAnsi="Times New Roman" w:eastAsia="宋体"/>
                <w:b w:val="0"/>
                <w:i w:val="0"/>
                <w:sz w:val="21"/>
              </w:rPr>
              <w:t>总经办</w:t>
            </w:r>
          </w:p>
        </w:tc>
        <w:tc>
          <w:tcPr>
            <w:tcW w:type="dxa" w:w="6463"/>
          </w:tcPr>
          <w:p>
            <w:pPr>
              <w:spacing w:before="20" w:after="20" w:line="276" w:lineRule="auto"/>
              <w:ind w:firstLine="0"/>
            </w:pPr>
            <w:r/>
            <w:r>
              <w:rPr>
                <w:rFonts w:ascii="Times New Roman" w:hAnsi="Times New Roman" w:eastAsia="宋体"/>
                <w:b w:val="0"/>
                <w:i w:val="0"/>
                <w:sz w:val="21"/>
              </w:rPr>
              <w:t>我要在首页看到全局经营指标与审批待办，以便终审与决策</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4.4.4　功能结构与范围</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474"/>
            <w:shd w:val="clear" w:color="auto" w:fill="DCE6F1"/>
          </w:tcPr>
          <w:p>
            <w:pPr>
              <w:spacing w:before="40" w:after="40" w:line="276" w:lineRule="auto"/>
              <w:jc w:val="center"/>
            </w:pPr>
            <w:r/>
            <w:r>
              <w:rPr>
                <w:rFonts w:ascii="Times New Roman" w:hAnsi="Times New Roman" w:eastAsia="黑体"/>
                <w:b/>
                <w:i w:val="0"/>
                <w:sz w:val="21"/>
              </w:rPr>
              <w:t>功能</w:t>
            </w:r>
          </w:p>
        </w:tc>
        <w:tc>
          <w:tcPr>
            <w:tcW w:type="dxa" w:w="3175"/>
            <w:shd w:val="clear" w:color="auto" w:fill="DCE6F1"/>
          </w:tcPr>
          <w:p>
            <w:pPr>
              <w:spacing w:before="40" w:after="40" w:line="276" w:lineRule="auto"/>
              <w:jc w:val="center"/>
            </w:pPr>
            <w:r/>
            <w:r>
              <w:rPr>
                <w:rFonts w:ascii="Times New Roman" w:hAnsi="Times New Roman" w:eastAsia="黑体"/>
                <w:b/>
                <w:i w:val="0"/>
                <w:sz w:val="21"/>
              </w:rPr>
              <w:t>功能说明</w:t>
            </w:r>
          </w:p>
        </w:tc>
        <w:tc>
          <w:tcPr>
            <w:tcW w:type="dxa" w:w="4422"/>
            <w:shd w:val="clear" w:color="auto" w:fill="DCE6F1"/>
          </w:tcPr>
          <w:p>
            <w:pPr>
              <w:spacing w:before="40" w:after="40" w:line="276" w:lineRule="auto"/>
              <w:jc w:val="center"/>
            </w:pPr>
            <w:r/>
            <w:r>
              <w:rPr>
                <w:rFonts w:ascii="Times New Roman" w:hAnsi="Times New Roman" w:eastAsia="黑体"/>
                <w:b/>
                <w:i w:val="0"/>
                <w:sz w:val="21"/>
              </w:rPr>
              <w:t>关键规则</w:t>
            </w:r>
          </w:p>
        </w:tc>
      </w:tr>
      <w:tr>
        <w:tc>
          <w:tcPr>
            <w:tcW w:type="dxa" w:w="1474"/>
          </w:tcPr>
          <w:p>
            <w:pPr>
              <w:spacing w:before="20" w:after="20" w:line="276" w:lineRule="auto"/>
              <w:ind w:firstLine="0"/>
            </w:pPr>
            <w:r/>
            <w:r>
              <w:rPr>
                <w:rFonts w:ascii="Times New Roman" w:hAnsi="Times New Roman" w:eastAsia="宋体"/>
                <w:b w:val="0"/>
                <w:i w:val="0"/>
                <w:sz w:val="21"/>
              </w:rPr>
              <w:t>业务概览与关键指标聚合</w:t>
            </w:r>
          </w:p>
        </w:tc>
        <w:tc>
          <w:tcPr>
            <w:tcW w:type="dxa" w:w="3175"/>
          </w:tcPr>
          <w:p>
            <w:pPr>
              <w:spacing w:before="20" w:after="20" w:line="276" w:lineRule="auto"/>
              <w:ind w:firstLine="0"/>
            </w:pPr>
            <w:r/>
            <w:r>
              <w:rPr>
                <w:rFonts w:ascii="Times New Roman" w:hAnsi="Times New Roman" w:eastAsia="宋体"/>
                <w:b w:val="0"/>
                <w:i w:val="0"/>
                <w:sz w:val="21"/>
              </w:rPr>
              <w:t>首页顶部呈现业务链路概览、合同签署情况、发运情况与资金区（自有资金、融资资金），数据分别取自合同管理、收发货管理、付款与回款管理。</w:t>
            </w:r>
          </w:p>
        </w:tc>
        <w:tc>
          <w:tcPr>
            <w:tcW w:type="dxa" w:w="4422"/>
          </w:tcPr>
          <w:p>
            <w:pPr>
              <w:spacing w:before="20" w:after="20" w:line="276" w:lineRule="auto"/>
              <w:ind w:firstLine="0"/>
            </w:pPr>
            <w:r/>
            <w:r>
              <w:rPr>
                <w:rFonts w:ascii="Times New Roman" w:hAnsi="Times New Roman" w:eastAsia="宋体"/>
                <w:b w:val="0"/>
                <w:i w:val="0"/>
                <w:sz w:val="21"/>
              </w:rPr>
              <w:t>数量或金额超过 10000 时折算为「万」并保留 2 位小数；自有资金提供本年维度，融资资金提供全部与本年两个维度；订单管理相关指标不在本期交付范围。</w:t>
            </w:r>
          </w:p>
        </w:tc>
      </w:tr>
      <w:tr>
        <w:tc>
          <w:tcPr>
            <w:tcW w:type="dxa" w:w="1474"/>
          </w:tcPr>
          <w:p>
            <w:pPr>
              <w:spacing w:before="20" w:after="20" w:line="276" w:lineRule="auto"/>
              <w:ind w:firstLine="0"/>
            </w:pPr>
            <w:r/>
            <w:r>
              <w:rPr>
                <w:rFonts w:ascii="Times New Roman" w:hAnsi="Times New Roman" w:eastAsia="宋体"/>
                <w:b w:val="0"/>
                <w:i w:val="0"/>
                <w:sz w:val="21"/>
              </w:rPr>
              <w:t>预警提醒聚合</w:t>
            </w:r>
          </w:p>
        </w:tc>
        <w:tc>
          <w:tcPr>
            <w:tcW w:type="dxa" w:w="3175"/>
          </w:tcPr>
          <w:p>
            <w:pPr>
              <w:spacing w:before="20" w:after="20" w:line="276" w:lineRule="auto"/>
              <w:ind w:firstLine="0"/>
            </w:pPr>
            <w:r/>
            <w:r>
              <w:rPr>
                <w:rFonts w:ascii="Times New Roman" w:hAnsi="Times New Roman" w:eastAsia="宋体"/>
                <w:b w:val="0"/>
                <w:i w:val="0"/>
                <w:sz w:val="21"/>
              </w:rPr>
              <w:t>预警提醒区按高风险、中风险、低风险 3 个子卡展示各级预警数量，每张卡提供「立即处理」入口。</w:t>
            </w:r>
          </w:p>
        </w:tc>
        <w:tc>
          <w:tcPr>
            <w:tcW w:type="dxa" w:w="4422"/>
          </w:tcPr>
          <w:p>
            <w:pPr>
              <w:spacing w:before="20" w:after="20" w:line="276" w:lineRule="auto"/>
              <w:ind w:firstLine="0"/>
            </w:pPr>
            <w:r/>
            <w:r>
              <w:rPr>
                <w:rFonts w:ascii="Times New Roman" w:hAnsi="Times New Roman" w:eastAsia="宋体"/>
                <w:b w:val="0"/>
                <w:i w:val="0"/>
                <w:sz w:val="21"/>
              </w:rPr>
              <w:t>「立即处理」按当前级别跳转预警中心并携带级别过滤参数；某级别数量为 0 时仍展示该子卡与提示文案，高风险与中风险为「有风险记得要及时处理」，低风险为「很棒!目前暂无风险存在」；预警数量以系统运行报表为准。</w:t>
            </w:r>
          </w:p>
        </w:tc>
      </w:tr>
      <w:tr>
        <w:tc>
          <w:tcPr>
            <w:tcW w:type="dxa" w:w="1474"/>
          </w:tcPr>
          <w:p>
            <w:pPr>
              <w:spacing w:before="20" w:after="20" w:line="276" w:lineRule="auto"/>
              <w:ind w:firstLine="0"/>
            </w:pPr>
            <w:r/>
            <w:r>
              <w:rPr>
                <w:rFonts w:ascii="Times New Roman" w:hAnsi="Times New Roman" w:eastAsia="宋体"/>
                <w:b w:val="0"/>
                <w:i w:val="0"/>
                <w:sz w:val="21"/>
              </w:rPr>
              <w:t>通知中心消息入口</w:t>
            </w:r>
          </w:p>
        </w:tc>
        <w:tc>
          <w:tcPr>
            <w:tcW w:type="dxa" w:w="3175"/>
          </w:tcPr>
          <w:p>
            <w:pPr>
              <w:spacing w:before="20" w:after="20" w:line="276" w:lineRule="auto"/>
              <w:ind w:firstLine="0"/>
            </w:pPr>
            <w:r/>
            <w:r>
              <w:rPr>
                <w:rFonts w:ascii="Times New Roman" w:hAnsi="Times New Roman" w:eastAsia="宋体"/>
                <w:b w:val="0"/>
                <w:i w:val="0"/>
                <w:sz w:val="21"/>
              </w:rPr>
              <w:t>顶部栏消息图标指向通知中心，集中呈现审批通知与用户准入通知，并显示未读数角标。</w:t>
            </w:r>
          </w:p>
        </w:tc>
        <w:tc>
          <w:tcPr>
            <w:tcW w:type="dxa" w:w="4422"/>
          </w:tcPr>
          <w:p>
            <w:pPr>
              <w:spacing w:before="20" w:after="20" w:line="276" w:lineRule="auto"/>
              <w:ind w:firstLine="0"/>
            </w:pPr>
            <w:r/>
            <w:r>
              <w:rPr>
                <w:rFonts w:ascii="Times New Roman" w:hAnsi="Times New Roman" w:eastAsia="宋体"/>
                <w:b w:val="0"/>
                <w:i w:val="0"/>
                <w:sz w:val="21"/>
              </w:rPr>
              <w:t>消息类型固定为审批通知与用户准入通知两类；无消息时展示空态「暂无消息」；本期不提供公告发布能力。</w:t>
            </w:r>
          </w:p>
        </w:tc>
      </w:tr>
      <w:tr>
        <w:tc>
          <w:tcPr>
            <w:tcW w:type="dxa" w:w="1474"/>
          </w:tcPr>
          <w:p>
            <w:pPr>
              <w:spacing w:before="20" w:after="20" w:line="276" w:lineRule="auto"/>
              <w:ind w:firstLine="0"/>
            </w:pPr>
            <w:r/>
            <w:r>
              <w:rPr>
                <w:rFonts w:ascii="Times New Roman" w:hAnsi="Times New Roman" w:eastAsia="宋体"/>
                <w:b w:val="0"/>
                <w:i w:val="0"/>
                <w:sz w:val="21"/>
              </w:rPr>
              <w:t>待办事项全域聚合</w:t>
            </w:r>
          </w:p>
        </w:tc>
        <w:tc>
          <w:tcPr>
            <w:tcW w:type="dxa" w:w="3175"/>
          </w:tcPr>
          <w:p>
            <w:pPr>
              <w:spacing w:before="20" w:after="20" w:line="276" w:lineRule="auto"/>
              <w:ind w:firstLine="0"/>
            </w:pPr>
            <w:r/>
            <w:r>
              <w:rPr>
                <w:rFonts w:ascii="Times New Roman" w:hAnsi="Times New Roman" w:eastAsia="宋体"/>
                <w:b w:val="0"/>
                <w:i w:val="0"/>
                <w:sz w:val="21"/>
              </w:rPr>
              <w:t>底部待办事项区提供 10 个待办 Tab，表格列出合同编号、买卖方企业名称、收货人、数量、基准价格、运输方式与操作列，右下角提供分页。</w:t>
            </w:r>
          </w:p>
        </w:tc>
        <w:tc>
          <w:tcPr>
            <w:tcW w:type="dxa" w:w="4422"/>
          </w:tcPr>
          <w:p>
            <w:pPr>
              <w:spacing w:before="20" w:after="20" w:line="276" w:lineRule="auto"/>
              <w:ind w:firstLine="0"/>
            </w:pPr>
            <w:r/>
            <w:r>
              <w:rPr>
                <w:rFonts w:ascii="Times New Roman" w:hAnsi="Times New Roman" w:eastAsia="宋体"/>
                <w:b w:val="0"/>
                <w:i w:val="0"/>
                <w:sz w:val="21"/>
              </w:rPr>
              <w:t>待办 Tab 固定为上下游合同审批、上下游双签合同上传、待收货确认、待关联业务线、货转待审批、待上传货转生效单据、待审批结算单、待付款审批、回款待认领、待上传发票共 10 项；切换 Tab 必须重新渲染列表数据并同步更新计数，不得只切换选中态；默认 Tab 为上下游合同审批；操作列仅提供「查看」跳转到对应单据详情页。</w:t>
            </w:r>
          </w:p>
        </w:tc>
      </w:tr>
      <w:tr>
        <w:tc>
          <w:tcPr>
            <w:tcW w:type="dxa" w:w="1474"/>
          </w:tcPr>
          <w:p>
            <w:pPr>
              <w:spacing w:before="20" w:after="20" w:line="276" w:lineRule="auto"/>
              <w:ind w:firstLine="0"/>
            </w:pPr>
            <w:r/>
            <w:r>
              <w:rPr>
                <w:rFonts w:ascii="Times New Roman" w:hAnsi="Times New Roman" w:eastAsia="宋体"/>
                <w:b w:val="0"/>
                <w:i w:val="0"/>
                <w:sz w:val="21"/>
              </w:rPr>
              <w:t>全局导航与模块入口</w:t>
            </w:r>
          </w:p>
        </w:tc>
        <w:tc>
          <w:tcPr>
            <w:tcW w:type="dxa" w:w="3175"/>
          </w:tcPr>
          <w:p>
            <w:pPr>
              <w:spacing w:before="20" w:after="20" w:line="276" w:lineRule="auto"/>
              <w:ind w:firstLine="0"/>
            </w:pPr>
            <w:r/>
            <w:r>
              <w:rPr>
                <w:rFonts w:ascii="Times New Roman" w:hAnsi="Times New Roman" w:eastAsia="宋体"/>
                <w:b w:val="0"/>
                <w:i w:val="0"/>
                <w:sz w:val="21"/>
              </w:rPr>
              <w:t>顶部栏提供 7 个一级菜单入口与用户菜单，用户可从工作台直接进入任一业务模块。</w:t>
            </w:r>
          </w:p>
        </w:tc>
        <w:tc>
          <w:tcPr>
            <w:tcW w:type="dxa" w:w="4422"/>
          </w:tcPr>
          <w:p>
            <w:pPr>
              <w:spacing w:before="20" w:after="20" w:line="276" w:lineRule="auto"/>
              <w:ind w:firstLine="0"/>
            </w:pPr>
            <w:r/>
            <w:r>
              <w:rPr>
                <w:rFonts w:ascii="Times New Roman" w:hAnsi="Times New Roman" w:eastAsia="宋体"/>
                <w:b w:val="0"/>
                <w:i w:val="0"/>
                <w:sz w:val="21"/>
              </w:rPr>
              <w:t>一级菜单为工作台、准入管理、数字供应链、仓储管理、数据中心、预警中心、账户中心；消息 icon 指向通知中心，用户头像菜单提供个人中心与退出。</w:t>
            </w:r>
          </w:p>
        </w:tc>
      </w:tr>
      <w:tr>
        <w:tc>
          <w:tcPr>
            <w:tcW w:type="dxa" w:w="1474"/>
          </w:tcPr>
          <w:p>
            <w:pPr>
              <w:spacing w:before="20" w:after="20" w:line="276" w:lineRule="auto"/>
              <w:ind w:firstLine="0"/>
            </w:pPr>
            <w:r/>
            <w:r>
              <w:rPr>
                <w:rFonts w:ascii="Times New Roman" w:hAnsi="Times New Roman" w:eastAsia="宋体"/>
                <w:b w:val="0"/>
                <w:i w:val="0"/>
                <w:sz w:val="21"/>
              </w:rPr>
              <w:t>驾驶舱下钻</w:t>
            </w:r>
          </w:p>
        </w:tc>
        <w:tc>
          <w:tcPr>
            <w:tcW w:type="dxa" w:w="3175"/>
          </w:tcPr>
          <w:p>
            <w:pPr>
              <w:spacing w:before="20" w:after="20" w:line="276" w:lineRule="auto"/>
              <w:ind w:firstLine="0"/>
            </w:pPr>
            <w:r/>
            <w:r>
              <w:rPr>
                <w:rFonts w:ascii="Times New Roman" w:hAnsi="Times New Roman" w:eastAsia="宋体"/>
                <w:b w:val="0"/>
                <w:i w:val="0"/>
                <w:sz w:val="21"/>
              </w:rPr>
              <w:t>工作台概览区可下钻到驾驶舱，驾驶舱按统计周期与业务类型维度汇总项目、合同与客户数据。</w:t>
            </w:r>
          </w:p>
        </w:tc>
        <w:tc>
          <w:tcPr>
            <w:tcW w:type="dxa" w:w="4422"/>
          </w:tcPr>
          <w:p>
            <w:pPr>
              <w:spacing w:before="20" w:after="20" w:line="276" w:lineRule="auto"/>
              <w:ind w:firstLine="0"/>
            </w:pPr>
            <w:r/>
            <w:r>
              <w:rPr>
                <w:rFonts w:ascii="Times New Roman" w:hAnsi="Times New Roman" w:eastAsia="宋体"/>
                <w:b w:val="0"/>
                <w:i w:val="0"/>
                <w:sz w:val="21"/>
              </w:rPr>
              <w:t>驾驶舱提供统计周期与业务类型两个筛选维度，统计周期为空时展示全部数据；驾驶舱按概览、项目、合同、客户 4 个 Tab 分维度呈现，Tab 上的数量为系统当前真实数据条数。</w:t>
            </w:r>
          </w:p>
        </w:tc>
      </w:tr>
    </w:tbl>
    <w:p>
      <w:pPr>
        <w:spacing w:before="0" w:after="0" w:line="240" w:lineRule="auto"/>
      </w:pP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tblGrid>
      <w:tr>
        <w:trPr>
          <w:tblHeader w:val="true"/>
        </w:trPr>
        <w:tc>
          <w:tcPr>
            <w:tcW w:type="dxa" w:w="1247"/>
            <w:shd w:val="clear" w:color="auto" w:fill="DCE6F1"/>
          </w:tcPr>
          <w:p>
            <w:pPr>
              <w:spacing w:before="40" w:after="40" w:line="276" w:lineRule="auto"/>
              <w:jc w:val="center"/>
            </w:pPr>
            <w:r/>
            <w:r>
              <w:rPr>
                <w:rFonts w:ascii="Times New Roman" w:hAnsi="Times New Roman" w:eastAsia="黑体"/>
                <w:b/>
                <w:i w:val="0"/>
                <w:sz w:val="19"/>
              </w:rPr>
              <w:t>页面</w:t>
            </w:r>
          </w:p>
        </w:tc>
        <w:tc>
          <w:tcPr>
            <w:tcW w:type="dxa" w:w="1474"/>
            <w:shd w:val="clear" w:color="auto" w:fill="DCE6F1"/>
          </w:tcPr>
          <w:p>
            <w:pPr>
              <w:spacing w:before="40" w:after="40" w:line="276" w:lineRule="auto"/>
              <w:jc w:val="center"/>
            </w:pPr>
            <w:r/>
            <w:r>
              <w:rPr>
                <w:rFonts w:ascii="Times New Roman" w:hAnsi="Times New Roman" w:eastAsia="黑体"/>
                <w:b/>
                <w:i w:val="0"/>
                <w:sz w:val="19"/>
              </w:rPr>
              <w:t>文件</w:t>
            </w:r>
          </w:p>
        </w:tc>
        <w:tc>
          <w:tcPr>
            <w:tcW w:type="dxa" w:w="1134"/>
            <w:shd w:val="clear" w:color="auto" w:fill="DCE6F1"/>
          </w:tcPr>
          <w:p>
            <w:pPr>
              <w:spacing w:before="40" w:after="40" w:line="276" w:lineRule="auto"/>
              <w:jc w:val="center"/>
            </w:pPr>
            <w:r/>
            <w:r>
              <w:rPr>
                <w:rFonts w:ascii="Times New Roman" w:hAnsi="Times New Roman" w:eastAsia="黑体"/>
                <w:b/>
                <w:i w:val="0"/>
                <w:sz w:val="19"/>
              </w:rPr>
              <w:t>入口</w:t>
            </w:r>
          </w:p>
        </w:tc>
        <w:tc>
          <w:tcPr>
            <w:tcW w:type="dxa" w:w="2041"/>
            <w:shd w:val="clear" w:color="auto" w:fill="DCE6F1"/>
          </w:tcPr>
          <w:p>
            <w:pPr>
              <w:spacing w:before="40" w:after="40" w:line="276" w:lineRule="auto"/>
              <w:jc w:val="center"/>
            </w:pPr>
            <w:r/>
            <w:r>
              <w:rPr>
                <w:rFonts w:ascii="Times New Roman" w:hAnsi="Times New Roman" w:eastAsia="黑体"/>
                <w:b/>
                <w:i w:val="0"/>
                <w:sz w:val="19"/>
              </w:rPr>
              <w:t>主要区块</w:t>
            </w:r>
          </w:p>
        </w:tc>
        <w:tc>
          <w:tcPr>
            <w:tcW w:type="dxa" w:w="1701"/>
            <w:shd w:val="clear" w:color="auto" w:fill="DCE6F1"/>
          </w:tcPr>
          <w:p>
            <w:pPr>
              <w:spacing w:before="40" w:after="40" w:line="276" w:lineRule="auto"/>
              <w:jc w:val="center"/>
            </w:pPr>
            <w:r/>
            <w:r>
              <w:rPr>
                <w:rFonts w:ascii="Times New Roman" w:hAnsi="Times New Roman" w:eastAsia="黑体"/>
                <w:b/>
                <w:i w:val="0"/>
                <w:sz w:val="19"/>
              </w:rPr>
              <w:t>主要操作</w:t>
            </w:r>
          </w:p>
        </w:tc>
        <w:tc>
          <w:tcPr>
            <w:tcW w:type="dxa" w:w="1474"/>
            <w:shd w:val="clear" w:color="auto" w:fill="DCE6F1"/>
          </w:tcPr>
          <w:p>
            <w:pPr>
              <w:spacing w:before="40" w:after="40" w:line="276" w:lineRule="auto"/>
              <w:jc w:val="center"/>
            </w:pPr>
            <w:r/>
            <w:r>
              <w:rPr>
                <w:rFonts w:ascii="Times New Roman" w:hAnsi="Times New Roman" w:eastAsia="黑体"/>
                <w:b/>
                <w:i w:val="0"/>
                <w:sz w:val="19"/>
              </w:rPr>
              <w:t>跳转</w:t>
            </w:r>
          </w:p>
        </w:tc>
      </w:tr>
      <w:tr>
        <w:tc>
          <w:tcPr>
            <w:tcW w:type="dxa" w:w="1247"/>
          </w:tcPr>
          <w:p>
            <w:pPr>
              <w:spacing w:before="20" w:after="20" w:line="276" w:lineRule="auto"/>
              <w:ind w:firstLine="0"/>
            </w:pPr>
            <w:r/>
            <w:r>
              <w:rPr>
                <w:rFonts w:ascii="Times New Roman" w:hAnsi="Times New Roman" w:eastAsia="宋体"/>
                <w:b w:val="0"/>
                <w:i w:val="0"/>
                <w:sz w:val="19"/>
              </w:rPr>
              <w:t>工作台首页</w:t>
            </w:r>
          </w:p>
        </w:tc>
        <w:tc>
          <w:tcPr>
            <w:tcW w:type="dxa" w:w="1474"/>
          </w:tcPr>
          <w:p>
            <w:pPr>
              <w:spacing w:before="20" w:after="20" w:line="276" w:lineRule="auto"/>
              <w:ind w:firstLine="0"/>
            </w:pPr>
            <w:r/>
            <w:r>
              <w:rPr>
                <w:rFonts w:ascii="Times New Roman" w:hAnsi="Times New Roman" w:eastAsia="宋体"/>
                <w:b w:val="0"/>
                <w:i w:val="0"/>
                <w:sz w:val="19"/>
              </w:rPr>
              <w:t>workbench.html</w:t>
            </w:r>
          </w:p>
        </w:tc>
        <w:tc>
          <w:tcPr>
            <w:tcW w:type="dxa" w:w="1134"/>
          </w:tcPr>
          <w:p>
            <w:pPr>
              <w:spacing w:before="20" w:after="20" w:line="276" w:lineRule="auto"/>
              <w:ind w:firstLine="0"/>
            </w:pPr>
            <w:r/>
            <w:r>
              <w:rPr>
                <w:rFonts w:ascii="Times New Roman" w:hAnsi="Times New Roman" w:eastAsia="宋体"/>
                <w:b w:val="0"/>
                <w:i w:val="0"/>
                <w:sz w:val="19"/>
              </w:rPr>
              <w:t>登录后默认进入，或顶部栏工作台菜单</w:t>
            </w:r>
          </w:p>
        </w:tc>
        <w:tc>
          <w:tcPr>
            <w:tcW w:type="dxa" w:w="2041"/>
          </w:tcPr>
          <w:p>
            <w:pPr>
              <w:spacing w:before="20" w:after="20" w:line="276" w:lineRule="auto"/>
              <w:ind w:firstLine="0"/>
            </w:pPr>
            <w:r/>
            <w:r>
              <w:rPr>
                <w:rFonts w:ascii="Times New Roman" w:hAnsi="Times New Roman" w:eastAsia="宋体"/>
                <w:b w:val="0"/>
                <w:i w:val="0"/>
                <w:sz w:val="19"/>
              </w:rPr>
              <w:t>顶部栏 7 个一级菜单与消息入口、业务概览区（业务链路、合同签署情况、发运情况）、资金区（自有资金、融资资金）、预警提醒区 3 个子卡、通知中心区、待办事项区（10 个 Tab、表格与分页）</w:t>
            </w:r>
          </w:p>
        </w:tc>
        <w:tc>
          <w:tcPr>
            <w:tcW w:type="dxa" w:w="1701"/>
          </w:tcPr>
          <w:p>
            <w:pPr>
              <w:spacing w:before="20" w:after="20" w:line="276" w:lineRule="auto"/>
              <w:ind w:firstLine="0"/>
            </w:pPr>
            <w:r/>
            <w:r>
              <w:rPr>
                <w:rFonts w:ascii="Times New Roman" w:hAnsi="Times New Roman" w:eastAsia="宋体"/>
                <w:b w:val="0"/>
                <w:i w:val="0"/>
                <w:sz w:val="19"/>
              </w:rPr>
              <w:t>一级菜单切换、通知 icon、用户头像菜单、时间维度下拉、立即处理、查看全部、待办 Tab 切换、待办查看、分页</w:t>
            </w:r>
          </w:p>
        </w:tc>
        <w:tc>
          <w:tcPr>
            <w:tcW w:type="dxa" w:w="1474"/>
          </w:tcPr>
          <w:p>
            <w:pPr>
              <w:spacing w:before="20" w:after="20" w:line="276" w:lineRule="auto"/>
              <w:ind w:firstLine="0"/>
            </w:pPr>
            <w:r/>
            <w:r>
              <w:rPr>
                <w:rFonts w:ascii="Times New Roman" w:hAnsi="Times New Roman" w:eastAsia="宋体"/>
                <w:b w:val="0"/>
                <w:i w:val="0"/>
                <w:sz w:val="19"/>
              </w:rPr>
              <w:t>预警「立即处理」跳 warning-list.html 并携带级别过滤；待办「查看」跳对应单据详情页；概览区下钻跳驾驶舱</w:t>
            </w:r>
          </w:p>
        </w:tc>
      </w:tr>
      <w:tr>
        <w:tc>
          <w:tcPr>
            <w:tcW w:type="dxa" w:w="1247"/>
          </w:tcPr>
          <w:p>
            <w:pPr>
              <w:spacing w:before="20" w:after="20" w:line="276" w:lineRule="auto"/>
              <w:ind w:firstLine="0"/>
            </w:pPr>
            <w:r/>
            <w:r>
              <w:rPr>
                <w:rFonts w:ascii="Times New Roman" w:hAnsi="Times New Roman" w:eastAsia="宋体"/>
                <w:b w:val="0"/>
                <w:i w:val="0"/>
                <w:sz w:val="19"/>
              </w:rPr>
              <w:t>驾驶舱（高管视角汇总页）</w:t>
            </w:r>
          </w:p>
        </w:tc>
        <w:tc>
          <w:tcPr>
            <w:tcW w:type="dxa" w:w="1474"/>
          </w:tcPr>
          <w:p>
            <w:pPr>
              <w:spacing w:before="20" w:after="20" w:line="276" w:lineRule="auto"/>
              <w:ind w:firstLine="0"/>
            </w:pPr>
            <w:r/>
            <w:r>
              <w:rPr>
                <w:rFonts w:ascii="Times New Roman" w:hAnsi="Times New Roman" w:eastAsia="宋体"/>
                <w:b w:val="0"/>
                <w:i w:val="0"/>
                <w:sz w:val="19"/>
              </w:rPr>
              <w:t>cockpit.html</w:t>
            </w:r>
          </w:p>
        </w:tc>
        <w:tc>
          <w:tcPr>
            <w:tcW w:type="dxa" w:w="1134"/>
          </w:tcPr>
          <w:p>
            <w:pPr>
              <w:spacing w:before="20" w:after="20" w:line="276" w:lineRule="auto"/>
              <w:ind w:firstLine="0"/>
            </w:pPr>
            <w:r/>
            <w:r>
              <w:rPr>
                <w:rFonts w:ascii="Times New Roman" w:hAnsi="Times New Roman" w:eastAsia="宋体"/>
                <w:b w:val="0"/>
                <w:i w:val="0"/>
                <w:sz w:val="19"/>
              </w:rPr>
              <w:t>工作台概览区下钻，或顶部栏数据中心菜单</w:t>
            </w:r>
          </w:p>
        </w:tc>
        <w:tc>
          <w:tcPr>
            <w:tcW w:type="dxa" w:w="2041"/>
          </w:tcPr>
          <w:p>
            <w:pPr>
              <w:spacing w:before="20" w:after="20" w:line="276" w:lineRule="auto"/>
              <w:ind w:firstLine="0"/>
            </w:pPr>
            <w:r/>
            <w:r>
              <w:rPr>
                <w:rFonts w:ascii="Times New Roman" w:hAnsi="Times New Roman" w:eastAsia="宋体"/>
                <w:b w:val="0"/>
                <w:i w:val="0"/>
                <w:sz w:val="19"/>
              </w:rPr>
              <w:t>顶部筛选区（统计周期、业务类型）、状态 Tab（概览、项目、合同、客户）、卡片区</w:t>
            </w:r>
          </w:p>
        </w:tc>
        <w:tc>
          <w:tcPr>
            <w:tcW w:type="dxa" w:w="1701"/>
          </w:tcPr>
          <w:p>
            <w:pPr>
              <w:spacing w:before="20" w:after="20" w:line="276" w:lineRule="auto"/>
              <w:ind w:firstLine="0"/>
            </w:pPr>
            <w:r/>
            <w:r>
              <w:rPr>
                <w:rFonts w:ascii="Times New Roman" w:hAnsi="Times New Roman" w:eastAsia="宋体"/>
                <w:b w:val="0"/>
                <w:i w:val="0"/>
                <w:sz w:val="19"/>
              </w:rPr>
              <w:t>统计周期与业务类型筛选、状态 Tab 切换、卡片查看</w:t>
            </w:r>
          </w:p>
        </w:tc>
        <w:tc>
          <w:tcPr>
            <w:tcW w:type="dxa" w:w="1474"/>
          </w:tcPr>
          <w:p>
            <w:pPr>
              <w:spacing w:before="20" w:after="20" w:line="276" w:lineRule="auto"/>
              <w:ind w:firstLine="0"/>
            </w:pPr>
            <w:r/>
            <w:r>
              <w:rPr>
                <w:rFonts w:ascii="Times New Roman" w:hAnsi="Times New Roman" w:eastAsia="宋体"/>
                <w:b w:val="0"/>
                <w:i w:val="0"/>
                <w:sz w:val="19"/>
              </w:rPr>
              <w:t>卡片「查看」跳对应模块的项目、合同或客户详情</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4.4.5　数据关系</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474"/>
            <w:shd w:val="clear" w:color="auto" w:fill="DCE6F1"/>
          </w:tcPr>
          <w:p>
            <w:pPr>
              <w:spacing w:before="40" w:after="40" w:line="276" w:lineRule="auto"/>
              <w:jc w:val="center"/>
            </w:pPr>
            <w:r/>
            <w:r>
              <w:rPr>
                <w:rFonts w:ascii="Times New Roman" w:hAnsi="Times New Roman" w:eastAsia="黑体"/>
                <w:b/>
                <w:i w:val="0"/>
                <w:sz w:val="21"/>
              </w:rPr>
              <w:t>业务对象</w:t>
            </w:r>
          </w:p>
        </w:tc>
        <w:tc>
          <w:tcPr>
            <w:tcW w:type="dxa" w:w="4195"/>
            <w:shd w:val="clear" w:color="auto" w:fill="DCE6F1"/>
          </w:tcPr>
          <w:p>
            <w:pPr>
              <w:spacing w:before="40" w:after="40" w:line="276" w:lineRule="auto"/>
              <w:jc w:val="center"/>
            </w:pPr>
            <w:r/>
            <w:r>
              <w:rPr>
                <w:rFonts w:ascii="Times New Roman" w:hAnsi="Times New Roman" w:eastAsia="黑体"/>
                <w:b/>
                <w:i w:val="0"/>
                <w:sz w:val="21"/>
              </w:rPr>
              <w:t>关键字段与口径</w:t>
            </w:r>
          </w:p>
        </w:tc>
        <w:tc>
          <w:tcPr>
            <w:tcW w:type="dxa" w:w="3402"/>
            <w:shd w:val="clear" w:color="auto" w:fill="DCE6F1"/>
          </w:tcPr>
          <w:p>
            <w:pPr>
              <w:spacing w:before="40" w:after="40" w:line="276" w:lineRule="auto"/>
              <w:jc w:val="center"/>
            </w:pPr>
            <w:r/>
            <w:r>
              <w:rPr>
                <w:rFonts w:ascii="Times New Roman" w:hAnsi="Times New Roman" w:eastAsia="黑体"/>
                <w:b/>
                <w:i w:val="0"/>
                <w:sz w:val="21"/>
              </w:rPr>
              <w:t>与其他对象的关系</w:t>
            </w:r>
          </w:p>
        </w:tc>
      </w:tr>
      <w:tr>
        <w:tc>
          <w:tcPr>
            <w:tcW w:type="dxa" w:w="1474"/>
          </w:tcPr>
          <w:p>
            <w:pPr>
              <w:spacing w:before="20" w:after="20" w:line="276" w:lineRule="auto"/>
              <w:ind w:firstLine="0"/>
            </w:pPr>
            <w:r/>
            <w:r>
              <w:rPr>
                <w:rFonts w:ascii="Times New Roman" w:hAnsi="Times New Roman" w:eastAsia="宋体"/>
                <w:b w:val="0"/>
                <w:i w:val="0"/>
                <w:sz w:val="21"/>
              </w:rPr>
              <w:t>待办事项</w:t>
            </w:r>
          </w:p>
        </w:tc>
        <w:tc>
          <w:tcPr>
            <w:tcW w:type="dxa" w:w="4195"/>
          </w:tcPr>
          <w:p>
            <w:pPr>
              <w:spacing w:before="20" w:after="20" w:line="276" w:lineRule="auto"/>
              <w:ind w:firstLine="0"/>
            </w:pPr>
            <w:r/>
            <w:r>
              <w:rPr>
                <w:rFonts w:ascii="Times New Roman" w:hAnsi="Times New Roman" w:eastAsia="宋体"/>
                <w:b w:val="0"/>
                <w:i w:val="0"/>
                <w:sz w:val="21"/>
              </w:rPr>
              <w:t>待办类型：10 个 Tab</w:t>
            </w:r>
            <w:r>
              <w:br/>
            </w:r>
            <w:r>
              <w:rPr>
                <w:rFonts w:ascii="Times New Roman" w:hAnsi="Times New Roman" w:eastAsia="宋体"/>
                <w:b w:val="0"/>
                <w:i w:val="0"/>
                <w:sz w:val="21"/>
              </w:rPr>
              <w:t>列表列：合同编号、买或卖方企业名称、收货人、数量（吨）、基准价格（元）、运输方式、操作</w:t>
            </w:r>
            <w:r>
              <w:br/>
            </w:r>
            <w:r>
              <w:rPr>
                <w:rFonts w:ascii="Times New Roman" w:hAnsi="Times New Roman" w:eastAsia="宋体"/>
                <w:b w:val="0"/>
                <w:i w:val="0"/>
                <w:sz w:val="21"/>
              </w:rPr>
              <w:t>分页：共 X 条，第 1/N 页</w:t>
            </w:r>
            <w:r>
              <w:br/>
            </w:r>
            <w:r>
              <w:rPr>
                <w:rFonts w:ascii="Times New Roman" w:hAnsi="Times New Roman" w:eastAsia="宋体"/>
                <w:b w:val="0"/>
                <w:i w:val="0"/>
                <w:sz w:val="21"/>
              </w:rPr>
              <w:t>计数：按 Tab 实时统计并与列表同步</w:t>
            </w:r>
          </w:p>
        </w:tc>
        <w:tc>
          <w:tcPr>
            <w:tcW w:type="dxa" w:w="3402"/>
          </w:tcPr>
          <w:p>
            <w:pPr>
              <w:spacing w:before="20" w:after="20" w:line="276" w:lineRule="auto"/>
              <w:ind w:firstLine="0"/>
            </w:pPr>
            <w:r/>
            <w:r>
              <w:rPr>
                <w:rFonts w:ascii="Times New Roman" w:hAnsi="Times New Roman" w:eastAsia="宋体"/>
                <w:b w:val="0"/>
                <w:i w:val="0"/>
                <w:sz w:val="21"/>
              </w:rPr>
              <w:t>汇聚合同管理、收发货管理、业务线管理、货转管理、结算单管理、资金管理、发票管理 7 个模块的待办</w:t>
            </w:r>
          </w:p>
        </w:tc>
      </w:tr>
      <w:tr>
        <w:tc>
          <w:tcPr>
            <w:tcW w:type="dxa" w:w="1474"/>
          </w:tcPr>
          <w:p>
            <w:pPr>
              <w:spacing w:before="20" w:after="20" w:line="276" w:lineRule="auto"/>
              <w:ind w:firstLine="0"/>
            </w:pPr>
            <w:r/>
            <w:r>
              <w:rPr>
                <w:rFonts w:ascii="Times New Roman" w:hAnsi="Times New Roman" w:eastAsia="宋体"/>
                <w:b w:val="0"/>
                <w:i w:val="0"/>
                <w:sz w:val="21"/>
              </w:rPr>
              <w:t>预警条目</w:t>
            </w:r>
          </w:p>
        </w:tc>
        <w:tc>
          <w:tcPr>
            <w:tcW w:type="dxa" w:w="4195"/>
          </w:tcPr>
          <w:p>
            <w:pPr>
              <w:spacing w:before="20" w:after="20" w:line="276" w:lineRule="auto"/>
              <w:ind w:firstLine="0"/>
            </w:pPr>
            <w:r/>
            <w:r>
              <w:rPr>
                <w:rFonts w:ascii="Times New Roman" w:hAnsi="Times New Roman" w:eastAsia="宋体"/>
                <w:b w:val="0"/>
                <w:i w:val="0"/>
                <w:sz w:val="21"/>
              </w:rPr>
              <w:t>风险级别：高风险、中风险、低风险</w:t>
            </w:r>
            <w:r>
              <w:br/>
            </w:r>
            <w:r>
              <w:rPr>
                <w:rFonts w:ascii="Times New Roman" w:hAnsi="Times New Roman" w:eastAsia="宋体"/>
                <w:b w:val="0"/>
                <w:i w:val="0"/>
                <w:sz w:val="21"/>
              </w:rPr>
              <w:t>数量：按级别统计的未处理条目数</w:t>
            </w:r>
            <w:r>
              <w:br/>
            </w:r>
            <w:r>
              <w:rPr>
                <w:rFonts w:ascii="Times New Roman" w:hAnsi="Times New Roman" w:eastAsia="宋体"/>
                <w:b w:val="0"/>
                <w:i w:val="0"/>
                <w:sz w:val="21"/>
              </w:rPr>
              <w:t>处理动作：立即处理（跳转预警中心并带级别过滤）</w:t>
            </w:r>
          </w:p>
        </w:tc>
        <w:tc>
          <w:tcPr>
            <w:tcW w:type="dxa" w:w="3402"/>
          </w:tcPr>
          <w:p>
            <w:pPr>
              <w:spacing w:before="20" w:after="20" w:line="276" w:lineRule="auto"/>
              <w:ind w:firstLine="0"/>
            </w:pPr>
            <w:r/>
            <w:r>
              <w:rPr>
                <w:rFonts w:ascii="Times New Roman" w:hAnsi="Times New Roman" w:eastAsia="宋体"/>
                <w:b w:val="0"/>
                <w:i w:val="0"/>
                <w:sz w:val="21"/>
              </w:rPr>
              <w:t>来自预警中心，首页按级别聚合并作为预警处置的入口</w:t>
            </w:r>
          </w:p>
        </w:tc>
      </w:tr>
      <w:tr>
        <w:tc>
          <w:tcPr>
            <w:tcW w:type="dxa" w:w="1474"/>
          </w:tcPr>
          <w:p>
            <w:pPr>
              <w:spacing w:before="20" w:after="20" w:line="276" w:lineRule="auto"/>
              <w:ind w:firstLine="0"/>
            </w:pPr>
            <w:r/>
            <w:r>
              <w:rPr>
                <w:rFonts w:ascii="Times New Roman" w:hAnsi="Times New Roman" w:eastAsia="宋体"/>
                <w:b w:val="0"/>
                <w:i w:val="0"/>
                <w:sz w:val="21"/>
              </w:rPr>
              <w:t>通知消息</w:t>
            </w:r>
          </w:p>
        </w:tc>
        <w:tc>
          <w:tcPr>
            <w:tcW w:type="dxa" w:w="4195"/>
          </w:tcPr>
          <w:p>
            <w:pPr>
              <w:spacing w:before="20" w:after="20" w:line="276" w:lineRule="auto"/>
              <w:ind w:firstLine="0"/>
            </w:pPr>
            <w:r/>
            <w:r>
              <w:rPr>
                <w:rFonts w:ascii="Times New Roman" w:hAnsi="Times New Roman" w:eastAsia="宋体"/>
                <w:b w:val="0"/>
                <w:i w:val="0"/>
                <w:sz w:val="21"/>
              </w:rPr>
              <w:t>消息类型：审批通知、用户准入通知</w:t>
            </w:r>
            <w:r>
              <w:br/>
            </w:r>
            <w:r>
              <w:rPr>
                <w:rFonts w:ascii="Times New Roman" w:hAnsi="Times New Roman" w:eastAsia="宋体"/>
                <w:b w:val="0"/>
                <w:i w:val="0"/>
                <w:sz w:val="21"/>
              </w:rPr>
              <w:t>状态：已读、未读</w:t>
            </w:r>
          </w:p>
        </w:tc>
        <w:tc>
          <w:tcPr>
            <w:tcW w:type="dxa" w:w="3402"/>
          </w:tcPr>
          <w:p>
            <w:pPr>
              <w:spacing w:before="20" w:after="20" w:line="276" w:lineRule="auto"/>
              <w:ind w:firstLine="0"/>
            </w:pPr>
            <w:r/>
            <w:r>
              <w:rPr>
                <w:rFonts w:ascii="Times New Roman" w:hAnsi="Times New Roman" w:eastAsia="宋体"/>
                <w:b w:val="0"/>
                <w:i w:val="0"/>
                <w:sz w:val="21"/>
              </w:rPr>
              <w:t>由审批流程与用户准入流程产生，在顶部消息入口集中呈现</w:t>
            </w:r>
          </w:p>
        </w:tc>
      </w:tr>
      <w:tr>
        <w:tc>
          <w:tcPr>
            <w:tcW w:type="dxa" w:w="1474"/>
          </w:tcPr>
          <w:p>
            <w:pPr>
              <w:spacing w:before="20" w:after="20" w:line="276" w:lineRule="auto"/>
              <w:ind w:firstLine="0"/>
            </w:pPr>
            <w:r/>
            <w:r>
              <w:rPr>
                <w:rFonts w:ascii="Times New Roman" w:hAnsi="Times New Roman" w:eastAsia="宋体"/>
                <w:b w:val="0"/>
                <w:i w:val="0"/>
                <w:sz w:val="21"/>
              </w:rPr>
              <w:t>业务概览指标</w:t>
            </w:r>
          </w:p>
        </w:tc>
        <w:tc>
          <w:tcPr>
            <w:tcW w:type="dxa" w:w="4195"/>
          </w:tcPr>
          <w:p>
            <w:pPr>
              <w:spacing w:before="20" w:after="20" w:line="276" w:lineRule="auto"/>
              <w:ind w:firstLine="0"/>
            </w:pPr>
            <w:r/>
            <w:r>
              <w:rPr>
                <w:rFonts w:ascii="Times New Roman" w:hAnsi="Times New Roman" w:eastAsia="宋体"/>
                <w:b w:val="0"/>
                <w:i w:val="0"/>
                <w:sz w:val="21"/>
              </w:rPr>
              <w:t>合同签署情况：按万（吨）计量</w:t>
            </w:r>
            <w:r>
              <w:br/>
            </w:r>
            <w:r>
              <w:rPr>
                <w:rFonts w:ascii="Times New Roman" w:hAnsi="Times New Roman" w:eastAsia="宋体"/>
                <w:b w:val="0"/>
                <w:i w:val="0"/>
                <w:sz w:val="21"/>
              </w:rPr>
              <w:t>发运情况：按吨计量</w:t>
            </w:r>
            <w:r>
              <w:br/>
            </w:r>
            <w:r>
              <w:rPr>
                <w:rFonts w:ascii="Times New Roman" w:hAnsi="Times New Roman" w:eastAsia="宋体"/>
                <w:b w:val="0"/>
                <w:i w:val="0"/>
                <w:sz w:val="21"/>
              </w:rPr>
              <w:t>自有资金：付款金额、回款金额，维度为本年</w:t>
            </w:r>
            <w:r>
              <w:br/>
            </w:r>
            <w:r>
              <w:rPr>
                <w:rFonts w:ascii="Times New Roman" w:hAnsi="Times New Roman" w:eastAsia="宋体"/>
                <w:b w:val="0"/>
                <w:i w:val="0"/>
                <w:sz w:val="21"/>
              </w:rPr>
              <w:t>融资资金：放款金额、还款金额，维度为全部或本年</w:t>
            </w:r>
          </w:p>
        </w:tc>
        <w:tc>
          <w:tcPr>
            <w:tcW w:type="dxa" w:w="3402"/>
          </w:tcPr>
          <w:p>
            <w:pPr>
              <w:spacing w:before="20" w:after="20" w:line="276" w:lineRule="auto"/>
              <w:ind w:firstLine="0"/>
            </w:pPr>
            <w:r/>
            <w:r>
              <w:rPr>
                <w:rFonts w:ascii="Times New Roman" w:hAnsi="Times New Roman" w:eastAsia="宋体"/>
                <w:b w:val="0"/>
                <w:i w:val="0"/>
                <w:sz w:val="21"/>
              </w:rPr>
              <w:t>分别取自合同管理、收发货管理、资金管理，与驾驶舱汇总口径保持一致</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4.4.6　角色权限与数据权限</w:t>
      </w:r>
    </w:p>
    <w:p>
      <w:pPr>
        <w:spacing w:before="0" w:after="120" w:line="360" w:lineRule="auto"/>
      </w:pPr>
      <w:r>
        <w:rPr>
          <w:rFonts w:ascii="Times New Roman" w:hAnsi="Times New Roman" w:eastAsia="宋体"/>
          <w:b w:val="0"/>
          <w:i w:val="0"/>
          <w:sz w:val="24"/>
        </w:rPr>
        <w:t>本期为系统全量权限（业务方裁决 D17）；下表角色为典型使用角色，非权限分级。工作台各区块对全部用户可见，差异仅体现在聚合的数据范围与统计口径；用户无任何模块权限时各区块显示「无访问权限」占位。</w:t>
      </w:r>
    </w:p>
    <w:p>
      <w:pPr>
        <w:spacing w:before="0" w:after="80" w:line="360" w:lineRule="auto"/>
      </w:pPr>
      <w:r>
        <w:rPr>
          <w:rFonts w:ascii="Times New Roman" w:hAnsi="Times New Roman" w:eastAsia="宋体"/>
          <w:b w:val="0"/>
          <w:i w:val="0"/>
          <w:sz w:val="24"/>
        </w:rPr>
        <w:t>数据可见性：按单据归属与业务筛选查看；手机号、统一社会信用代码等敏感字段默认打码，手动点击查看完整值且查看行为留痕。</w:t>
      </w:r>
    </w:p>
    <w:p>
      <w:pPr>
        <w:pStyle w:val="Heading3"/>
        <w:keepNext/>
        <w:spacing w:before="160" w:after="80" w:line="312" w:lineRule="auto"/>
        <w:ind w:firstLine="0"/>
      </w:pPr>
      <w:r>
        <w:rPr>
          <w:rFonts w:ascii="Times New Roman" w:hAnsi="Times New Roman" w:eastAsia="黑体"/>
          <w:b/>
          <w:i w:val="0"/>
          <w:sz w:val="24"/>
        </w:rPr>
        <w:t>4.4.7　业务流程与页面</w:t>
      </w:r>
    </w:p>
    <w:p>
      <w:pPr>
        <w:spacing w:before="120" w:after="60"/>
        <w:ind w:firstLine="0"/>
        <w:jc w:val="center"/>
      </w:pPr>
      <w:r>
        <w:drawing>
          <wp:inline xmlns:a="http://schemas.openxmlformats.org/drawingml/2006/main" xmlns:pic="http://schemas.openxmlformats.org/drawingml/2006/picture">
            <wp:extent cx="5616000" cy="3921517"/>
            <wp:docPr id="7" name="Picture 7"/>
            <wp:cNvGraphicFramePr>
              <a:graphicFrameLocks noChangeAspect="1"/>
            </wp:cNvGraphicFramePr>
            <a:graphic>
              <a:graphicData uri="http://schemas.openxmlformats.org/drawingml/2006/picture">
                <pic:pic>
                  <pic:nvPicPr>
                    <pic:cNvPr id="0" name="mermaid-workbench.png"/>
                    <pic:cNvPicPr/>
                  </pic:nvPicPr>
                  <pic:blipFill>
                    <a:blip r:embed="rId17"/>
                    <a:stretch>
                      <a:fillRect/>
                    </a:stretch>
                  </pic:blipFill>
                  <pic:spPr>
                    <a:xfrm>
                      <a:off x="0" y="0"/>
                      <a:ext cx="5616000" cy="3921517"/>
                    </a:xfrm>
                    <a:prstGeom prst="rect"/>
                  </pic:spPr>
                </pic:pic>
              </a:graphicData>
            </a:graphic>
          </wp:inline>
        </w:drawing>
      </w:r>
    </w:p>
    <w:p>
      <w:pPr>
        <w:spacing w:before="0" w:after="200" w:line="240" w:lineRule="auto"/>
        <w:ind w:firstLine="0"/>
        <w:jc w:val="center"/>
      </w:pPr>
      <w:r>
        <w:rPr>
          <w:rFonts w:ascii="Times New Roman" w:hAnsi="Times New Roman" w:eastAsia="宋体"/>
          <w:b w:val="0"/>
          <w:i w:val="0"/>
          <w:sz w:val="21"/>
        </w:rPr>
        <w:t>图 4-4-1　工作台 主业务流程</w:t>
      </w:r>
    </w:p>
    <w:p>
      <w:pPr>
        <w:spacing w:before="0" w:after="60" w:line="360" w:lineRule="auto"/>
      </w:pPr>
      <w:r>
        <w:rPr>
          <w:rFonts w:ascii="Times New Roman" w:hAnsi="Times New Roman" w:eastAsia="宋体"/>
          <w:b/>
          <w:i w:val="0"/>
          <w:sz w:val="24"/>
        </w:rPr>
        <w:t>主流程步骤：</w:t>
      </w:r>
    </w:p>
    <w:p>
      <w:pPr>
        <w:spacing w:before="0" w:after="60" w:line="336" w:lineRule="auto"/>
        <w:ind w:left="510" w:hanging="510"/>
      </w:pPr>
      <w:r>
        <w:rPr>
          <w:rFonts w:ascii="Times New Roman" w:hAnsi="Times New Roman" w:eastAsia="宋体"/>
          <w:b w:val="0"/>
          <w:i w:val="0"/>
          <w:sz w:val="24"/>
        </w:rPr>
        <w:t>1. 用户登录后默认进入工作台</w:t>
      </w:r>
    </w:p>
    <w:p>
      <w:pPr>
        <w:spacing w:before="0" w:after="60" w:line="336" w:lineRule="auto"/>
        <w:ind w:left="510" w:hanging="510"/>
      </w:pPr>
      <w:r>
        <w:rPr>
          <w:rFonts w:ascii="Times New Roman" w:hAnsi="Times New Roman" w:eastAsia="宋体"/>
          <w:b w:val="0"/>
          <w:i w:val="0"/>
          <w:sz w:val="24"/>
        </w:rPr>
        <w:t>2. 系统按 7 个一级模块聚合接口一次性拉取各区块数据，进入页面时一次性请求，5 分钟内不重复请求</w:t>
      </w:r>
    </w:p>
    <w:p>
      <w:pPr>
        <w:spacing w:before="0" w:after="60" w:line="336" w:lineRule="auto"/>
        <w:ind w:left="510" w:hanging="510"/>
      </w:pPr>
      <w:r>
        <w:rPr>
          <w:rFonts w:ascii="Times New Roman" w:hAnsi="Times New Roman" w:eastAsia="宋体"/>
          <w:b w:val="0"/>
          <w:i w:val="0"/>
          <w:sz w:val="24"/>
        </w:rPr>
        <w:t>3. 顶部业务概览区展示合同签署情况、发运情况与自有及融资金额</w:t>
      </w:r>
    </w:p>
    <w:p>
      <w:pPr>
        <w:spacing w:before="0" w:after="60" w:line="336" w:lineRule="auto"/>
        <w:ind w:left="510" w:hanging="510"/>
      </w:pPr>
      <w:r>
        <w:rPr>
          <w:rFonts w:ascii="Times New Roman" w:hAnsi="Times New Roman" w:eastAsia="宋体"/>
          <w:b w:val="0"/>
          <w:i w:val="0"/>
          <w:sz w:val="24"/>
        </w:rPr>
        <w:t>4. 预警提醒区按高、中、低 3 个级别展示预警数量，可「立即处理」跳转预警中心并携带级别过滤</w:t>
      </w:r>
    </w:p>
    <w:p>
      <w:pPr>
        <w:spacing w:before="0" w:after="60" w:line="336" w:lineRule="auto"/>
        <w:ind w:left="510" w:hanging="510"/>
      </w:pPr>
      <w:r>
        <w:rPr>
          <w:rFonts w:ascii="Times New Roman" w:hAnsi="Times New Roman" w:eastAsia="宋体"/>
          <w:b w:val="0"/>
          <w:i w:val="0"/>
          <w:sz w:val="24"/>
        </w:rPr>
        <w:t>5. 通知中心呈现审批通知与用户准入通知，顶部消息图标显示未读数</w:t>
      </w:r>
    </w:p>
    <w:p>
      <w:pPr>
        <w:spacing w:before="0" w:after="60" w:line="336" w:lineRule="auto"/>
        <w:ind w:left="510" w:hanging="510"/>
      </w:pPr>
      <w:r>
        <w:rPr>
          <w:rFonts w:ascii="Times New Roman" w:hAnsi="Times New Roman" w:eastAsia="宋体"/>
          <w:b w:val="0"/>
          <w:i w:val="0"/>
          <w:sz w:val="24"/>
        </w:rPr>
        <w:t>6. 待办事项区默认加载上下游合同审批 Tab 的列表与计数</w:t>
      </w:r>
    </w:p>
    <w:p>
      <w:pPr>
        <w:spacing w:before="0" w:after="60" w:line="336" w:lineRule="auto"/>
        <w:ind w:left="510" w:hanging="510"/>
      </w:pPr>
      <w:r>
        <w:rPr>
          <w:rFonts w:ascii="Times New Roman" w:hAnsi="Times New Roman" w:eastAsia="宋体"/>
          <w:b w:val="0"/>
          <w:i w:val="0"/>
          <w:sz w:val="24"/>
        </w:rPr>
        <w:t>7. 用户切换到其他待办 Tab，系统重新渲染对应列表并更新该 Tab 计数</w:t>
      </w:r>
    </w:p>
    <w:p>
      <w:pPr>
        <w:spacing w:before="0" w:after="60" w:line="336" w:lineRule="auto"/>
        <w:ind w:left="510" w:hanging="510"/>
      </w:pPr>
      <w:r>
        <w:rPr>
          <w:rFonts w:ascii="Times New Roman" w:hAnsi="Times New Roman" w:eastAsia="宋体"/>
          <w:b w:val="0"/>
          <w:i w:val="0"/>
          <w:sz w:val="24"/>
        </w:rPr>
        <w:t>8. 用户在待办行点击「查看」跳转到对应单据详情页，由对应模块完成处理</w:t>
      </w:r>
    </w:p>
    <w:p>
      <w:pPr>
        <w:spacing w:before="0" w:after="60" w:line="336" w:lineRule="auto"/>
        <w:ind w:left="510" w:hanging="510"/>
      </w:pPr>
      <w:r>
        <w:rPr>
          <w:rFonts w:ascii="Times New Roman" w:hAnsi="Times New Roman" w:eastAsia="宋体"/>
          <w:b w:val="0"/>
          <w:i w:val="0"/>
          <w:sz w:val="24"/>
        </w:rPr>
        <w:t>9. 聚合接口超时时该区块降级为暂无数据，其余区块正常显示；全部接口失败时页面顶部显示红色重试横幅</w:t>
      </w:r>
    </w:p>
    <w:p>
      <w:pPr>
        <w:spacing w:before="120" w:after="60" w:line="360" w:lineRule="auto"/>
      </w:pPr>
      <w:r>
        <w:rPr>
          <w:rFonts w:ascii="Times New Roman" w:hAnsi="Times New Roman" w:eastAsia="宋体"/>
          <w:b/>
          <w:i w:val="0"/>
          <w:sz w:val="24"/>
        </w:rPr>
        <w:t>异常分支：</w:t>
      </w:r>
    </w:p>
    <w:tbl>
      <w:tblPr>
        <w:tblStyle w:val="TableGrid"/>
        <w:tblW w:type="auto" w:w="0"/>
        <w:jc w:val="center"/>
        <w:tblLayout w:type="fixed"/>
        <w:tblLook w:firstColumn="1" w:firstRow="1" w:lastColumn="0" w:lastRow="0" w:noHBand="0" w:noVBand="1" w:val="04A0"/>
      </w:tblPr>
      <w:tblGrid>
        <w:gridCol w:w="4479"/>
        <w:gridCol w:w="4479"/>
      </w:tblGrid>
      <w:tr>
        <w:trPr>
          <w:tblHeader w:val="true"/>
        </w:trPr>
        <w:tc>
          <w:tcPr>
            <w:tcW w:type="dxa" w:w="2835"/>
            <w:shd w:val="clear" w:color="auto" w:fill="DCE6F1"/>
          </w:tcPr>
          <w:p>
            <w:pPr>
              <w:spacing w:before="40" w:after="40" w:line="276" w:lineRule="auto"/>
              <w:jc w:val="center"/>
            </w:pPr>
            <w:r/>
            <w:r>
              <w:rPr>
                <w:rFonts w:ascii="Times New Roman" w:hAnsi="Times New Roman" w:eastAsia="黑体"/>
                <w:b/>
                <w:i w:val="0"/>
                <w:sz w:val="21"/>
              </w:rPr>
              <w:t>异常场景</w:t>
            </w:r>
          </w:p>
        </w:tc>
        <w:tc>
          <w:tcPr>
            <w:tcW w:type="dxa" w:w="6236"/>
            <w:shd w:val="clear" w:color="auto" w:fill="DCE6F1"/>
          </w:tcPr>
          <w:p>
            <w:pPr>
              <w:spacing w:before="40" w:after="40" w:line="276" w:lineRule="auto"/>
              <w:jc w:val="center"/>
            </w:pPr>
            <w:r/>
            <w:r>
              <w:rPr>
                <w:rFonts w:ascii="Times New Roman" w:hAnsi="Times New Roman" w:eastAsia="黑体"/>
                <w:b/>
                <w:i w:val="0"/>
                <w:sz w:val="21"/>
              </w:rPr>
              <w:t>系统处理</w:t>
            </w:r>
          </w:p>
        </w:tc>
      </w:tr>
      <w:tr>
        <w:tc>
          <w:tcPr>
            <w:tcW w:type="dxa" w:w="2835"/>
          </w:tcPr>
          <w:p>
            <w:pPr>
              <w:spacing w:before="20" w:after="20" w:line="276" w:lineRule="auto"/>
              <w:ind w:firstLine="0"/>
            </w:pPr>
            <w:r/>
            <w:r>
              <w:rPr>
                <w:rFonts w:ascii="Times New Roman" w:hAnsi="Times New Roman" w:eastAsia="宋体"/>
                <w:b w:val="0"/>
                <w:i w:val="0"/>
                <w:sz w:val="21"/>
              </w:rPr>
              <w:t>无权限访问</w:t>
            </w:r>
          </w:p>
        </w:tc>
        <w:tc>
          <w:tcPr>
            <w:tcW w:type="dxa" w:w="6236"/>
          </w:tcPr>
          <w:p>
            <w:pPr>
              <w:spacing w:before="20" w:after="20" w:line="276" w:lineRule="auto"/>
              <w:ind w:firstLine="0"/>
            </w:pPr>
            <w:r/>
            <w:r>
              <w:rPr>
                <w:rFonts w:ascii="Times New Roman" w:hAnsi="Times New Roman" w:eastAsia="宋体"/>
                <w:b w:val="0"/>
                <w:i w:val="0"/>
                <w:sz w:val="21"/>
              </w:rPr>
              <w:t>用户无任何模块权限时，工作台所有区块均显示「无访问权限」占位</w:t>
            </w:r>
          </w:p>
        </w:tc>
      </w:tr>
      <w:tr>
        <w:tc>
          <w:tcPr>
            <w:tcW w:type="dxa" w:w="2835"/>
          </w:tcPr>
          <w:p>
            <w:pPr>
              <w:spacing w:before="20" w:after="20" w:line="276" w:lineRule="auto"/>
              <w:ind w:firstLine="0"/>
            </w:pPr>
            <w:r/>
            <w:r>
              <w:rPr>
                <w:rFonts w:ascii="Times New Roman" w:hAnsi="Times New Roman" w:eastAsia="宋体"/>
                <w:b w:val="0"/>
                <w:i w:val="0"/>
                <w:sz w:val="21"/>
              </w:rPr>
              <w:t>空数据</w:t>
            </w:r>
          </w:p>
        </w:tc>
        <w:tc>
          <w:tcPr>
            <w:tcW w:type="dxa" w:w="6236"/>
          </w:tcPr>
          <w:p>
            <w:pPr>
              <w:spacing w:before="20" w:after="20" w:line="276" w:lineRule="auto"/>
              <w:ind w:firstLine="0"/>
            </w:pPr>
            <w:r/>
            <w:r>
              <w:rPr>
                <w:rFonts w:ascii="Times New Roman" w:hAnsi="Times New Roman" w:eastAsia="宋体"/>
                <w:b w:val="0"/>
                <w:i w:val="0"/>
                <w:sz w:val="21"/>
              </w:rPr>
              <w:t>待办列表为空时表格显示「暂无待办」空状态行，某个 Tab 无数据时该 Tab 仍可点击并显示空状态；某预警级别数量为 0 时保留该子卡与提示文案；通知中心无消息时显示「暂无消息」</w:t>
            </w:r>
          </w:p>
        </w:tc>
      </w:tr>
      <w:tr>
        <w:tc>
          <w:tcPr>
            <w:tcW w:type="dxa" w:w="2835"/>
          </w:tcPr>
          <w:p>
            <w:pPr>
              <w:spacing w:before="20" w:after="20" w:line="276" w:lineRule="auto"/>
              <w:ind w:firstLine="0"/>
            </w:pPr>
            <w:r/>
            <w:r>
              <w:rPr>
                <w:rFonts w:ascii="Times New Roman" w:hAnsi="Times New Roman" w:eastAsia="宋体"/>
                <w:b w:val="0"/>
                <w:i w:val="0"/>
                <w:sz w:val="21"/>
              </w:rPr>
              <w:t>重复提交</w:t>
            </w:r>
          </w:p>
        </w:tc>
        <w:tc>
          <w:tcPr>
            <w:tcW w:type="dxa" w:w="6236"/>
          </w:tcPr>
          <w:p>
            <w:pPr>
              <w:spacing w:before="20" w:after="20" w:line="276" w:lineRule="auto"/>
              <w:ind w:firstLine="0"/>
            </w:pPr>
            <w:r/>
            <w:r>
              <w:rPr>
                <w:rFonts w:ascii="Times New Roman" w:hAnsi="Times New Roman" w:eastAsia="宋体"/>
                <w:b w:val="0"/>
                <w:i w:val="0"/>
                <w:sz w:val="21"/>
              </w:rPr>
              <w:t>工作台为只读聚合视图，页面不提供提交类操作，待办处理需跳转到单据详情页由对应模块完成，避免在工作台重复提交；待办计数按 Tab 维度独立更新，切换 Tab 不会重复计数</w:t>
            </w:r>
          </w:p>
        </w:tc>
      </w:tr>
      <w:tr>
        <w:tc>
          <w:tcPr>
            <w:tcW w:type="dxa" w:w="2835"/>
          </w:tcPr>
          <w:p>
            <w:pPr>
              <w:spacing w:before="20" w:after="20" w:line="276" w:lineRule="auto"/>
              <w:ind w:firstLine="0"/>
            </w:pPr>
            <w:r/>
            <w:r>
              <w:rPr>
                <w:rFonts w:ascii="Times New Roman" w:hAnsi="Times New Roman" w:eastAsia="宋体"/>
                <w:b w:val="0"/>
                <w:i w:val="0"/>
                <w:sz w:val="21"/>
              </w:rPr>
              <w:t>接口失败</w:t>
            </w:r>
          </w:p>
        </w:tc>
        <w:tc>
          <w:tcPr>
            <w:tcW w:type="dxa" w:w="6236"/>
          </w:tcPr>
          <w:p>
            <w:pPr>
              <w:spacing w:before="20" w:after="20" w:line="276" w:lineRule="auto"/>
              <w:ind w:firstLine="0"/>
            </w:pPr>
            <w:r/>
            <w:r>
              <w:rPr>
                <w:rFonts w:ascii="Times New Roman" w:hAnsi="Times New Roman" w:eastAsia="宋体"/>
                <w:b w:val="0"/>
                <w:i w:val="0"/>
                <w:sz w:val="21"/>
              </w:rPr>
              <w:t>单个聚合接口超时 5 秒时该区块降级为「暂无数据」，其他区块正常显示；全部接口失败时页面顶部显示红色横幅「数据加载失败，请重试」并提供重试入口</w:t>
            </w:r>
          </w:p>
        </w:tc>
      </w:tr>
      <w:tr>
        <w:tc>
          <w:tcPr>
            <w:tcW w:type="dxa" w:w="2835"/>
          </w:tcPr>
          <w:p>
            <w:pPr>
              <w:spacing w:before="20" w:after="20" w:line="276" w:lineRule="auto"/>
              <w:ind w:firstLine="0"/>
            </w:pPr>
            <w:r/>
            <w:r>
              <w:rPr>
                <w:rFonts w:ascii="Times New Roman" w:hAnsi="Times New Roman" w:eastAsia="宋体"/>
                <w:b w:val="0"/>
                <w:i w:val="0"/>
                <w:sz w:val="21"/>
              </w:rPr>
              <w:t>状态冲突</w:t>
            </w:r>
          </w:p>
        </w:tc>
        <w:tc>
          <w:tcPr>
            <w:tcW w:type="dxa" w:w="6236"/>
          </w:tcPr>
          <w:p>
            <w:pPr>
              <w:spacing w:before="20" w:after="20" w:line="276" w:lineRule="auto"/>
              <w:ind w:firstLine="0"/>
            </w:pPr>
            <w:r/>
            <w:r>
              <w:rPr>
                <w:rFonts w:ascii="Times New Roman" w:hAnsi="Times New Roman" w:eastAsia="宋体"/>
                <w:b w:val="0"/>
                <w:i w:val="0"/>
                <w:sz w:val="21"/>
              </w:rPr>
              <w:t>某模块数据未就绪时其待办 Tab 计数为 0 且列表展示空状态，不阻塞其他 Tab 的渲染与切换</w:t>
            </w:r>
          </w:p>
        </w:tc>
      </w:tr>
      <w:tr>
        <w:tc>
          <w:tcPr>
            <w:tcW w:type="dxa" w:w="2835"/>
          </w:tcPr>
          <w:p>
            <w:pPr>
              <w:spacing w:before="20" w:after="20" w:line="276" w:lineRule="auto"/>
              <w:ind w:firstLine="0"/>
            </w:pPr>
            <w:r/>
            <w:r>
              <w:rPr>
                <w:rFonts w:ascii="Times New Roman" w:hAnsi="Times New Roman" w:eastAsia="宋体"/>
                <w:b w:val="0"/>
                <w:i w:val="0"/>
                <w:sz w:val="21"/>
              </w:rPr>
              <w:t>超限</w:t>
            </w:r>
          </w:p>
        </w:tc>
        <w:tc>
          <w:tcPr>
            <w:tcW w:type="dxa" w:w="6236"/>
          </w:tcPr>
          <w:p>
            <w:pPr>
              <w:spacing w:before="20" w:after="20" w:line="276" w:lineRule="auto"/>
              <w:ind w:firstLine="0"/>
            </w:pPr>
            <w:r/>
            <w:r>
              <w:rPr>
                <w:rFonts w:ascii="Times New Roman" w:hAnsi="Times New Roman" w:eastAsia="宋体"/>
                <w:b w:val="0"/>
                <w:i w:val="0"/>
                <w:sz w:val="21"/>
              </w:rPr>
              <w:t>待办表格分页按每页 10 条展示，超出一页时通过右下角分页按钮翻页；切换 Tab 只渲染当前 Tab 数据，不做全量列表拉取</w:t>
            </w:r>
          </w:p>
        </w:tc>
      </w:tr>
    </w:tbl>
    <w:p>
      <w:pPr>
        <w:spacing w:before="0" w:after="0" w:line="240" w:lineRule="auto"/>
      </w:pPr>
    </w:p>
    <w:p>
      <w:pPr>
        <w:spacing w:before="120" w:after="60"/>
        <w:ind w:firstLine="0"/>
        <w:jc w:val="center"/>
      </w:pPr>
      <w:r>
        <w:drawing>
          <wp:inline xmlns:a="http://schemas.openxmlformats.org/drawingml/2006/main" xmlns:pic="http://schemas.openxmlformats.org/drawingml/2006/picture">
            <wp:extent cx="5616000" cy="3334500"/>
            <wp:docPr id="8" name="Picture 8"/>
            <wp:cNvGraphicFramePr>
              <a:graphicFrameLocks noChangeAspect="1"/>
            </wp:cNvGraphicFramePr>
            <a:graphic>
              <a:graphicData uri="http://schemas.openxmlformats.org/drawingml/2006/picture">
                <pic:pic>
                  <pic:nvPicPr>
                    <pic:cNvPr id="0" name="workbench.png"/>
                    <pic:cNvPicPr/>
                  </pic:nvPicPr>
                  <pic:blipFill>
                    <a:blip r:embed="rId18"/>
                    <a:stretch>
                      <a:fillRect/>
                    </a:stretch>
                  </pic:blipFill>
                  <pic:spPr>
                    <a:xfrm>
                      <a:off x="0" y="0"/>
                      <a:ext cx="5616000" cy="3334500"/>
                    </a:xfrm>
                    <a:prstGeom prst="rect"/>
                  </pic:spPr>
                </pic:pic>
              </a:graphicData>
            </a:graphic>
          </wp:inline>
        </w:drawing>
      </w:r>
    </w:p>
    <w:p>
      <w:pPr>
        <w:spacing w:before="0" w:after="200" w:line="240" w:lineRule="auto"/>
        <w:ind w:firstLine="0"/>
        <w:jc w:val="center"/>
      </w:pPr>
      <w:r>
        <w:rPr>
          <w:rFonts w:ascii="Times New Roman" w:hAnsi="Times New Roman" w:eastAsia="宋体"/>
          <w:b w:val="0"/>
          <w:i w:val="0"/>
          <w:sz w:val="21"/>
        </w:rPr>
        <w:t>图 4-4-2　工作台 原型页面</w:t>
      </w:r>
    </w:p>
    <w:p>
      <w:pPr>
        <w:spacing w:before="80" w:after="60" w:line="360" w:lineRule="auto"/>
      </w:pPr>
      <w:r>
        <w:rPr>
          <w:rFonts w:ascii="Times New Roman" w:hAnsi="Times New Roman" w:eastAsia="宋体"/>
          <w:b/>
          <w:i w:val="0"/>
          <w:sz w:val="24"/>
        </w:rPr>
        <w:t>页面级说明：</w:t>
      </w: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tblGrid>
      <w:tr>
        <w:trPr>
          <w:tblHeader w:val="true"/>
        </w:trPr>
        <w:tc>
          <w:tcPr>
            <w:tcW w:type="dxa" w:w="1178"/>
            <w:shd w:val="clear" w:color="auto" w:fill="DCE6F1"/>
          </w:tcPr>
          <w:p>
            <w:pPr>
              <w:spacing w:before="40" w:after="40" w:line="276" w:lineRule="auto"/>
              <w:jc w:val="center"/>
            </w:pPr>
            <w:r/>
            <w:r>
              <w:rPr>
                <w:rFonts w:ascii="Times New Roman" w:hAnsi="Times New Roman" w:eastAsia="黑体"/>
                <w:b/>
                <w:i w:val="0"/>
                <w:sz w:val="19"/>
              </w:rPr>
              <w:t>页面</w:t>
            </w:r>
          </w:p>
        </w:tc>
        <w:tc>
          <w:tcPr>
            <w:tcW w:type="dxa" w:w="1531"/>
            <w:shd w:val="clear" w:color="auto" w:fill="DCE6F1"/>
          </w:tcPr>
          <w:p>
            <w:pPr>
              <w:spacing w:before="40" w:after="40" w:line="276" w:lineRule="auto"/>
              <w:jc w:val="center"/>
            </w:pPr>
            <w:r/>
            <w:r>
              <w:rPr>
                <w:rFonts w:ascii="Times New Roman" w:hAnsi="Times New Roman" w:eastAsia="黑体"/>
                <w:b/>
                <w:i w:val="0"/>
                <w:sz w:val="19"/>
              </w:rPr>
              <w:t>原型文件</w:t>
            </w:r>
          </w:p>
        </w:tc>
        <w:tc>
          <w:tcPr>
            <w:tcW w:type="dxa" w:w="1119"/>
            <w:shd w:val="clear" w:color="auto" w:fill="DCE6F1"/>
          </w:tcPr>
          <w:p>
            <w:pPr>
              <w:spacing w:before="40" w:after="40" w:line="276" w:lineRule="auto"/>
              <w:jc w:val="center"/>
            </w:pPr>
            <w:r/>
            <w:r>
              <w:rPr>
                <w:rFonts w:ascii="Times New Roman" w:hAnsi="Times New Roman" w:eastAsia="黑体"/>
                <w:b/>
                <w:i w:val="0"/>
                <w:sz w:val="19"/>
              </w:rPr>
              <w:t>进入方式</w:t>
            </w:r>
          </w:p>
        </w:tc>
        <w:tc>
          <w:tcPr>
            <w:tcW w:type="dxa" w:w="2062"/>
            <w:shd w:val="clear" w:color="auto" w:fill="DCE6F1"/>
          </w:tcPr>
          <w:p>
            <w:pPr>
              <w:spacing w:before="40" w:after="40" w:line="276" w:lineRule="auto"/>
              <w:jc w:val="center"/>
            </w:pPr>
            <w:r/>
            <w:r>
              <w:rPr>
                <w:rFonts w:ascii="Times New Roman" w:hAnsi="Times New Roman" w:eastAsia="黑体"/>
                <w:b/>
                <w:i w:val="0"/>
                <w:sz w:val="19"/>
              </w:rPr>
              <w:t>关键区块</w:t>
            </w:r>
          </w:p>
        </w:tc>
        <w:tc>
          <w:tcPr>
            <w:tcW w:type="dxa" w:w="1767"/>
            <w:shd w:val="clear" w:color="auto" w:fill="DCE6F1"/>
          </w:tcPr>
          <w:p>
            <w:pPr>
              <w:spacing w:before="40" w:after="40" w:line="276" w:lineRule="auto"/>
              <w:jc w:val="center"/>
            </w:pPr>
            <w:r/>
            <w:r>
              <w:rPr>
                <w:rFonts w:ascii="Times New Roman" w:hAnsi="Times New Roman" w:eastAsia="黑体"/>
                <w:b/>
                <w:i w:val="0"/>
                <w:sz w:val="19"/>
              </w:rPr>
              <w:t>主要按钮与行为</w:t>
            </w:r>
          </w:p>
        </w:tc>
        <w:tc>
          <w:tcPr>
            <w:tcW w:type="dxa" w:w="1414"/>
            <w:shd w:val="clear" w:color="auto" w:fill="DCE6F1"/>
          </w:tcPr>
          <w:p>
            <w:pPr>
              <w:spacing w:before="40" w:after="40" w:line="276" w:lineRule="auto"/>
              <w:jc w:val="center"/>
            </w:pPr>
            <w:r/>
            <w:r>
              <w:rPr>
                <w:rFonts w:ascii="Times New Roman" w:hAnsi="Times New Roman" w:eastAsia="黑体"/>
                <w:b/>
                <w:i w:val="0"/>
                <w:sz w:val="19"/>
              </w:rPr>
              <w:t>跳转去向</w:t>
            </w:r>
          </w:p>
        </w:tc>
      </w:tr>
      <w:tr>
        <w:tc>
          <w:tcPr>
            <w:tcW w:type="dxa" w:w="1178"/>
          </w:tcPr>
          <w:p>
            <w:pPr>
              <w:spacing w:before="20" w:after="20" w:line="276" w:lineRule="auto"/>
              <w:ind w:firstLine="0"/>
            </w:pPr>
            <w:r/>
            <w:r>
              <w:rPr>
                <w:rFonts w:ascii="Times New Roman" w:hAnsi="Times New Roman" w:eastAsia="宋体"/>
                <w:b w:val="0"/>
                <w:i w:val="0"/>
                <w:sz w:val="19"/>
              </w:rPr>
              <w:t>工作台首页</w:t>
            </w:r>
          </w:p>
        </w:tc>
        <w:tc>
          <w:tcPr>
            <w:tcW w:type="dxa" w:w="1531"/>
          </w:tcPr>
          <w:p>
            <w:pPr>
              <w:spacing w:before="20" w:after="20" w:line="276" w:lineRule="auto"/>
              <w:ind w:firstLine="0"/>
            </w:pPr>
            <w:r/>
            <w:r>
              <w:rPr>
                <w:rFonts w:ascii="Times New Roman" w:hAnsi="Times New Roman" w:eastAsia="宋体"/>
                <w:b w:val="0"/>
                <w:i w:val="0"/>
                <w:sz w:val="19"/>
              </w:rPr>
              <w:t>workbench.html</w:t>
            </w:r>
          </w:p>
        </w:tc>
        <w:tc>
          <w:tcPr>
            <w:tcW w:type="dxa" w:w="1119"/>
          </w:tcPr>
          <w:p>
            <w:pPr>
              <w:spacing w:before="20" w:after="20" w:line="276" w:lineRule="auto"/>
              <w:ind w:firstLine="0"/>
            </w:pPr>
            <w:r/>
            <w:r>
              <w:rPr>
                <w:rFonts w:ascii="Times New Roman" w:hAnsi="Times New Roman" w:eastAsia="宋体"/>
                <w:b w:val="0"/>
                <w:i w:val="0"/>
                <w:sz w:val="19"/>
              </w:rPr>
              <w:t>登录后默认进入，或顶部栏工作台菜单</w:t>
            </w:r>
          </w:p>
        </w:tc>
        <w:tc>
          <w:tcPr>
            <w:tcW w:type="dxa" w:w="2062"/>
          </w:tcPr>
          <w:p>
            <w:pPr>
              <w:spacing w:before="20" w:after="20" w:line="276" w:lineRule="auto"/>
              <w:ind w:firstLine="0"/>
            </w:pPr>
            <w:r/>
            <w:r>
              <w:rPr>
                <w:rFonts w:ascii="Times New Roman" w:hAnsi="Times New Roman" w:eastAsia="宋体"/>
                <w:b w:val="0"/>
                <w:i w:val="0"/>
                <w:sz w:val="19"/>
              </w:rPr>
              <w:t>顶部栏 7 个一级菜单与消息入口、业务概览区（业务链路、合同签署情况、发运情况）、资金区（自有资金、融资资金）、预警提醒区 3 个子卡、通知中心区、待办事项区（10 个 Tab、表格与分页）</w:t>
            </w:r>
          </w:p>
        </w:tc>
        <w:tc>
          <w:tcPr>
            <w:tcW w:type="dxa" w:w="1767"/>
          </w:tcPr>
          <w:p>
            <w:pPr>
              <w:spacing w:before="20" w:after="20" w:line="276" w:lineRule="auto"/>
              <w:ind w:firstLine="0"/>
            </w:pPr>
            <w:r/>
            <w:r>
              <w:rPr>
                <w:rFonts w:ascii="Times New Roman" w:hAnsi="Times New Roman" w:eastAsia="宋体"/>
                <w:b w:val="0"/>
                <w:i w:val="0"/>
                <w:sz w:val="19"/>
              </w:rPr>
              <w:t>一级菜单切换、通知 icon、用户头像菜单、时间维度下拉、立即处理、查看全部、待办 Tab 切换、待办查看、分页</w:t>
            </w:r>
          </w:p>
        </w:tc>
        <w:tc>
          <w:tcPr>
            <w:tcW w:type="dxa" w:w="1414"/>
          </w:tcPr>
          <w:p>
            <w:pPr>
              <w:spacing w:before="20" w:after="20" w:line="276" w:lineRule="auto"/>
              <w:ind w:firstLine="0"/>
            </w:pPr>
            <w:r/>
            <w:r>
              <w:rPr>
                <w:rFonts w:ascii="Times New Roman" w:hAnsi="Times New Roman" w:eastAsia="宋体"/>
                <w:b w:val="0"/>
                <w:i w:val="0"/>
                <w:sz w:val="19"/>
              </w:rPr>
              <w:t>预警「立即处理」跳 warning-list.html 并携带级别过滤；待办「查看」跳对应单据详情页；概览区下钻跳驾驶舱</w:t>
            </w:r>
          </w:p>
        </w:tc>
      </w:tr>
      <w:tr>
        <w:tc>
          <w:tcPr>
            <w:tcW w:type="dxa" w:w="1178"/>
          </w:tcPr>
          <w:p>
            <w:pPr>
              <w:spacing w:before="20" w:after="20" w:line="276" w:lineRule="auto"/>
              <w:ind w:firstLine="0"/>
            </w:pPr>
            <w:r/>
            <w:r>
              <w:rPr>
                <w:rFonts w:ascii="Times New Roman" w:hAnsi="Times New Roman" w:eastAsia="宋体"/>
                <w:b w:val="0"/>
                <w:i w:val="0"/>
                <w:sz w:val="19"/>
              </w:rPr>
              <w:t>驾驶舱（高管视角汇总页）</w:t>
            </w:r>
          </w:p>
        </w:tc>
        <w:tc>
          <w:tcPr>
            <w:tcW w:type="dxa" w:w="1531"/>
          </w:tcPr>
          <w:p>
            <w:pPr>
              <w:spacing w:before="20" w:after="20" w:line="276" w:lineRule="auto"/>
              <w:ind w:firstLine="0"/>
            </w:pPr>
            <w:r/>
            <w:r>
              <w:rPr>
                <w:rFonts w:ascii="Times New Roman" w:hAnsi="Times New Roman" w:eastAsia="宋体"/>
                <w:b w:val="0"/>
                <w:i w:val="0"/>
                <w:sz w:val="19"/>
              </w:rPr>
              <w:t>cockpit.html</w:t>
            </w:r>
          </w:p>
        </w:tc>
        <w:tc>
          <w:tcPr>
            <w:tcW w:type="dxa" w:w="1119"/>
          </w:tcPr>
          <w:p>
            <w:pPr>
              <w:spacing w:before="20" w:after="20" w:line="276" w:lineRule="auto"/>
              <w:ind w:firstLine="0"/>
            </w:pPr>
            <w:r/>
            <w:r>
              <w:rPr>
                <w:rFonts w:ascii="Times New Roman" w:hAnsi="Times New Roman" w:eastAsia="宋体"/>
                <w:b w:val="0"/>
                <w:i w:val="0"/>
                <w:sz w:val="19"/>
              </w:rPr>
              <w:t>工作台概览区下钻，或顶部栏数据中心菜单</w:t>
            </w:r>
          </w:p>
        </w:tc>
        <w:tc>
          <w:tcPr>
            <w:tcW w:type="dxa" w:w="2062"/>
          </w:tcPr>
          <w:p>
            <w:pPr>
              <w:spacing w:before="20" w:after="20" w:line="276" w:lineRule="auto"/>
              <w:ind w:firstLine="0"/>
            </w:pPr>
            <w:r/>
            <w:r>
              <w:rPr>
                <w:rFonts w:ascii="Times New Roman" w:hAnsi="Times New Roman" w:eastAsia="宋体"/>
                <w:b w:val="0"/>
                <w:i w:val="0"/>
                <w:sz w:val="19"/>
              </w:rPr>
              <w:t>顶部筛选区（统计周期、业务类型）、状态 Tab（概览、项目、合同、客户）、卡片区</w:t>
            </w:r>
          </w:p>
        </w:tc>
        <w:tc>
          <w:tcPr>
            <w:tcW w:type="dxa" w:w="1767"/>
          </w:tcPr>
          <w:p>
            <w:pPr>
              <w:spacing w:before="20" w:after="20" w:line="276" w:lineRule="auto"/>
              <w:ind w:firstLine="0"/>
            </w:pPr>
            <w:r/>
            <w:r>
              <w:rPr>
                <w:rFonts w:ascii="Times New Roman" w:hAnsi="Times New Roman" w:eastAsia="宋体"/>
                <w:b w:val="0"/>
                <w:i w:val="0"/>
                <w:sz w:val="19"/>
              </w:rPr>
              <w:t>统计周期与业务类型筛选、状态 Tab 切换、卡片查看</w:t>
            </w:r>
          </w:p>
        </w:tc>
        <w:tc>
          <w:tcPr>
            <w:tcW w:type="dxa" w:w="1414"/>
          </w:tcPr>
          <w:p>
            <w:pPr>
              <w:spacing w:before="20" w:after="20" w:line="276" w:lineRule="auto"/>
              <w:ind w:firstLine="0"/>
            </w:pPr>
            <w:r/>
            <w:r>
              <w:rPr>
                <w:rFonts w:ascii="Times New Roman" w:hAnsi="Times New Roman" w:eastAsia="宋体"/>
                <w:b w:val="0"/>
                <w:i w:val="0"/>
                <w:sz w:val="19"/>
              </w:rPr>
              <w:t>卡片「查看」跳对应模块的项目、合同或客户详情</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4.4.8　验收标准与待确认项</w:t>
      </w:r>
    </w:p>
    <w:tbl>
      <w:tblPr>
        <w:tblStyle w:val="TableGrid"/>
        <w:tblW w:type="auto" w:w="0"/>
        <w:jc w:val="center"/>
        <w:tblLayout w:type="fixed"/>
        <w:tblLook w:firstColumn="1" w:firstRow="1" w:lastColumn="0" w:lastRow="0" w:noHBand="0" w:noVBand="1" w:val="04A0"/>
      </w:tblPr>
      <w:tblGrid>
        <w:gridCol w:w="4479"/>
        <w:gridCol w:w="4479"/>
      </w:tblGrid>
      <w:tr>
        <w:trPr>
          <w:tblHeader w:val="true"/>
        </w:trPr>
        <w:tc>
          <w:tcPr>
            <w:tcW w:type="dxa" w:w="1701"/>
            <w:shd w:val="clear" w:color="auto" w:fill="DCE6F1"/>
          </w:tcPr>
          <w:p>
            <w:pPr>
              <w:spacing w:before="40" w:after="40" w:line="276" w:lineRule="auto"/>
              <w:jc w:val="center"/>
            </w:pPr>
            <w:r/>
            <w:r>
              <w:rPr>
                <w:rFonts w:ascii="Times New Roman" w:hAnsi="Times New Roman" w:eastAsia="黑体"/>
                <w:b/>
                <w:i w:val="0"/>
                <w:sz w:val="21"/>
              </w:rPr>
              <w:t>功能</w:t>
            </w:r>
          </w:p>
        </w:tc>
        <w:tc>
          <w:tcPr>
            <w:tcW w:type="dxa" w:w="7370"/>
            <w:shd w:val="clear" w:color="auto" w:fill="DCE6F1"/>
          </w:tcPr>
          <w:p>
            <w:pPr>
              <w:spacing w:before="40" w:after="40" w:line="276" w:lineRule="auto"/>
              <w:jc w:val="center"/>
            </w:pPr>
            <w:r/>
            <w:r>
              <w:rPr>
                <w:rFonts w:ascii="Times New Roman" w:hAnsi="Times New Roman" w:eastAsia="黑体"/>
                <w:b/>
                <w:i w:val="0"/>
                <w:sz w:val="21"/>
              </w:rPr>
              <w:t>验收要点（由关键规则转写）</w:t>
            </w:r>
          </w:p>
        </w:tc>
      </w:tr>
      <w:tr>
        <w:tc>
          <w:tcPr>
            <w:tcW w:type="dxa" w:w="1701"/>
          </w:tcPr>
          <w:p>
            <w:pPr>
              <w:spacing w:before="20" w:after="20" w:line="276" w:lineRule="auto"/>
              <w:ind w:firstLine="0"/>
            </w:pPr>
            <w:r/>
            <w:r>
              <w:rPr>
                <w:rFonts w:ascii="Times New Roman" w:hAnsi="Times New Roman" w:eastAsia="宋体"/>
                <w:b w:val="0"/>
                <w:i w:val="0"/>
                <w:sz w:val="21"/>
              </w:rPr>
              <w:t>业务概览与关键指标聚合</w:t>
            </w:r>
          </w:p>
        </w:tc>
        <w:tc>
          <w:tcPr>
            <w:tcW w:type="dxa" w:w="7370"/>
          </w:tcPr>
          <w:p>
            <w:pPr>
              <w:spacing w:before="20" w:after="20" w:line="276" w:lineRule="auto"/>
              <w:ind w:firstLine="0"/>
            </w:pPr>
            <w:r/>
            <w:r>
              <w:rPr>
                <w:rFonts w:ascii="Times New Roman" w:hAnsi="Times New Roman" w:eastAsia="宋体"/>
                <w:b w:val="0"/>
                <w:i w:val="0"/>
                <w:sz w:val="21"/>
              </w:rPr>
              <w:t>数量或金额超过 10000 时折算为「万」并保留 2 位小数；自有资金提供本年维度，融资资金提供全部与本年两个维度；订单管理相关指标不在本期交付范围。</w:t>
            </w:r>
          </w:p>
        </w:tc>
      </w:tr>
      <w:tr>
        <w:tc>
          <w:tcPr>
            <w:tcW w:type="dxa" w:w="1701"/>
          </w:tcPr>
          <w:p>
            <w:pPr>
              <w:spacing w:before="20" w:after="20" w:line="276" w:lineRule="auto"/>
              <w:ind w:firstLine="0"/>
            </w:pPr>
            <w:r/>
            <w:r>
              <w:rPr>
                <w:rFonts w:ascii="Times New Roman" w:hAnsi="Times New Roman" w:eastAsia="宋体"/>
                <w:b w:val="0"/>
                <w:i w:val="0"/>
                <w:sz w:val="21"/>
              </w:rPr>
              <w:t>预警提醒聚合</w:t>
            </w:r>
          </w:p>
        </w:tc>
        <w:tc>
          <w:tcPr>
            <w:tcW w:type="dxa" w:w="7370"/>
          </w:tcPr>
          <w:p>
            <w:pPr>
              <w:spacing w:before="20" w:after="20" w:line="276" w:lineRule="auto"/>
              <w:ind w:firstLine="0"/>
            </w:pPr>
            <w:r/>
            <w:r>
              <w:rPr>
                <w:rFonts w:ascii="Times New Roman" w:hAnsi="Times New Roman" w:eastAsia="宋体"/>
                <w:b w:val="0"/>
                <w:i w:val="0"/>
                <w:sz w:val="21"/>
              </w:rPr>
              <w:t>「立即处理」按当前级别跳转预警中心并携带级别过滤参数；某级别数量为 0 时仍展示该子卡与提示文案，高风险与中风险为「有风险记得要及时处理」，低风险为「很棒!目前暂无风险存在」；预警数量以系统运行报表为准。</w:t>
            </w:r>
          </w:p>
        </w:tc>
      </w:tr>
      <w:tr>
        <w:tc>
          <w:tcPr>
            <w:tcW w:type="dxa" w:w="1701"/>
          </w:tcPr>
          <w:p>
            <w:pPr>
              <w:spacing w:before="20" w:after="20" w:line="276" w:lineRule="auto"/>
              <w:ind w:firstLine="0"/>
            </w:pPr>
            <w:r/>
            <w:r>
              <w:rPr>
                <w:rFonts w:ascii="Times New Roman" w:hAnsi="Times New Roman" w:eastAsia="宋体"/>
                <w:b w:val="0"/>
                <w:i w:val="0"/>
                <w:sz w:val="21"/>
              </w:rPr>
              <w:t>通知中心消息入口</w:t>
            </w:r>
          </w:p>
        </w:tc>
        <w:tc>
          <w:tcPr>
            <w:tcW w:type="dxa" w:w="7370"/>
          </w:tcPr>
          <w:p>
            <w:pPr>
              <w:spacing w:before="20" w:after="20" w:line="276" w:lineRule="auto"/>
              <w:ind w:firstLine="0"/>
            </w:pPr>
            <w:r/>
            <w:r>
              <w:rPr>
                <w:rFonts w:ascii="Times New Roman" w:hAnsi="Times New Roman" w:eastAsia="宋体"/>
                <w:b w:val="0"/>
                <w:i w:val="0"/>
                <w:sz w:val="21"/>
              </w:rPr>
              <w:t>消息类型固定为审批通知与用户准入通知两类；无消息时展示空态「暂无消息」；本期不提供公告发布能力。</w:t>
            </w:r>
          </w:p>
        </w:tc>
      </w:tr>
      <w:tr>
        <w:tc>
          <w:tcPr>
            <w:tcW w:type="dxa" w:w="1701"/>
          </w:tcPr>
          <w:p>
            <w:pPr>
              <w:spacing w:before="20" w:after="20" w:line="276" w:lineRule="auto"/>
              <w:ind w:firstLine="0"/>
            </w:pPr>
            <w:r/>
            <w:r>
              <w:rPr>
                <w:rFonts w:ascii="Times New Roman" w:hAnsi="Times New Roman" w:eastAsia="宋体"/>
                <w:b w:val="0"/>
                <w:i w:val="0"/>
                <w:sz w:val="21"/>
              </w:rPr>
              <w:t>待办事项全域聚合</w:t>
            </w:r>
          </w:p>
        </w:tc>
        <w:tc>
          <w:tcPr>
            <w:tcW w:type="dxa" w:w="7370"/>
          </w:tcPr>
          <w:p>
            <w:pPr>
              <w:spacing w:before="20" w:after="20" w:line="276" w:lineRule="auto"/>
              <w:ind w:firstLine="0"/>
            </w:pPr>
            <w:r/>
            <w:r>
              <w:rPr>
                <w:rFonts w:ascii="Times New Roman" w:hAnsi="Times New Roman" w:eastAsia="宋体"/>
                <w:b w:val="0"/>
                <w:i w:val="0"/>
                <w:sz w:val="21"/>
              </w:rPr>
              <w:t>待办 Tab 固定为上下游合同审批、上下游双签合同上传、待收货确认、待关联业务线、货转待审批、待上传货转生效单据、待审批结算单、待付款审批、回款待认领、待上传发票共 10 项；切换 Tab 必须重新渲染列表数据并同步更新计数，不得只切换选中态；默认 Tab 为上下游合同审批；操作列仅提供「查看」跳转到对应单据详情页。</w:t>
            </w:r>
          </w:p>
        </w:tc>
      </w:tr>
      <w:tr>
        <w:tc>
          <w:tcPr>
            <w:tcW w:type="dxa" w:w="1701"/>
          </w:tcPr>
          <w:p>
            <w:pPr>
              <w:spacing w:before="20" w:after="20" w:line="276" w:lineRule="auto"/>
              <w:ind w:firstLine="0"/>
            </w:pPr>
            <w:r/>
            <w:r>
              <w:rPr>
                <w:rFonts w:ascii="Times New Roman" w:hAnsi="Times New Roman" w:eastAsia="宋体"/>
                <w:b w:val="0"/>
                <w:i w:val="0"/>
                <w:sz w:val="21"/>
              </w:rPr>
              <w:t>全局导航与模块入口</w:t>
            </w:r>
          </w:p>
        </w:tc>
        <w:tc>
          <w:tcPr>
            <w:tcW w:type="dxa" w:w="7370"/>
          </w:tcPr>
          <w:p>
            <w:pPr>
              <w:spacing w:before="20" w:after="20" w:line="276" w:lineRule="auto"/>
              <w:ind w:firstLine="0"/>
            </w:pPr>
            <w:r/>
            <w:r>
              <w:rPr>
                <w:rFonts w:ascii="Times New Roman" w:hAnsi="Times New Roman" w:eastAsia="宋体"/>
                <w:b w:val="0"/>
                <w:i w:val="0"/>
                <w:sz w:val="21"/>
              </w:rPr>
              <w:t>一级菜单为工作台、准入管理、数字供应链、仓储管理、数据中心、预警中心、账户中心；消息 icon 指向通知中心，用户头像菜单提供个人中心与退出。</w:t>
            </w:r>
          </w:p>
        </w:tc>
      </w:tr>
      <w:tr>
        <w:tc>
          <w:tcPr>
            <w:tcW w:type="dxa" w:w="1701"/>
          </w:tcPr>
          <w:p>
            <w:pPr>
              <w:spacing w:before="20" w:after="20" w:line="276" w:lineRule="auto"/>
              <w:ind w:firstLine="0"/>
            </w:pPr>
            <w:r/>
            <w:r>
              <w:rPr>
                <w:rFonts w:ascii="Times New Roman" w:hAnsi="Times New Roman" w:eastAsia="宋体"/>
                <w:b w:val="0"/>
                <w:i w:val="0"/>
                <w:sz w:val="21"/>
              </w:rPr>
              <w:t>驾驶舱下钻</w:t>
            </w:r>
          </w:p>
        </w:tc>
        <w:tc>
          <w:tcPr>
            <w:tcW w:type="dxa" w:w="7370"/>
          </w:tcPr>
          <w:p>
            <w:pPr>
              <w:spacing w:before="20" w:after="20" w:line="276" w:lineRule="auto"/>
              <w:ind w:firstLine="0"/>
            </w:pPr>
            <w:r/>
            <w:r>
              <w:rPr>
                <w:rFonts w:ascii="Times New Roman" w:hAnsi="Times New Roman" w:eastAsia="宋体"/>
                <w:b w:val="0"/>
                <w:i w:val="0"/>
                <w:sz w:val="21"/>
              </w:rPr>
              <w:t>驾驶舱提供统计周期与业务类型两个筛选维度，统计周期为空时展示全部数据；驾驶舱按概览、项目、合同、客户 4 个 Tab 分维度呈现，Tab 上的数量为系统当前真实数据条数。</w:t>
            </w:r>
          </w:p>
        </w:tc>
      </w:tr>
    </w:tbl>
    <w:p>
      <w:pPr>
        <w:spacing w:before="0" w:after="0" w:line="240" w:lineRule="auto"/>
      </w:pPr>
    </w:p>
    <w:p>
      <w:pPr>
        <w:spacing w:before="120" w:after="60" w:line="360" w:lineRule="auto"/>
      </w:pPr>
      <w:r>
        <w:rPr>
          <w:rFonts w:ascii="Times New Roman" w:hAnsi="Times New Roman" w:eastAsia="宋体"/>
          <w:b/>
          <w:i w:val="0"/>
          <w:sz w:val="24"/>
        </w:rPr>
        <w:t>待业务方确认：</w:t>
      </w:r>
    </w:p>
    <w:p>
      <w:pPr>
        <w:spacing w:before="0" w:after="60" w:line="336" w:lineRule="auto"/>
        <w:ind w:left="340" w:firstLine="0"/>
      </w:pPr>
      <w:r>
        <w:rPr>
          <w:rFonts w:ascii="Times New Roman" w:hAnsi="Times New Roman" w:eastAsia="宋体"/>
          <w:b w:val="0"/>
          <w:i w:val="0"/>
          <w:sz w:val="24"/>
        </w:rPr>
        <w:t>· 待业务方确认：工作台顶部区块在原型中仍为「公告」，但本期无公告管理模块，该位置应为通知中心，前端文案与功能需对齐</w:t>
      </w:r>
    </w:p>
    <w:p>
      <w:pPr>
        <w:spacing w:before="0" w:after="60" w:line="336" w:lineRule="auto"/>
        <w:ind w:left="340" w:firstLine="0"/>
      </w:pPr>
      <w:r>
        <w:rPr>
          <w:rFonts w:ascii="Times New Roman" w:hAnsi="Times New Roman" w:eastAsia="宋体"/>
          <w:b w:val="0"/>
          <w:i w:val="0"/>
          <w:sz w:val="24"/>
        </w:rPr>
        <w:t>· 待业务方确认：待办事项第 6 个 Tab 的名称，需求口径为「待上传货转生效单据」，原型页面显示为「待上传上下游货转生效单据」</w:t>
      </w:r>
    </w:p>
    <w:p>
      <w:pPr>
        <w:spacing w:before="0" w:after="60" w:line="336" w:lineRule="auto"/>
        <w:ind w:left="340" w:firstLine="0"/>
      </w:pPr>
      <w:r>
        <w:rPr>
          <w:rFonts w:ascii="Times New Roman" w:hAnsi="Times New Roman" w:eastAsia="宋体"/>
          <w:b w:val="0"/>
          <w:i w:val="0"/>
          <w:sz w:val="24"/>
        </w:rPr>
        <w:t>· 待业务方确认：工作台各聚合区块的刷新策略，是进入页面一次性拉取并缓存 5 分钟，还是 30 秒轮询，还是实时推送</w:t>
      </w:r>
    </w:p>
    <w:p>
      <w:pPr>
        <w:spacing w:before="0" w:after="60" w:line="336" w:lineRule="auto"/>
        <w:ind w:left="340" w:firstLine="0"/>
      </w:pPr>
      <w:r>
        <w:rPr>
          <w:rFonts w:ascii="Times New Roman" w:hAnsi="Times New Roman" w:eastAsia="宋体"/>
          <w:b w:val="0"/>
          <w:i w:val="0"/>
          <w:sz w:val="24"/>
        </w:rPr>
        <w:t>· 待业务方确认：资金区块是否需要按本年、本季等维度细分切换</w:t>
      </w:r>
    </w:p>
    <w:p>
      <w:pPr>
        <w:spacing w:before="0" w:after="60" w:line="336" w:lineRule="auto"/>
        <w:ind w:left="340" w:firstLine="0"/>
      </w:pPr>
      <w:r>
        <w:rPr>
          <w:rFonts w:ascii="Times New Roman" w:hAnsi="Times New Roman" w:eastAsia="宋体"/>
          <w:b w:val="0"/>
          <w:i w:val="0"/>
          <w:sz w:val="24"/>
        </w:rPr>
        <w:t>· 待业务方确认：驾驶舱页面在页面清单中同时存在 cockpit.html 与 dashboard.html 两个入口，应以哪个为准</w:t>
      </w:r>
    </w:p>
    <w:p>
      <w:r>
        <w:br w:type="page"/>
      </w:r>
    </w:p>
    <w:p>
      <w:pPr>
        <w:pStyle w:val="Heading2"/>
        <w:keepNext/>
        <w:spacing w:before="240" w:after="120" w:line="312" w:lineRule="auto"/>
        <w:ind w:firstLine="0"/>
      </w:pPr>
      <w:r>
        <w:rPr>
          <w:rFonts w:ascii="Times New Roman" w:hAnsi="Times New Roman" w:eastAsia="黑体"/>
          <w:b/>
          <w:i w:val="0"/>
          <w:sz w:val="28"/>
        </w:rPr>
        <w:t>4.5　个人管理</w:t>
      </w:r>
    </w:p>
    <w:p>
      <w:pPr>
        <w:spacing w:before="0" w:after="160" w:line="360" w:lineRule="auto"/>
      </w:pPr>
      <w:r>
        <w:rPr>
          <w:rFonts w:ascii="Times New Roman" w:hAnsi="Times New Roman" w:eastAsia="宋体"/>
          <w:b w:val="0"/>
          <w:i w:val="0"/>
          <w:color w:val="595959"/>
          <w:sz w:val="21"/>
        </w:rPr>
        <w:t>菜单路径：账户中心 / 个人管理</w:t>
      </w:r>
    </w:p>
    <w:p>
      <w:pPr>
        <w:pStyle w:val="Heading3"/>
        <w:keepNext/>
        <w:spacing w:before="160" w:after="80" w:line="312" w:lineRule="auto"/>
        <w:ind w:firstLine="0"/>
      </w:pPr>
      <w:r>
        <w:rPr>
          <w:rFonts w:ascii="Times New Roman" w:hAnsi="Times New Roman" w:eastAsia="黑体"/>
          <w:b/>
          <w:i w:val="0"/>
          <w:sz w:val="24"/>
        </w:rPr>
        <w:t>4.5.1　一页结论</w:t>
      </w:r>
    </w:p>
    <w:p>
      <w:pPr>
        <w:spacing w:before="0" w:after="120" w:line="360" w:lineRule="auto"/>
      </w:pPr>
      <w:r>
        <w:rPr>
          <w:rFonts w:ascii="Times New Roman" w:hAnsi="Times New Roman" w:eastAsia="宋体"/>
          <w:b w:val="0"/>
          <w:i w:val="0"/>
          <w:sz w:val="24"/>
        </w:rPr>
        <w:t>让员工自助维护本人账号资料、登录密码、消息订阅与安全认证，把账号安全与个人信息的维护动作收敛到一个入口。</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928"/>
            <w:shd w:val="clear" w:color="auto" w:fill="DCE6F1"/>
          </w:tcPr>
          <w:p>
            <w:pPr>
              <w:spacing w:before="40" w:after="40" w:line="276" w:lineRule="auto"/>
              <w:jc w:val="center"/>
            </w:pPr>
            <w:r/>
            <w:r>
              <w:rPr>
                <w:rFonts w:ascii="Times New Roman" w:hAnsi="Times New Roman" w:eastAsia="黑体"/>
                <w:b/>
                <w:i w:val="0"/>
                <w:sz w:val="21"/>
              </w:rPr>
              <w:t>问题</w:t>
            </w:r>
          </w:p>
        </w:tc>
        <w:tc>
          <w:tcPr>
            <w:tcW w:type="dxa" w:w="3572"/>
            <w:shd w:val="clear" w:color="auto" w:fill="DCE6F1"/>
          </w:tcPr>
          <w:p>
            <w:pPr>
              <w:spacing w:before="40" w:after="40" w:line="276" w:lineRule="auto"/>
              <w:jc w:val="center"/>
            </w:pPr>
            <w:r/>
            <w:r>
              <w:rPr>
                <w:rFonts w:ascii="Times New Roman" w:hAnsi="Times New Roman" w:eastAsia="黑体"/>
                <w:b/>
                <w:i w:val="0"/>
                <w:sz w:val="21"/>
              </w:rPr>
              <w:t>当前做法</w:t>
            </w:r>
          </w:p>
        </w:tc>
        <w:tc>
          <w:tcPr>
            <w:tcW w:type="dxa" w:w="3572"/>
            <w:shd w:val="clear" w:color="auto" w:fill="DCE6F1"/>
          </w:tcPr>
          <w:p>
            <w:pPr>
              <w:spacing w:before="40" w:after="40" w:line="276" w:lineRule="auto"/>
              <w:jc w:val="center"/>
            </w:pPr>
            <w:r/>
            <w:r>
              <w:rPr>
                <w:rFonts w:ascii="Times New Roman" w:hAnsi="Times New Roman" w:eastAsia="黑体"/>
                <w:b/>
                <w:i w:val="0"/>
                <w:sz w:val="21"/>
              </w:rPr>
              <w:t>本模块解法</w:t>
            </w:r>
          </w:p>
        </w:tc>
      </w:tr>
      <w:tr>
        <w:tc>
          <w:tcPr>
            <w:tcW w:type="dxa" w:w="1928"/>
          </w:tcPr>
          <w:p>
            <w:pPr>
              <w:spacing w:before="20" w:after="20" w:line="276" w:lineRule="auto"/>
              <w:ind w:firstLine="0"/>
            </w:pPr>
            <w:r/>
            <w:r>
              <w:rPr>
                <w:rFonts w:ascii="Times New Roman" w:hAnsi="Times New Roman" w:eastAsia="宋体"/>
                <w:b w:val="0"/>
                <w:i w:val="0"/>
                <w:sz w:val="21"/>
              </w:rPr>
              <w:t>员工个人资料变更要找管理员代办</w:t>
            </w:r>
          </w:p>
        </w:tc>
        <w:tc>
          <w:tcPr>
            <w:tcW w:type="dxa" w:w="3572"/>
          </w:tcPr>
          <w:p>
            <w:pPr>
              <w:spacing w:before="20" w:after="20" w:line="276" w:lineRule="auto"/>
              <w:ind w:firstLine="0"/>
            </w:pPr>
            <w:r/>
            <w:r>
              <w:rPr>
                <w:rFonts w:ascii="Times New Roman" w:hAnsi="Times New Roman" w:eastAsia="宋体"/>
                <w:b w:val="0"/>
                <w:i w:val="0"/>
                <w:sz w:val="21"/>
              </w:rPr>
              <w:t>联系方式、所属部门等信息变化后由管理员在后台统一改</w:t>
            </w:r>
          </w:p>
        </w:tc>
        <w:tc>
          <w:tcPr>
            <w:tcW w:type="dxa" w:w="3572"/>
          </w:tcPr>
          <w:p>
            <w:pPr>
              <w:spacing w:before="20" w:after="20" w:line="276" w:lineRule="auto"/>
              <w:ind w:firstLine="0"/>
            </w:pPr>
            <w:r/>
            <w:r>
              <w:rPr>
                <w:rFonts w:ascii="Times New Roman" w:hAnsi="Times New Roman" w:eastAsia="宋体"/>
                <w:b w:val="0"/>
                <w:i w:val="0"/>
                <w:sz w:val="21"/>
              </w:rPr>
              <w:t>提供个人基本信息维护能力，员工自助更新本人信息</w:t>
            </w:r>
          </w:p>
        </w:tc>
      </w:tr>
      <w:tr>
        <w:tc>
          <w:tcPr>
            <w:tcW w:type="dxa" w:w="1928"/>
          </w:tcPr>
          <w:p>
            <w:pPr>
              <w:spacing w:before="20" w:after="20" w:line="276" w:lineRule="auto"/>
              <w:ind w:firstLine="0"/>
            </w:pPr>
            <w:r/>
            <w:r>
              <w:rPr>
                <w:rFonts w:ascii="Times New Roman" w:hAnsi="Times New Roman" w:eastAsia="宋体"/>
                <w:b w:val="0"/>
                <w:i w:val="0"/>
                <w:sz w:val="21"/>
              </w:rPr>
              <w:t>密码过期、异地登录等问题缺少自助处理路径</w:t>
            </w:r>
          </w:p>
        </w:tc>
        <w:tc>
          <w:tcPr>
            <w:tcW w:type="dxa" w:w="3572"/>
          </w:tcPr>
          <w:p>
            <w:pPr>
              <w:spacing w:before="20" w:after="20" w:line="276" w:lineRule="auto"/>
              <w:ind w:firstLine="0"/>
            </w:pPr>
            <w:r/>
            <w:r>
              <w:rPr>
                <w:rFonts w:ascii="Times New Roman" w:hAnsi="Times New Roman" w:eastAsia="宋体"/>
                <w:b w:val="0"/>
                <w:i w:val="0"/>
                <w:sz w:val="21"/>
              </w:rPr>
              <w:t>遇到密码失效或异常登录只能找管理员重置</w:t>
            </w:r>
          </w:p>
        </w:tc>
        <w:tc>
          <w:tcPr>
            <w:tcW w:type="dxa" w:w="3572"/>
          </w:tcPr>
          <w:p>
            <w:pPr>
              <w:spacing w:before="20" w:after="20" w:line="276" w:lineRule="auto"/>
              <w:ind w:firstLine="0"/>
            </w:pPr>
            <w:r/>
            <w:r>
              <w:rPr>
                <w:rFonts w:ascii="Times New Roman" w:hAnsi="Times New Roman" w:eastAsia="宋体"/>
                <w:b w:val="0"/>
                <w:i w:val="0"/>
                <w:sz w:val="21"/>
              </w:rPr>
              <w:t>提供登录密码修改与双因素认证能力，异常登录触发二次验证</w:t>
            </w:r>
          </w:p>
        </w:tc>
      </w:tr>
      <w:tr>
        <w:tc>
          <w:tcPr>
            <w:tcW w:type="dxa" w:w="1928"/>
          </w:tcPr>
          <w:p>
            <w:pPr>
              <w:spacing w:before="20" w:after="20" w:line="276" w:lineRule="auto"/>
              <w:ind w:firstLine="0"/>
            </w:pPr>
            <w:r/>
            <w:r>
              <w:rPr>
                <w:rFonts w:ascii="Times New Roman" w:hAnsi="Times New Roman" w:eastAsia="宋体"/>
                <w:b w:val="0"/>
                <w:i w:val="0"/>
                <w:sz w:val="21"/>
              </w:rPr>
              <w:t>登录与资料变更记录难以自查</w:t>
            </w:r>
          </w:p>
        </w:tc>
        <w:tc>
          <w:tcPr>
            <w:tcW w:type="dxa" w:w="3572"/>
          </w:tcPr>
          <w:p>
            <w:pPr>
              <w:spacing w:before="20" w:after="20" w:line="276" w:lineRule="auto"/>
              <w:ind w:firstLine="0"/>
            </w:pPr>
            <w:r/>
            <w:r>
              <w:rPr>
                <w:rFonts w:ascii="Times New Roman" w:hAnsi="Times New Roman" w:eastAsia="宋体"/>
                <w:b w:val="0"/>
                <w:i w:val="0"/>
                <w:sz w:val="21"/>
              </w:rPr>
              <w:t>用户无法确认自己的账号被谁在什么设备上使用过</w:t>
            </w:r>
          </w:p>
        </w:tc>
        <w:tc>
          <w:tcPr>
            <w:tcW w:type="dxa" w:w="3572"/>
          </w:tcPr>
          <w:p>
            <w:pPr>
              <w:spacing w:before="20" w:after="20" w:line="276" w:lineRule="auto"/>
              <w:ind w:firstLine="0"/>
            </w:pPr>
            <w:r/>
            <w:r>
              <w:rPr>
                <w:rFonts w:ascii="Times New Roman" w:hAnsi="Times New Roman" w:eastAsia="宋体"/>
                <w:b w:val="0"/>
                <w:i w:val="0"/>
                <w:sz w:val="21"/>
              </w:rPr>
              <w:t>提供操作日志查询与最近登录记录，覆盖登录、登出、资料修改与密码修改</w:t>
            </w:r>
          </w:p>
        </w:tc>
      </w:tr>
      <w:tr>
        <w:tc>
          <w:tcPr>
            <w:tcW w:type="dxa" w:w="1928"/>
          </w:tcPr>
          <w:p>
            <w:pPr>
              <w:spacing w:before="20" w:after="20" w:line="276" w:lineRule="auto"/>
              <w:ind w:firstLine="0"/>
            </w:pPr>
            <w:r/>
            <w:r>
              <w:rPr>
                <w:rFonts w:ascii="Times New Roman" w:hAnsi="Times New Roman" w:eastAsia="宋体"/>
                <w:b w:val="0"/>
                <w:i w:val="0"/>
                <w:sz w:val="21"/>
              </w:rPr>
              <w:t>消息接收渠道靠约定，漏看通知</w:t>
            </w:r>
          </w:p>
        </w:tc>
        <w:tc>
          <w:tcPr>
            <w:tcW w:type="dxa" w:w="3572"/>
          </w:tcPr>
          <w:p>
            <w:pPr>
              <w:spacing w:before="20" w:after="20" w:line="276" w:lineRule="auto"/>
              <w:ind w:firstLine="0"/>
            </w:pPr>
            <w:r/>
            <w:r>
              <w:rPr>
                <w:rFonts w:ascii="Times New Roman" w:hAnsi="Times New Roman" w:eastAsia="宋体"/>
                <w:b w:val="0"/>
                <w:i w:val="0"/>
                <w:sz w:val="21"/>
              </w:rPr>
              <w:t>不同消息类型走不同渠道，靠人工记忆切换</w:t>
            </w:r>
          </w:p>
        </w:tc>
        <w:tc>
          <w:tcPr>
            <w:tcW w:type="dxa" w:w="3572"/>
          </w:tcPr>
          <w:p>
            <w:pPr>
              <w:spacing w:before="20" w:after="20" w:line="276" w:lineRule="auto"/>
              <w:ind w:firstLine="0"/>
            </w:pPr>
            <w:r/>
            <w:r>
              <w:rPr>
                <w:rFonts w:ascii="Times New Roman" w:hAnsi="Times New Roman" w:eastAsia="宋体"/>
                <w:b w:val="0"/>
                <w:i w:val="0"/>
                <w:sz w:val="21"/>
              </w:rPr>
              <w:t>在消息通知中心集中查看系统消息、待办提醒与审批通知，并可订阅多种送达渠道</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4.5.2　背景与目标</w:t>
      </w:r>
    </w:p>
    <w:tbl>
      <w:tblPr>
        <w:tblStyle w:val="TableGrid"/>
        <w:tblW w:type="auto" w:w="0"/>
        <w:jc w:val="center"/>
        <w:tblLayout w:type="fixed"/>
        <w:tblLook w:firstColumn="1" w:firstRow="1" w:lastColumn="0" w:lastRow="0" w:noHBand="0" w:noVBand="1" w:val="04A0"/>
      </w:tblPr>
      <w:tblGrid>
        <w:gridCol w:w="8958"/>
      </w:tblGrid>
      <w:tr>
        <w:trPr>
          <w:tblHeader w:val="true"/>
        </w:trPr>
        <w:tc>
          <w:tcPr>
            <w:tcW w:type="dxa" w:w="9071"/>
            <w:shd w:val="clear" w:color="auto" w:fill="DCE6F1"/>
          </w:tcPr>
          <w:p>
            <w:pPr>
              <w:spacing w:before="40" w:after="40" w:line="276" w:lineRule="auto"/>
              <w:jc w:val="center"/>
            </w:pPr>
            <w:r/>
            <w:r>
              <w:rPr>
                <w:rFonts w:ascii="Times New Roman" w:hAnsi="Times New Roman" w:eastAsia="黑体"/>
                <w:b/>
                <w:i w:val="0"/>
                <w:sz w:val="21"/>
              </w:rPr>
              <w:t>目标 / 衡量口径</w:t>
            </w:r>
          </w:p>
        </w:tc>
      </w:tr>
      <w:tr>
        <w:tc>
          <w:tcPr>
            <w:tcW w:type="dxa" w:w="9071"/>
          </w:tcPr>
          <w:p>
            <w:pPr>
              <w:spacing w:before="20" w:after="20" w:line="276" w:lineRule="auto"/>
              <w:ind w:firstLine="0"/>
            </w:pPr>
            <w:r/>
            <w:r>
              <w:rPr>
                <w:rFonts w:ascii="Times New Roman" w:hAnsi="Times New Roman" w:eastAsia="宋体"/>
                <w:b w:val="0"/>
                <w:i w:val="0"/>
                <w:sz w:val="21"/>
              </w:rPr>
              <w:t>员工可在单一入口完成本人资料、密码、消息订阅与安全认证的维护</w:t>
            </w:r>
          </w:p>
        </w:tc>
      </w:tr>
      <w:tr>
        <w:tc>
          <w:tcPr>
            <w:tcW w:type="dxa" w:w="9071"/>
          </w:tcPr>
          <w:p>
            <w:pPr>
              <w:spacing w:before="20" w:after="20" w:line="276" w:lineRule="auto"/>
              <w:ind w:firstLine="0"/>
            </w:pPr>
            <w:r/>
            <w:r>
              <w:rPr>
                <w:rFonts w:ascii="Times New Roman" w:hAnsi="Times New Roman" w:eastAsia="宋体"/>
                <w:b w:val="0"/>
                <w:i w:val="0"/>
                <w:sz w:val="21"/>
              </w:rPr>
              <w:t>密码修改强制校验旧密码并通过复杂度校验，密码有效期 90 天到期强制更换</w:t>
            </w:r>
          </w:p>
        </w:tc>
      </w:tr>
      <w:tr>
        <w:tc>
          <w:tcPr>
            <w:tcW w:type="dxa" w:w="9071"/>
          </w:tcPr>
          <w:p>
            <w:pPr>
              <w:spacing w:before="20" w:after="20" w:line="276" w:lineRule="auto"/>
              <w:ind w:firstLine="0"/>
            </w:pPr>
            <w:r/>
            <w:r>
              <w:rPr>
                <w:rFonts w:ascii="Times New Roman" w:hAnsi="Times New Roman" w:eastAsia="宋体"/>
                <w:b w:val="0"/>
                <w:i w:val="0"/>
                <w:sz w:val="21"/>
              </w:rPr>
              <w:t>账号异常场景有确定的拦截与解锁规则，连续 5 次密码错误锁定 30 分钟</w:t>
            </w:r>
          </w:p>
        </w:tc>
      </w:tr>
      <w:tr>
        <w:tc>
          <w:tcPr>
            <w:tcW w:type="dxa" w:w="9071"/>
          </w:tcPr>
          <w:p>
            <w:pPr>
              <w:spacing w:before="20" w:after="20" w:line="276" w:lineRule="auto"/>
              <w:ind w:firstLine="0"/>
            </w:pPr>
            <w:r/>
            <w:r>
              <w:rPr>
                <w:rFonts w:ascii="Times New Roman" w:hAnsi="Times New Roman" w:eastAsia="宋体"/>
                <w:b w:val="0"/>
                <w:i w:val="0"/>
                <w:sz w:val="21"/>
              </w:rPr>
              <w:t>登录与资料变更行为全部留痕，可在操作日志中追溯</w:t>
            </w:r>
          </w:p>
        </w:tc>
      </w:tr>
    </w:tbl>
    <w:p>
      <w:pPr>
        <w:spacing w:before="0" w:after="0" w:line="240" w:lineRule="auto"/>
      </w:pPr>
    </w:p>
    <w:p>
      <w:pPr>
        <w:spacing w:before="80" w:after="120" w:line="360" w:lineRule="auto"/>
      </w:pPr>
      <w:r>
        <w:rPr>
          <w:rFonts w:ascii="Times New Roman" w:hAnsi="Times New Roman" w:eastAsia="宋体"/>
          <w:b w:val="0"/>
          <w:i w:val="0"/>
          <w:color w:val="595959"/>
          <w:sz w:val="21"/>
        </w:rPr>
        <w:t>说明：文中口径以业务方已确认结论为准；未确认项集中列于本章末与第 5 章。</w:t>
      </w:r>
    </w:p>
    <w:p>
      <w:pPr>
        <w:pStyle w:val="Heading3"/>
        <w:keepNext/>
        <w:spacing w:before="160" w:after="80" w:line="312" w:lineRule="auto"/>
        <w:ind w:firstLine="0"/>
      </w:pPr>
      <w:r>
        <w:rPr>
          <w:rFonts w:ascii="Times New Roman" w:hAnsi="Times New Roman" w:eastAsia="黑体"/>
          <w:b/>
          <w:i w:val="0"/>
          <w:sz w:val="24"/>
        </w:rPr>
        <w:t>4.5.3　角色与用户需求</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361"/>
            <w:shd w:val="clear" w:color="auto" w:fill="DCE6F1"/>
          </w:tcPr>
          <w:p>
            <w:pPr>
              <w:spacing w:before="40" w:after="40" w:line="276" w:lineRule="auto"/>
              <w:jc w:val="center"/>
            </w:pPr>
            <w:r/>
            <w:r>
              <w:rPr>
                <w:rFonts w:ascii="Times New Roman" w:hAnsi="Times New Roman" w:eastAsia="黑体"/>
                <w:b/>
                <w:i w:val="0"/>
                <w:sz w:val="21"/>
              </w:rPr>
              <w:t>角色</w:t>
            </w:r>
          </w:p>
        </w:tc>
        <w:tc>
          <w:tcPr>
            <w:tcW w:type="dxa" w:w="1247"/>
            <w:shd w:val="clear" w:color="auto" w:fill="DCE6F1"/>
          </w:tcPr>
          <w:p>
            <w:pPr>
              <w:spacing w:before="40" w:after="40" w:line="276" w:lineRule="auto"/>
              <w:jc w:val="center"/>
            </w:pPr>
            <w:r/>
            <w:r>
              <w:rPr>
                <w:rFonts w:ascii="Times New Roman" w:hAnsi="Times New Roman" w:eastAsia="黑体"/>
                <w:b/>
                <w:i w:val="0"/>
                <w:sz w:val="21"/>
              </w:rPr>
              <w:t>所属部门</w:t>
            </w:r>
          </w:p>
        </w:tc>
        <w:tc>
          <w:tcPr>
            <w:tcW w:type="dxa" w:w="6463"/>
            <w:shd w:val="clear" w:color="auto" w:fill="DCE6F1"/>
          </w:tcPr>
          <w:p>
            <w:pPr>
              <w:spacing w:before="40" w:after="40" w:line="276" w:lineRule="auto"/>
              <w:jc w:val="center"/>
            </w:pPr>
            <w:r/>
            <w:r>
              <w:rPr>
                <w:rFonts w:ascii="Times New Roman" w:hAnsi="Times New Roman" w:eastAsia="黑体"/>
                <w:b/>
                <w:i w:val="0"/>
                <w:sz w:val="21"/>
              </w:rPr>
              <w:t>用户需求（我要…以便…）</w:t>
            </w:r>
          </w:p>
        </w:tc>
      </w:tr>
      <w:tr>
        <w:tc>
          <w:tcPr>
            <w:tcW w:type="dxa" w:w="1361"/>
          </w:tcPr>
          <w:p>
            <w:pPr>
              <w:spacing w:before="20" w:after="20" w:line="276" w:lineRule="auto"/>
              <w:ind w:firstLine="0"/>
            </w:pPr>
            <w:r/>
            <w:r>
              <w:rPr>
                <w:rFonts w:ascii="Times New Roman" w:hAnsi="Times New Roman" w:eastAsia="宋体"/>
                <w:b w:val="0"/>
                <w:i w:val="0"/>
                <w:sz w:val="21"/>
              </w:rPr>
              <w:t>员工本人</w:t>
            </w:r>
          </w:p>
        </w:tc>
        <w:tc>
          <w:tcPr>
            <w:tcW w:type="dxa" w:w="1247"/>
          </w:tcPr>
          <w:p>
            <w:pPr>
              <w:spacing w:before="20" w:after="20" w:line="276" w:lineRule="auto"/>
              <w:ind w:firstLine="0"/>
            </w:pPr>
            <w:r/>
            <w:r>
              <w:rPr>
                <w:rFonts w:ascii="Times New Roman" w:hAnsi="Times New Roman" w:eastAsia="宋体"/>
                <w:b w:val="0"/>
                <w:i w:val="0"/>
                <w:sz w:val="21"/>
              </w:rPr>
              <w:t>业务部</w:t>
            </w:r>
          </w:p>
        </w:tc>
        <w:tc>
          <w:tcPr>
            <w:tcW w:type="dxa" w:w="6463"/>
          </w:tcPr>
          <w:p>
            <w:pPr>
              <w:spacing w:before="20" w:after="20" w:line="276" w:lineRule="auto"/>
              <w:ind w:firstLine="0"/>
            </w:pPr>
            <w:r/>
            <w:r>
              <w:rPr>
                <w:rFonts w:ascii="Times New Roman" w:hAnsi="Times New Roman" w:eastAsia="宋体"/>
                <w:b w:val="0"/>
                <w:i w:val="0"/>
                <w:sz w:val="21"/>
              </w:rPr>
              <w:t>我要维护本人的资料、密码与消息订阅，以便账号信息准确且登录可控</w:t>
            </w:r>
          </w:p>
        </w:tc>
      </w:tr>
      <w:tr>
        <w:tc>
          <w:tcPr>
            <w:tcW w:type="dxa" w:w="1361"/>
          </w:tcPr>
          <w:p>
            <w:pPr>
              <w:spacing w:before="20" w:after="20" w:line="276" w:lineRule="auto"/>
              <w:ind w:firstLine="0"/>
            </w:pPr>
            <w:r/>
            <w:r>
              <w:rPr>
                <w:rFonts w:ascii="Times New Roman" w:hAnsi="Times New Roman" w:eastAsia="宋体"/>
                <w:b w:val="0"/>
                <w:i w:val="0"/>
                <w:sz w:val="21"/>
              </w:rPr>
              <w:t>企业管理员</w:t>
            </w:r>
          </w:p>
        </w:tc>
        <w:tc>
          <w:tcPr>
            <w:tcW w:type="dxa" w:w="1247"/>
          </w:tcPr>
          <w:p>
            <w:pPr>
              <w:spacing w:before="20" w:after="20" w:line="276" w:lineRule="auto"/>
              <w:ind w:firstLine="0"/>
            </w:pPr>
            <w:r/>
            <w:r>
              <w:rPr>
                <w:rFonts w:ascii="Times New Roman" w:hAnsi="Times New Roman" w:eastAsia="宋体"/>
                <w:b w:val="0"/>
                <w:i w:val="0"/>
                <w:sz w:val="21"/>
              </w:rPr>
              <w:t>平台</w:t>
            </w:r>
          </w:p>
        </w:tc>
        <w:tc>
          <w:tcPr>
            <w:tcW w:type="dxa" w:w="6463"/>
          </w:tcPr>
          <w:p>
            <w:pPr>
              <w:spacing w:before="20" w:after="20" w:line="276" w:lineRule="auto"/>
              <w:ind w:firstLine="0"/>
            </w:pPr>
            <w:r/>
            <w:r>
              <w:rPr>
                <w:rFonts w:ascii="Times New Roman" w:hAnsi="Times New Roman" w:eastAsia="宋体"/>
                <w:b w:val="0"/>
                <w:i w:val="0"/>
                <w:sz w:val="21"/>
              </w:rPr>
              <w:t>我要协助员工重置密码与核对登录记录，以便处理账号异常</w:t>
            </w:r>
          </w:p>
        </w:tc>
      </w:tr>
      <w:tr>
        <w:tc>
          <w:tcPr>
            <w:tcW w:type="dxa" w:w="1361"/>
          </w:tcPr>
          <w:p>
            <w:pPr>
              <w:spacing w:before="20" w:after="20" w:line="276" w:lineRule="auto"/>
              <w:ind w:firstLine="0"/>
            </w:pPr>
            <w:r/>
            <w:r>
              <w:rPr>
                <w:rFonts w:ascii="Times New Roman" w:hAnsi="Times New Roman" w:eastAsia="宋体"/>
                <w:b w:val="0"/>
                <w:i w:val="0"/>
                <w:sz w:val="21"/>
              </w:rPr>
              <w:t>平台管理员</w:t>
            </w:r>
          </w:p>
        </w:tc>
        <w:tc>
          <w:tcPr>
            <w:tcW w:type="dxa" w:w="1247"/>
          </w:tcPr>
          <w:p>
            <w:pPr>
              <w:spacing w:before="20" w:after="20" w:line="276" w:lineRule="auto"/>
              <w:ind w:firstLine="0"/>
            </w:pPr>
            <w:r/>
            <w:r>
              <w:rPr>
                <w:rFonts w:ascii="Times New Roman" w:hAnsi="Times New Roman" w:eastAsia="宋体"/>
                <w:b w:val="0"/>
                <w:i w:val="0"/>
                <w:sz w:val="21"/>
              </w:rPr>
              <w:t>平台</w:t>
            </w:r>
          </w:p>
        </w:tc>
        <w:tc>
          <w:tcPr>
            <w:tcW w:type="dxa" w:w="6463"/>
          </w:tcPr>
          <w:p>
            <w:pPr>
              <w:spacing w:before="20" w:after="20" w:line="276" w:lineRule="auto"/>
              <w:ind w:firstLine="0"/>
            </w:pPr>
            <w:r/>
            <w:r>
              <w:rPr>
                <w:rFonts w:ascii="Times New Roman" w:hAnsi="Times New Roman" w:eastAsia="宋体"/>
                <w:b w:val="0"/>
                <w:i w:val="0"/>
                <w:sz w:val="21"/>
              </w:rPr>
              <w:t>我要统一账号安全口径并查阅安全日志，以便账号体系可控可审</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4.5.4　功能结构与范围</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474"/>
            <w:shd w:val="clear" w:color="auto" w:fill="DCE6F1"/>
          </w:tcPr>
          <w:p>
            <w:pPr>
              <w:spacing w:before="40" w:after="40" w:line="276" w:lineRule="auto"/>
              <w:jc w:val="center"/>
            </w:pPr>
            <w:r/>
            <w:r>
              <w:rPr>
                <w:rFonts w:ascii="Times New Roman" w:hAnsi="Times New Roman" w:eastAsia="黑体"/>
                <w:b/>
                <w:i w:val="0"/>
                <w:sz w:val="21"/>
              </w:rPr>
              <w:t>功能</w:t>
            </w:r>
          </w:p>
        </w:tc>
        <w:tc>
          <w:tcPr>
            <w:tcW w:type="dxa" w:w="3175"/>
            <w:shd w:val="clear" w:color="auto" w:fill="DCE6F1"/>
          </w:tcPr>
          <w:p>
            <w:pPr>
              <w:spacing w:before="40" w:after="40" w:line="276" w:lineRule="auto"/>
              <w:jc w:val="center"/>
            </w:pPr>
            <w:r/>
            <w:r>
              <w:rPr>
                <w:rFonts w:ascii="Times New Roman" w:hAnsi="Times New Roman" w:eastAsia="黑体"/>
                <w:b/>
                <w:i w:val="0"/>
                <w:sz w:val="21"/>
              </w:rPr>
              <w:t>功能说明</w:t>
            </w:r>
          </w:p>
        </w:tc>
        <w:tc>
          <w:tcPr>
            <w:tcW w:type="dxa" w:w="4422"/>
            <w:shd w:val="clear" w:color="auto" w:fill="DCE6F1"/>
          </w:tcPr>
          <w:p>
            <w:pPr>
              <w:spacing w:before="40" w:after="40" w:line="276" w:lineRule="auto"/>
              <w:jc w:val="center"/>
            </w:pPr>
            <w:r/>
            <w:r>
              <w:rPr>
                <w:rFonts w:ascii="Times New Roman" w:hAnsi="Times New Roman" w:eastAsia="黑体"/>
                <w:b/>
                <w:i w:val="0"/>
                <w:sz w:val="21"/>
              </w:rPr>
              <w:t>关键规则</w:t>
            </w:r>
          </w:p>
        </w:tc>
      </w:tr>
      <w:tr>
        <w:tc>
          <w:tcPr>
            <w:tcW w:type="dxa" w:w="1474"/>
          </w:tcPr>
          <w:p>
            <w:pPr>
              <w:spacing w:before="20" w:after="20" w:line="276" w:lineRule="auto"/>
              <w:ind w:firstLine="0"/>
            </w:pPr>
            <w:r/>
            <w:r>
              <w:rPr>
                <w:rFonts w:ascii="Times New Roman" w:hAnsi="Times New Roman" w:eastAsia="宋体"/>
                <w:b w:val="0"/>
                <w:i w:val="0"/>
                <w:sz w:val="21"/>
              </w:rPr>
              <w:t>个人基本信息维护</w:t>
            </w:r>
          </w:p>
        </w:tc>
        <w:tc>
          <w:tcPr>
            <w:tcW w:type="dxa" w:w="3175"/>
          </w:tcPr>
          <w:p>
            <w:pPr>
              <w:spacing w:before="20" w:after="20" w:line="276" w:lineRule="auto"/>
              <w:ind w:firstLine="0"/>
            </w:pPr>
            <w:r/>
            <w:r>
              <w:rPr>
                <w:rFonts w:ascii="Times New Roman" w:hAnsi="Times New Roman" w:eastAsia="宋体"/>
                <w:b w:val="0"/>
                <w:i w:val="0"/>
                <w:sz w:val="21"/>
              </w:rPr>
              <w:t>维护本人的姓名、身份证号、联系电话、邮箱、所属部门等账号基础信息，并展示账号 ID、用户名、所属企业与当前角色。</w:t>
            </w:r>
          </w:p>
        </w:tc>
        <w:tc>
          <w:tcPr>
            <w:tcW w:type="dxa" w:w="4422"/>
          </w:tcPr>
          <w:p>
            <w:pPr>
              <w:spacing w:before="20" w:after="20" w:line="276" w:lineRule="auto"/>
              <w:ind w:firstLine="0"/>
            </w:pPr>
            <w:r/>
            <w:r>
              <w:rPr>
                <w:rFonts w:ascii="Times New Roman" w:hAnsi="Times New Roman" w:eastAsia="宋体"/>
                <w:b w:val="0"/>
                <w:i w:val="0"/>
                <w:sz w:val="21"/>
              </w:rPr>
              <w:t>账号 ID 由系统自动生成，用户名即登录名且不可修改；所属企业由系统自动关联；手机号与邮箱默认打码展示，用户可手动查看完整信息，查看行为被记录留痕。</w:t>
            </w:r>
          </w:p>
        </w:tc>
      </w:tr>
      <w:tr>
        <w:tc>
          <w:tcPr>
            <w:tcW w:type="dxa" w:w="1474"/>
          </w:tcPr>
          <w:p>
            <w:pPr>
              <w:spacing w:before="20" w:after="20" w:line="276" w:lineRule="auto"/>
              <w:ind w:firstLine="0"/>
            </w:pPr>
            <w:r/>
            <w:r>
              <w:rPr>
                <w:rFonts w:ascii="Times New Roman" w:hAnsi="Times New Roman" w:eastAsia="宋体"/>
                <w:b w:val="0"/>
                <w:i w:val="0"/>
                <w:sz w:val="21"/>
              </w:rPr>
              <w:t>登录密码修改</w:t>
            </w:r>
          </w:p>
        </w:tc>
        <w:tc>
          <w:tcPr>
            <w:tcW w:type="dxa" w:w="3175"/>
          </w:tcPr>
          <w:p>
            <w:pPr>
              <w:spacing w:before="20" w:after="20" w:line="276" w:lineRule="auto"/>
              <w:ind w:firstLine="0"/>
            </w:pPr>
            <w:r/>
            <w:r>
              <w:rPr>
                <w:rFonts w:ascii="Times New Roman" w:hAnsi="Times New Roman" w:eastAsia="宋体"/>
                <w:b w:val="0"/>
                <w:i w:val="0"/>
                <w:sz w:val="21"/>
              </w:rPr>
              <w:t>在安全设置中修改登录密码，提供旧密码验证、复杂度校验与到期强制更换。</w:t>
            </w:r>
          </w:p>
        </w:tc>
        <w:tc>
          <w:tcPr>
            <w:tcW w:type="dxa" w:w="4422"/>
          </w:tcPr>
          <w:p>
            <w:pPr>
              <w:spacing w:before="20" w:after="20" w:line="276" w:lineRule="auto"/>
              <w:ind w:firstLine="0"/>
            </w:pPr>
            <w:r/>
            <w:r>
              <w:rPr>
                <w:rFonts w:ascii="Times New Roman" w:hAnsi="Times New Roman" w:eastAsia="宋体"/>
                <w:b w:val="0"/>
                <w:i w:val="0"/>
                <w:sz w:val="21"/>
              </w:rPr>
              <w:t>修改密码必须先校验旧密码并通过复杂度校验；密码有效期为 90 天，到期后登录被拦截并强制修改；连续 5 次密码错误则账号锁定 30 分钟。</w:t>
            </w:r>
          </w:p>
        </w:tc>
      </w:tr>
      <w:tr>
        <w:tc>
          <w:tcPr>
            <w:tcW w:type="dxa" w:w="1474"/>
          </w:tcPr>
          <w:p>
            <w:pPr>
              <w:spacing w:before="20" w:after="20" w:line="276" w:lineRule="auto"/>
              <w:ind w:firstLine="0"/>
            </w:pPr>
            <w:r/>
            <w:r>
              <w:rPr>
                <w:rFonts w:ascii="Times New Roman" w:hAnsi="Times New Roman" w:eastAsia="宋体"/>
                <w:b w:val="0"/>
                <w:i w:val="0"/>
                <w:sz w:val="21"/>
              </w:rPr>
              <w:t>操作日志查询</w:t>
            </w:r>
          </w:p>
        </w:tc>
        <w:tc>
          <w:tcPr>
            <w:tcW w:type="dxa" w:w="3175"/>
          </w:tcPr>
          <w:p>
            <w:pPr>
              <w:spacing w:before="20" w:after="20" w:line="276" w:lineRule="auto"/>
              <w:ind w:firstLine="0"/>
            </w:pPr>
            <w:r/>
            <w:r>
              <w:rPr>
                <w:rFonts w:ascii="Times New Roman" w:hAnsi="Times New Roman" w:eastAsia="宋体"/>
                <w:b w:val="0"/>
                <w:i w:val="0"/>
                <w:sz w:val="21"/>
              </w:rPr>
              <w:t>查看本人账号的登录、登出、资料修改、密码修改、权限变更等历史记录。</w:t>
            </w:r>
          </w:p>
        </w:tc>
        <w:tc>
          <w:tcPr>
            <w:tcW w:type="dxa" w:w="4422"/>
          </w:tcPr>
          <w:p>
            <w:pPr>
              <w:spacing w:before="20" w:after="20" w:line="276" w:lineRule="auto"/>
              <w:ind w:firstLine="0"/>
            </w:pPr>
            <w:r/>
            <w:r>
              <w:rPr>
                <w:rFonts w:ascii="Times New Roman" w:hAnsi="Times New Roman" w:eastAsia="宋体"/>
                <w:b w:val="0"/>
                <w:i w:val="0"/>
                <w:sz w:val="21"/>
              </w:rPr>
              <w:t>记录项包括操作时间、操作类型与操作详情；最近登录列表展示最近 10 次登录记录，含 IP、设备与时间。</w:t>
            </w:r>
          </w:p>
        </w:tc>
      </w:tr>
      <w:tr>
        <w:tc>
          <w:tcPr>
            <w:tcW w:type="dxa" w:w="1474"/>
          </w:tcPr>
          <w:p>
            <w:pPr>
              <w:spacing w:before="20" w:after="20" w:line="276" w:lineRule="auto"/>
              <w:ind w:firstLine="0"/>
            </w:pPr>
            <w:r/>
            <w:r>
              <w:rPr>
                <w:rFonts w:ascii="Times New Roman" w:hAnsi="Times New Roman" w:eastAsia="宋体"/>
                <w:b w:val="0"/>
                <w:i w:val="0"/>
                <w:sz w:val="21"/>
              </w:rPr>
              <w:t>双因素认证</w:t>
            </w:r>
          </w:p>
        </w:tc>
        <w:tc>
          <w:tcPr>
            <w:tcW w:type="dxa" w:w="3175"/>
          </w:tcPr>
          <w:p>
            <w:pPr>
              <w:spacing w:before="20" w:after="20" w:line="276" w:lineRule="auto"/>
              <w:ind w:firstLine="0"/>
            </w:pPr>
            <w:r/>
            <w:r>
              <w:rPr>
                <w:rFonts w:ascii="Times New Roman" w:hAnsi="Times New Roman" w:eastAsia="宋体"/>
                <w:b w:val="0"/>
                <w:i w:val="0"/>
                <w:sz w:val="21"/>
              </w:rPr>
              <w:t>为账号绑定二次验证方式，支撑异地登录与高风险操作的二次确认。</w:t>
            </w:r>
          </w:p>
        </w:tc>
        <w:tc>
          <w:tcPr>
            <w:tcW w:type="dxa" w:w="4422"/>
          </w:tcPr>
          <w:p>
            <w:pPr>
              <w:spacing w:before="20" w:after="20" w:line="276" w:lineRule="auto"/>
              <w:ind w:firstLine="0"/>
            </w:pPr>
            <w:r/>
            <w:r>
              <w:rPr>
                <w:rFonts w:ascii="Times New Roman" w:hAnsi="Times New Roman" w:eastAsia="宋体"/>
                <w:b w:val="0"/>
                <w:i w:val="0"/>
                <w:sz w:val="21"/>
              </w:rPr>
              <w:t>认证方式支持短信验证码、邮箱验证码、第三方认证器 3 种，任选其一；发生异地登录时触发二次验证并发送短信验证码。</w:t>
            </w:r>
          </w:p>
        </w:tc>
      </w:tr>
      <w:tr>
        <w:tc>
          <w:tcPr>
            <w:tcW w:type="dxa" w:w="1474"/>
          </w:tcPr>
          <w:p>
            <w:pPr>
              <w:spacing w:before="20" w:after="20" w:line="276" w:lineRule="auto"/>
              <w:ind w:firstLine="0"/>
            </w:pPr>
            <w:r/>
            <w:r>
              <w:rPr>
                <w:rFonts w:ascii="Times New Roman" w:hAnsi="Times New Roman" w:eastAsia="宋体"/>
                <w:b w:val="0"/>
                <w:i w:val="0"/>
                <w:sz w:val="21"/>
              </w:rPr>
              <w:t>消息通知中心</w:t>
            </w:r>
          </w:p>
        </w:tc>
        <w:tc>
          <w:tcPr>
            <w:tcW w:type="dxa" w:w="3175"/>
          </w:tcPr>
          <w:p>
            <w:pPr>
              <w:spacing w:before="20" w:after="20" w:line="276" w:lineRule="auto"/>
              <w:ind w:firstLine="0"/>
            </w:pPr>
            <w:r/>
            <w:r>
              <w:rPr>
                <w:rFonts w:ascii="Times New Roman" w:hAnsi="Times New Roman" w:eastAsia="宋体"/>
                <w:b w:val="0"/>
                <w:i w:val="0"/>
                <w:sz w:val="21"/>
              </w:rPr>
              <w:t>集中查看系统消息、待办提醒与审批通知，并设置消息送达渠道。</w:t>
            </w:r>
          </w:p>
        </w:tc>
        <w:tc>
          <w:tcPr>
            <w:tcW w:type="dxa" w:w="4422"/>
          </w:tcPr>
          <w:p>
            <w:pPr>
              <w:spacing w:before="20" w:after="20" w:line="276" w:lineRule="auto"/>
              <w:ind w:firstLine="0"/>
            </w:pPr>
            <w:r/>
            <w:r>
              <w:rPr>
                <w:rFonts w:ascii="Times New Roman" w:hAnsi="Times New Roman" w:eastAsia="宋体"/>
                <w:b w:val="0"/>
                <w:i w:val="0"/>
                <w:sz w:val="21"/>
              </w:rPr>
              <w:t>消息订阅渠道为站内信、邮件、短信、钉钉 4 种可多选；平台级消息类型为审批通知与用户准入通知两类。</w:t>
            </w:r>
          </w:p>
        </w:tc>
      </w:tr>
    </w:tbl>
    <w:p>
      <w:pPr>
        <w:spacing w:before="0" w:after="0" w:line="240" w:lineRule="auto"/>
      </w:pP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tblGrid>
      <w:tr>
        <w:trPr>
          <w:tblHeader w:val="true"/>
        </w:trPr>
        <w:tc>
          <w:tcPr>
            <w:tcW w:type="dxa" w:w="1247"/>
            <w:shd w:val="clear" w:color="auto" w:fill="DCE6F1"/>
          </w:tcPr>
          <w:p>
            <w:pPr>
              <w:spacing w:before="40" w:after="40" w:line="276" w:lineRule="auto"/>
              <w:jc w:val="center"/>
            </w:pPr>
            <w:r/>
            <w:r>
              <w:rPr>
                <w:rFonts w:ascii="Times New Roman" w:hAnsi="Times New Roman" w:eastAsia="黑体"/>
                <w:b/>
                <w:i w:val="0"/>
                <w:sz w:val="19"/>
              </w:rPr>
              <w:t>页面</w:t>
            </w:r>
          </w:p>
        </w:tc>
        <w:tc>
          <w:tcPr>
            <w:tcW w:type="dxa" w:w="1474"/>
            <w:shd w:val="clear" w:color="auto" w:fill="DCE6F1"/>
          </w:tcPr>
          <w:p>
            <w:pPr>
              <w:spacing w:before="40" w:after="40" w:line="276" w:lineRule="auto"/>
              <w:jc w:val="center"/>
            </w:pPr>
            <w:r/>
            <w:r>
              <w:rPr>
                <w:rFonts w:ascii="Times New Roman" w:hAnsi="Times New Roman" w:eastAsia="黑体"/>
                <w:b/>
                <w:i w:val="0"/>
                <w:sz w:val="19"/>
              </w:rPr>
              <w:t>文件</w:t>
            </w:r>
          </w:p>
        </w:tc>
        <w:tc>
          <w:tcPr>
            <w:tcW w:type="dxa" w:w="1134"/>
            <w:shd w:val="clear" w:color="auto" w:fill="DCE6F1"/>
          </w:tcPr>
          <w:p>
            <w:pPr>
              <w:spacing w:before="40" w:after="40" w:line="276" w:lineRule="auto"/>
              <w:jc w:val="center"/>
            </w:pPr>
            <w:r/>
            <w:r>
              <w:rPr>
                <w:rFonts w:ascii="Times New Roman" w:hAnsi="Times New Roman" w:eastAsia="黑体"/>
                <w:b/>
                <w:i w:val="0"/>
                <w:sz w:val="19"/>
              </w:rPr>
              <w:t>入口</w:t>
            </w:r>
          </w:p>
        </w:tc>
        <w:tc>
          <w:tcPr>
            <w:tcW w:type="dxa" w:w="2041"/>
            <w:shd w:val="clear" w:color="auto" w:fill="DCE6F1"/>
          </w:tcPr>
          <w:p>
            <w:pPr>
              <w:spacing w:before="40" w:after="40" w:line="276" w:lineRule="auto"/>
              <w:jc w:val="center"/>
            </w:pPr>
            <w:r/>
            <w:r>
              <w:rPr>
                <w:rFonts w:ascii="Times New Roman" w:hAnsi="Times New Roman" w:eastAsia="黑体"/>
                <w:b/>
                <w:i w:val="0"/>
                <w:sz w:val="19"/>
              </w:rPr>
              <w:t>主要区块</w:t>
            </w:r>
          </w:p>
        </w:tc>
        <w:tc>
          <w:tcPr>
            <w:tcW w:type="dxa" w:w="1701"/>
            <w:shd w:val="clear" w:color="auto" w:fill="DCE6F1"/>
          </w:tcPr>
          <w:p>
            <w:pPr>
              <w:spacing w:before="40" w:after="40" w:line="276" w:lineRule="auto"/>
              <w:jc w:val="center"/>
            </w:pPr>
            <w:r/>
            <w:r>
              <w:rPr>
                <w:rFonts w:ascii="Times New Roman" w:hAnsi="Times New Roman" w:eastAsia="黑体"/>
                <w:b/>
                <w:i w:val="0"/>
                <w:sz w:val="19"/>
              </w:rPr>
              <w:t>主要操作</w:t>
            </w:r>
          </w:p>
        </w:tc>
        <w:tc>
          <w:tcPr>
            <w:tcW w:type="dxa" w:w="1474"/>
            <w:shd w:val="clear" w:color="auto" w:fill="DCE6F1"/>
          </w:tcPr>
          <w:p>
            <w:pPr>
              <w:spacing w:before="40" w:after="40" w:line="276" w:lineRule="auto"/>
              <w:jc w:val="center"/>
            </w:pPr>
            <w:r/>
            <w:r>
              <w:rPr>
                <w:rFonts w:ascii="Times New Roman" w:hAnsi="Times New Roman" w:eastAsia="黑体"/>
                <w:b/>
                <w:i w:val="0"/>
                <w:sz w:val="19"/>
              </w:rPr>
              <w:t>跳转</w:t>
            </w:r>
          </w:p>
        </w:tc>
      </w:tr>
      <w:tr>
        <w:tc>
          <w:tcPr>
            <w:tcW w:type="dxa" w:w="1247"/>
          </w:tcPr>
          <w:p>
            <w:pPr>
              <w:spacing w:before="20" w:after="20" w:line="276" w:lineRule="auto"/>
              <w:ind w:firstLine="0"/>
            </w:pPr>
            <w:r/>
            <w:r>
              <w:rPr>
                <w:rFonts w:ascii="Times New Roman" w:hAnsi="Times New Roman" w:eastAsia="宋体"/>
                <w:b w:val="0"/>
                <w:i w:val="0"/>
                <w:sz w:val="19"/>
              </w:rPr>
              <w:t>个人管理页</w:t>
            </w:r>
          </w:p>
        </w:tc>
        <w:tc>
          <w:tcPr>
            <w:tcW w:type="dxa" w:w="1474"/>
          </w:tcPr>
          <w:p>
            <w:pPr>
              <w:spacing w:before="20" w:after="20" w:line="276" w:lineRule="auto"/>
              <w:ind w:firstLine="0"/>
            </w:pPr>
            <w:r/>
            <w:r>
              <w:rPr>
                <w:rFonts w:ascii="Times New Roman" w:hAnsi="Times New Roman" w:eastAsia="宋体"/>
                <w:b w:val="0"/>
                <w:i w:val="0"/>
                <w:sz w:val="19"/>
              </w:rPr>
              <w:t>account-personal.html</w:t>
            </w:r>
          </w:p>
        </w:tc>
        <w:tc>
          <w:tcPr>
            <w:tcW w:type="dxa" w:w="1134"/>
          </w:tcPr>
          <w:p>
            <w:pPr>
              <w:spacing w:before="20" w:after="20" w:line="276" w:lineRule="auto"/>
              <w:ind w:firstLine="0"/>
            </w:pPr>
            <w:r/>
            <w:r>
              <w:rPr>
                <w:rFonts w:ascii="Times New Roman" w:hAnsi="Times New Roman" w:eastAsia="宋体"/>
                <w:b w:val="0"/>
                <w:i w:val="0"/>
                <w:sz w:val="19"/>
              </w:rPr>
              <w:t>顶部栏用户头像菜单 → 个人中心；或账户中心 → 个人管理</w:t>
            </w:r>
          </w:p>
        </w:tc>
        <w:tc>
          <w:tcPr>
            <w:tcW w:type="dxa" w:w="2041"/>
          </w:tcPr>
          <w:p>
            <w:pPr>
              <w:spacing w:before="20" w:after="20" w:line="276" w:lineRule="auto"/>
              <w:ind w:firstLine="0"/>
            </w:pPr>
            <w:r/>
            <w:r>
              <w:rPr>
                <w:rFonts w:ascii="Times New Roman" w:hAnsi="Times New Roman" w:eastAsia="宋体"/>
                <w:b w:val="0"/>
                <w:i w:val="0"/>
                <w:sz w:val="19"/>
              </w:rPr>
              <w:t>面包屑（账户中心 / 个人账户 / 个人中心）、标题区与「新增个人中心」主操作、功能建设中的缺省区块（个人基本信息维护、登录密码修改、操作日志查询、双因素认证、消息通知中心 5 项预期能力）</w:t>
            </w:r>
          </w:p>
        </w:tc>
        <w:tc>
          <w:tcPr>
            <w:tcW w:type="dxa" w:w="1701"/>
          </w:tcPr>
          <w:p>
            <w:pPr>
              <w:spacing w:before="20" w:after="20" w:line="276" w:lineRule="auto"/>
              <w:ind w:firstLine="0"/>
            </w:pPr>
            <w:r/>
            <w:r>
              <w:rPr>
                <w:rFonts w:ascii="Times New Roman" w:hAnsi="Times New Roman" w:eastAsia="宋体"/>
                <w:b w:val="0"/>
                <w:i w:val="0"/>
                <w:sz w:val="19"/>
              </w:rPr>
              <w:t>新增个人中心；缺省区块列出 5 项预期能力，页面结构与线上功能保持一致</w:t>
            </w:r>
          </w:p>
        </w:tc>
        <w:tc>
          <w:tcPr>
            <w:tcW w:type="dxa" w:w="1474"/>
          </w:tcPr>
          <w:p>
            <w:pPr>
              <w:spacing w:before="20" w:after="20" w:line="276" w:lineRule="auto"/>
              <w:ind w:firstLine="0"/>
            </w:pPr>
            <w:r/>
            <w:r>
              <w:rPr>
                <w:rFonts w:ascii="Times New Roman" w:hAnsi="Times New Roman" w:eastAsia="宋体"/>
                <w:b w:val="0"/>
                <w:i w:val="0"/>
                <w:sz w:val="19"/>
              </w:rPr>
              <w:t>页面当前为缺省状态，暂无可跳转的业务详情页；后续安全设置与消息中心的跳转目标待业务方确认</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4.5.5　数据关系</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474"/>
            <w:shd w:val="clear" w:color="auto" w:fill="DCE6F1"/>
          </w:tcPr>
          <w:p>
            <w:pPr>
              <w:spacing w:before="40" w:after="40" w:line="276" w:lineRule="auto"/>
              <w:jc w:val="center"/>
            </w:pPr>
            <w:r/>
            <w:r>
              <w:rPr>
                <w:rFonts w:ascii="Times New Roman" w:hAnsi="Times New Roman" w:eastAsia="黑体"/>
                <w:b/>
                <w:i w:val="0"/>
                <w:sz w:val="21"/>
              </w:rPr>
              <w:t>业务对象</w:t>
            </w:r>
          </w:p>
        </w:tc>
        <w:tc>
          <w:tcPr>
            <w:tcW w:type="dxa" w:w="4195"/>
            <w:shd w:val="clear" w:color="auto" w:fill="DCE6F1"/>
          </w:tcPr>
          <w:p>
            <w:pPr>
              <w:spacing w:before="40" w:after="40" w:line="276" w:lineRule="auto"/>
              <w:jc w:val="center"/>
            </w:pPr>
            <w:r/>
            <w:r>
              <w:rPr>
                <w:rFonts w:ascii="Times New Roman" w:hAnsi="Times New Roman" w:eastAsia="黑体"/>
                <w:b/>
                <w:i w:val="0"/>
                <w:sz w:val="21"/>
              </w:rPr>
              <w:t>关键字段与口径</w:t>
            </w:r>
          </w:p>
        </w:tc>
        <w:tc>
          <w:tcPr>
            <w:tcW w:type="dxa" w:w="3402"/>
            <w:shd w:val="clear" w:color="auto" w:fill="DCE6F1"/>
          </w:tcPr>
          <w:p>
            <w:pPr>
              <w:spacing w:before="40" w:after="40" w:line="276" w:lineRule="auto"/>
              <w:jc w:val="center"/>
            </w:pPr>
            <w:r/>
            <w:r>
              <w:rPr>
                <w:rFonts w:ascii="Times New Roman" w:hAnsi="Times New Roman" w:eastAsia="黑体"/>
                <w:b/>
                <w:i w:val="0"/>
                <w:sz w:val="21"/>
              </w:rPr>
              <w:t>与其他对象的关系</w:t>
            </w:r>
          </w:p>
        </w:tc>
      </w:tr>
      <w:tr>
        <w:tc>
          <w:tcPr>
            <w:tcW w:type="dxa" w:w="1474"/>
          </w:tcPr>
          <w:p>
            <w:pPr>
              <w:spacing w:before="20" w:after="20" w:line="276" w:lineRule="auto"/>
              <w:ind w:firstLine="0"/>
            </w:pPr>
            <w:r/>
            <w:r>
              <w:rPr>
                <w:rFonts w:ascii="Times New Roman" w:hAnsi="Times New Roman" w:eastAsia="宋体"/>
                <w:b w:val="0"/>
                <w:i w:val="0"/>
                <w:sz w:val="21"/>
              </w:rPr>
              <w:t>个人账号</w:t>
            </w:r>
          </w:p>
        </w:tc>
        <w:tc>
          <w:tcPr>
            <w:tcW w:type="dxa" w:w="4195"/>
          </w:tcPr>
          <w:p>
            <w:pPr>
              <w:spacing w:before="20" w:after="20" w:line="276" w:lineRule="auto"/>
              <w:ind w:firstLine="0"/>
            </w:pPr>
            <w:r/>
            <w:r>
              <w:rPr>
                <w:rFonts w:ascii="Times New Roman" w:hAnsi="Times New Roman" w:eastAsia="宋体"/>
                <w:b w:val="0"/>
                <w:i w:val="0"/>
                <w:sz w:val="21"/>
              </w:rPr>
              <w:t>账号 ID：系统自动生成</w:t>
            </w:r>
            <w:r>
              <w:br/>
            </w:r>
            <w:r>
              <w:rPr>
                <w:rFonts w:ascii="Times New Roman" w:hAnsi="Times New Roman" w:eastAsia="宋体"/>
                <w:b w:val="0"/>
                <w:i w:val="0"/>
                <w:sz w:val="21"/>
              </w:rPr>
              <w:t>用户名：登录名，不可修改</w:t>
            </w:r>
            <w:r>
              <w:br/>
            </w:r>
            <w:r>
              <w:rPr>
                <w:rFonts w:ascii="Times New Roman" w:hAnsi="Times New Roman" w:eastAsia="宋体"/>
                <w:b w:val="0"/>
                <w:i w:val="0"/>
                <w:sz w:val="21"/>
              </w:rPr>
              <w:t>真实姓名：实名认证姓名</w:t>
            </w:r>
            <w:r>
              <w:br/>
            </w:r>
            <w:r>
              <w:rPr>
                <w:rFonts w:ascii="Times New Roman" w:hAnsi="Times New Roman" w:eastAsia="宋体"/>
                <w:b w:val="0"/>
                <w:i w:val="0"/>
                <w:sz w:val="21"/>
              </w:rPr>
              <w:t>手机号：默认打码展示，可手动查看完整信息</w:t>
            </w:r>
            <w:r>
              <w:br/>
            </w:r>
            <w:r>
              <w:rPr>
                <w:rFonts w:ascii="Times New Roman" w:hAnsi="Times New Roman" w:eastAsia="宋体"/>
                <w:b w:val="0"/>
                <w:i w:val="0"/>
                <w:sz w:val="21"/>
              </w:rPr>
              <w:t>邮箱：默认打码展示，可手动查看完整信息</w:t>
            </w:r>
            <w:r>
              <w:br/>
            </w:r>
            <w:r>
              <w:rPr>
                <w:rFonts w:ascii="Times New Roman" w:hAnsi="Times New Roman" w:eastAsia="宋体"/>
                <w:b w:val="0"/>
                <w:i w:val="0"/>
                <w:sz w:val="21"/>
              </w:rPr>
              <w:t>身份证号：个人基本信息项</w:t>
            </w:r>
            <w:r>
              <w:br/>
            </w:r>
            <w:r>
              <w:rPr>
                <w:rFonts w:ascii="Times New Roman" w:hAnsi="Times New Roman" w:eastAsia="宋体"/>
                <w:b w:val="0"/>
                <w:i w:val="0"/>
                <w:sz w:val="21"/>
              </w:rPr>
              <w:t>所属企业：自动关联</w:t>
            </w:r>
            <w:r>
              <w:br/>
            </w:r>
            <w:r>
              <w:rPr>
                <w:rFonts w:ascii="Times New Roman" w:hAnsi="Times New Roman" w:eastAsia="宋体"/>
                <w:b w:val="0"/>
                <w:i w:val="0"/>
                <w:sz w:val="21"/>
              </w:rPr>
              <w:t>所属部门</w:t>
            </w:r>
            <w:r>
              <w:br/>
            </w:r>
            <w:r>
              <w:rPr>
                <w:rFonts w:ascii="Times New Roman" w:hAnsi="Times New Roman" w:eastAsia="宋体"/>
                <w:b w:val="0"/>
                <w:i w:val="0"/>
                <w:sz w:val="21"/>
              </w:rPr>
              <w:t>角色：展示当前用户角色</w:t>
            </w:r>
          </w:p>
        </w:tc>
        <w:tc>
          <w:tcPr>
            <w:tcW w:type="dxa" w:w="3402"/>
          </w:tcPr>
          <w:p>
            <w:pPr>
              <w:spacing w:before="20" w:after="20" w:line="276" w:lineRule="auto"/>
              <w:ind w:firstLine="0"/>
            </w:pPr>
            <w:r/>
            <w:r>
              <w:rPr>
                <w:rFonts w:ascii="Times New Roman" w:hAnsi="Times New Roman" w:eastAsia="宋体"/>
                <w:b w:val="0"/>
                <w:i w:val="0"/>
                <w:sz w:val="21"/>
              </w:rPr>
              <w:t>归属于所属企业，与角色、消息订阅、安全日志关联</w:t>
            </w:r>
          </w:p>
        </w:tc>
      </w:tr>
      <w:tr>
        <w:tc>
          <w:tcPr>
            <w:tcW w:type="dxa" w:w="1474"/>
          </w:tcPr>
          <w:p>
            <w:pPr>
              <w:spacing w:before="20" w:after="20" w:line="276" w:lineRule="auto"/>
              <w:ind w:firstLine="0"/>
            </w:pPr>
            <w:r/>
            <w:r>
              <w:rPr>
                <w:rFonts w:ascii="Times New Roman" w:hAnsi="Times New Roman" w:eastAsia="宋体"/>
                <w:b w:val="0"/>
                <w:i w:val="0"/>
                <w:sz w:val="21"/>
              </w:rPr>
              <w:t>消息订阅</w:t>
            </w:r>
          </w:p>
        </w:tc>
        <w:tc>
          <w:tcPr>
            <w:tcW w:type="dxa" w:w="4195"/>
          </w:tcPr>
          <w:p>
            <w:pPr>
              <w:spacing w:before="20" w:after="20" w:line="276" w:lineRule="auto"/>
              <w:ind w:firstLine="0"/>
            </w:pPr>
            <w:r/>
            <w:r>
              <w:rPr>
                <w:rFonts w:ascii="Times New Roman" w:hAnsi="Times New Roman" w:eastAsia="宋体"/>
                <w:b w:val="0"/>
                <w:i w:val="0"/>
                <w:sz w:val="21"/>
              </w:rPr>
              <w:t>订阅渠道：站内信、邮件、短信、钉钉，多选</w:t>
            </w:r>
          </w:p>
        </w:tc>
        <w:tc>
          <w:tcPr>
            <w:tcW w:type="dxa" w:w="3402"/>
          </w:tcPr>
          <w:p>
            <w:pPr>
              <w:spacing w:before="20" w:after="20" w:line="276" w:lineRule="auto"/>
              <w:ind w:firstLine="0"/>
            </w:pPr>
            <w:r/>
            <w:r>
              <w:rPr>
                <w:rFonts w:ascii="Times New Roman" w:hAnsi="Times New Roman" w:eastAsia="宋体"/>
                <w:b w:val="0"/>
                <w:i w:val="0"/>
                <w:sz w:val="21"/>
              </w:rPr>
              <w:t>决定审批通知与用户准入通知的送达渠道</w:t>
            </w:r>
          </w:p>
        </w:tc>
      </w:tr>
      <w:tr>
        <w:tc>
          <w:tcPr>
            <w:tcW w:type="dxa" w:w="1474"/>
          </w:tcPr>
          <w:p>
            <w:pPr>
              <w:spacing w:before="20" w:after="20" w:line="276" w:lineRule="auto"/>
              <w:ind w:firstLine="0"/>
            </w:pPr>
            <w:r/>
            <w:r>
              <w:rPr>
                <w:rFonts w:ascii="Times New Roman" w:hAnsi="Times New Roman" w:eastAsia="宋体"/>
                <w:b w:val="0"/>
                <w:i w:val="0"/>
                <w:sz w:val="21"/>
              </w:rPr>
              <w:t>安全日志</w:t>
            </w:r>
          </w:p>
        </w:tc>
        <w:tc>
          <w:tcPr>
            <w:tcW w:type="dxa" w:w="4195"/>
          </w:tcPr>
          <w:p>
            <w:pPr>
              <w:spacing w:before="20" w:after="20" w:line="276" w:lineRule="auto"/>
              <w:ind w:firstLine="0"/>
            </w:pPr>
            <w:r/>
            <w:r>
              <w:rPr>
                <w:rFonts w:ascii="Times New Roman" w:hAnsi="Times New Roman" w:eastAsia="宋体"/>
                <w:b w:val="0"/>
                <w:i w:val="0"/>
                <w:sz w:val="21"/>
              </w:rPr>
              <w:t>事件类型：登录、登出、密码修改</w:t>
            </w:r>
            <w:r>
              <w:br/>
            </w:r>
            <w:r>
              <w:rPr>
                <w:rFonts w:ascii="Times New Roman" w:hAnsi="Times New Roman" w:eastAsia="宋体"/>
                <w:b w:val="0"/>
                <w:i w:val="0"/>
                <w:sz w:val="21"/>
              </w:rPr>
              <w:t>最近登录：最近 10 次记录，含 IP、设备、时间</w:t>
            </w:r>
          </w:p>
        </w:tc>
        <w:tc>
          <w:tcPr>
            <w:tcW w:type="dxa" w:w="3402"/>
          </w:tcPr>
          <w:p>
            <w:pPr>
              <w:spacing w:before="20" w:after="20" w:line="276" w:lineRule="auto"/>
              <w:ind w:firstLine="0"/>
            </w:pPr>
            <w:r/>
            <w:r>
              <w:rPr>
                <w:rFonts w:ascii="Times New Roman" w:hAnsi="Times New Roman" w:eastAsia="宋体"/>
                <w:b w:val="0"/>
                <w:i w:val="0"/>
                <w:sz w:val="21"/>
              </w:rPr>
              <w:t>由登录与密码变更行为产生，是操作日志的组成部分</w:t>
            </w:r>
          </w:p>
        </w:tc>
      </w:tr>
      <w:tr>
        <w:tc>
          <w:tcPr>
            <w:tcW w:type="dxa" w:w="1474"/>
          </w:tcPr>
          <w:p>
            <w:pPr>
              <w:spacing w:before="20" w:after="20" w:line="276" w:lineRule="auto"/>
              <w:ind w:firstLine="0"/>
            </w:pPr>
            <w:r/>
            <w:r>
              <w:rPr>
                <w:rFonts w:ascii="Times New Roman" w:hAnsi="Times New Roman" w:eastAsia="宋体"/>
                <w:b w:val="0"/>
                <w:i w:val="0"/>
                <w:sz w:val="21"/>
              </w:rPr>
              <w:t>二次认证方式</w:t>
            </w:r>
          </w:p>
        </w:tc>
        <w:tc>
          <w:tcPr>
            <w:tcW w:type="dxa" w:w="4195"/>
          </w:tcPr>
          <w:p>
            <w:pPr>
              <w:spacing w:before="20" w:after="20" w:line="276" w:lineRule="auto"/>
              <w:ind w:firstLine="0"/>
            </w:pPr>
            <w:r/>
            <w:r>
              <w:rPr>
                <w:rFonts w:ascii="Times New Roman" w:hAnsi="Times New Roman" w:eastAsia="宋体"/>
                <w:b w:val="0"/>
                <w:i w:val="0"/>
                <w:sz w:val="21"/>
              </w:rPr>
              <w:t>认证方式：短信验证码、邮箱验证码、第三方认证器</w:t>
            </w:r>
          </w:p>
        </w:tc>
        <w:tc>
          <w:tcPr>
            <w:tcW w:type="dxa" w:w="3402"/>
          </w:tcPr>
          <w:p>
            <w:pPr>
              <w:spacing w:before="20" w:after="20" w:line="276" w:lineRule="auto"/>
              <w:ind w:firstLine="0"/>
            </w:pPr>
            <w:r/>
            <w:r>
              <w:rPr>
                <w:rFonts w:ascii="Times New Roman" w:hAnsi="Times New Roman" w:eastAsia="宋体"/>
                <w:b w:val="0"/>
                <w:i w:val="0"/>
                <w:sz w:val="21"/>
              </w:rPr>
              <w:t>与账号绑定，用于异地登录等场景的二次验证</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4.5.6　角色权限与数据权限</w:t>
      </w:r>
    </w:p>
    <w:p>
      <w:pPr>
        <w:spacing w:before="0" w:after="120" w:line="360" w:lineRule="auto"/>
      </w:pPr>
      <w:r>
        <w:rPr>
          <w:rFonts w:ascii="Times New Roman" w:hAnsi="Times New Roman" w:eastAsia="宋体"/>
          <w:b w:val="0"/>
          <w:i w:val="0"/>
          <w:sz w:val="24"/>
        </w:rPr>
        <w:t>本期为系统全量权限（业务方裁决 D17）；下表角色为典型使用角色，非权限分级。个人管理仅作用于当前登录用户本人的账号数据，不涉及他人账号；权限不足时按钮置灰并提示「无权限」。</w:t>
      </w:r>
    </w:p>
    <w:p>
      <w:pPr>
        <w:spacing w:before="0" w:after="80" w:line="360" w:lineRule="auto"/>
      </w:pPr>
      <w:r>
        <w:rPr>
          <w:rFonts w:ascii="Times New Roman" w:hAnsi="Times New Roman" w:eastAsia="宋体"/>
          <w:b w:val="0"/>
          <w:i w:val="0"/>
          <w:sz w:val="24"/>
        </w:rPr>
        <w:t>数据可见性：按单据归属与业务筛选查看；手机号、统一社会信用代码等敏感字段默认打码，手动点击查看完整值且查看行为留痕。</w:t>
      </w:r>
    </w:p>
    <w:p>
      <w:pPr>
        <w:pStyle w:val="Heading3"/>
        <w:keepNext/>
        <w:spacing w:before="160" w:after="80" w:line="312" w:lineRule="auto"/>
        <w:ind w:firstLine="0"/>
      </w:pPr>
      <w:r>
        <w:rPr>
          <w:rFonts w:ascii="Times New Roman" w:hAnsi="Times New Roman" w:eastAsia="黑体"/>
          <w:b/>
          <w:i w:val="0"/>
          <w:sz w:val="24"/>
        </w:rPr>
        <w:t>4.5.7　业务流程与页面</w:t>
      </w:r>
    </w:p>
    <w:p>
      <w:pPr>
        <w:spacing w:before="120" w:after="60"/>
        <w:ind w:firstLine="0"/>
        <w:jc w:val="center"/>
      </w:pPr>
      <w:r>
        <w:drawing>
          <wp:inline xmlns:a="http://schemas.openxmlformats.org/drawingml/2006/main" xmlns:pic="http://schemas.openxmlformats.org/drawingml/2006/picture">
            <wp:extent cx="5616000" cy="3695586"/>
            <wp:docPr id="9" name="Picture 9"/>
            <wp:cNvGraphicFramePr>
              <a:graphicFrameLocks noChangeAspect="1"/>
            </wp:cNvGraphicFramePr>
            <a:graphic>
              <a:graphicData uri="http://schemas.openxmlformats.org/drawingml/2006/picture">
                <pic:pic>
                  <pic:nvPicPr>
                    <pic:cNvPr id="0" name="mermaid-account-personal.png"/>
                    <pic:cNvPicPr/>
                  </pic:nvPicPr>
                  <pic:blipFill>
                    <a:blip r:embed="rId19"/>
                    <a:stretch>
                      <a:fillRect/>
                    </a:stretch>
                  </pic:blipFill>
                  <pic:spPr>
                    <a:xfrm>
                      <a:off x="0" y="0"/>
                      <a:ext cx="5616000" cy="3695586"/>
                    </a:xfrm>
                    <a:prstGeom prst="rect"/>
                  </pic:spPr>
                </pic:pic>
              </a:graphicData>
            </a:graphic>
          </wp:inline>
        </w:drawing>
      </w:r>
    </w:p>
    <w:p>
      <w:pPr>
        <w:spacing w:before="0" w:after="200" w:line="240" w:lineRule="auto"/>
        <w:ind w:firstLine="0"/>
        <w:jc w:val="center"/>
      </w:pPr>
      <w:r>
        <w:rPr>
          <w:rFonts w:ascii="Times New Roman" w:hAnsi="Times New Roman" w:eastAsia="宋体"/>
          <w:b w:val="0"/>
          <w:i w:val="0"/>
          <w:sz w:val="21"/>
        </w:rPr>
        <w:t>图 4-5-1　个人管理 主业务流程</w:t>
      </w:r>
    </w:p>
    <w:p>
      <w:pPr>
        <w:spacing w:before="0" w:after="60" w:line="360" w:lineRule="auto"/>
      </w:pPr>
      <w:r>
        <w:rPr>
          <w:rFonts w:ascii="Times New Roman" w:hAnsi="Times New Roman" w:eastAsia="宋体"/>
          <w:b/>
          <w:i w:val="0"/>
          <w:sz w:val="24"/>
        </w:rPr>
        <w:t>主流程步骤：</w:t>
      </w:r>
    </w:p>
    <w:p>
      <w:pPr>
        <w:spacing w:before="0" w:after="60" w:line="336" w:lineRule="auto"/>
        <w:ind w:left="510" w:hanging="510"/>
      </w:pPr>
      <w:r>
        <w:rPr>
          <w:rFonts w:ascii="Times New Roman" w:hAnsi="Times New Roman" w:eastAsia="宋体"/>
          <w:b w:val="0"/>
          <w:i w:val="0"/>
          <w:sz w:val="24"/>
        </w:rPr>
        <w:t>1. 用户点击顶部栏用户头像进入个人管理页面</w:t>
      </w:r>
    </w:p>
    <w:p>
      <w:pPr>
        <w:spacing w:before="0" w:after="60" w:line="336" w:lineRule="auto"/>
        <w:ind w:left="510" w:hanging="510"/>
      </w:pPr>
      <w:r>
        <w:rPr>
          <w:rFonts w:ascii="Times New Roman" w:hAnsi="Times New Roman" w:eastAsia="宋体"/>
          <w:b w:val="0"/>
          <w:i w:val="0"/>
          <w:sz w:val="24"/>
        </w:rPr>
        <w:t>2. 页面展示个人账号基础信息，用户可维护姓名、身份证号、联系电话、邮箱与所属部门</w:t>
      </w:r>
    </w:p>
    <w:p>
      <w:pPr>
        <w:spacing w:before="0" w:after="60" w:line="336" w:lineRule="auto"/>
        <w:ind w:left="510" w:hanging="510"/>
      </w:pPr>
      <w:r>
        <w:rPr>
          <w:rFonts w:ascii="Times New Roman" w:hAnsi="Times New Roman" w:eastAsia="宋体"/>
          <w:b w:val="0"/>
          <w:i w:val="0"/>
          <w:sz w:val="24"/>
        </w:rPr>
        <w:t>3. 用户在安全设置中发起密码修改，系统校验旧密码并执行复杂度校验</w:t>
      </w:r>
    </w:p>
    <w:p>
      <w:pPr>
        <w:spacing w:before="0" w:after="60" w:line="336" w:lineRule="auto"/>
        <w:ind w:left="510" w:hanging="510"/>
      </w:pPr>
      <w:r>
        <w:rPr>
          <w:rFonts w:ascii="Times New Roman" w:hAnsi="Times New Roman" w:eastAsia="宋体"/>
          <w:b w:val="0"/>
          <w:i w:val="0"/>
          <w:sz w:val="24"/>
        </w:rPr>
        <w:t>4. 用户在操作日志中查看登录、资料修改、密码修改与权限变更记录</w:t>
      </w:r>
    </w:p>
    <w:p>
      <w:pPr>
        <w:spacing w:before="0" w:after="60" w:line="336" w:lineRule="auto"/>
        <w:ind w:left="510" w:hanging="510"/>
      </w:pPr>
      <w:r>
        <w:rPr>
          <w:rFonts w:ascii="Times New Roman" w:hAnsi="Times New Roman" w:eastAsia="宋体"/>
          <w:b w:val="0"/>
          <w:i w:val="0"/>
          <w:sz w:val="24"/>
        </w:rPr>
        <w:t>5. 用户为账号绑定短信验证码、邮箱验证码或第三方认证器中的一种</w:t>
      </w:r>
    </w:p>
    <w:p>
      <w:pPr>
        <w:spacing w:before="0" w:after="60" w:line="336" w:lineRule="auto"/>
        <w:ind w:left="510" w:hanging="510"/>
      </w:pPr>
      <w:r>
        <w:rPr>
          <w:rFonts w:ascii="Times New Roman" w:hAnsi="Times New Roman" w:eastAsia="宋体"/>
          <w:b w:val="0"/>
          <w:i w:val="0"/>
          <w:sz w:val="24"/>
        </w:rPr>
        <w:t>6. 用户在消息通知中心查看系统消息、待办提醒与审批通知</w:t>
      </w:r>
    </w:p>
    <w:p>
      <w:pPr>
        <w:spacing w:before="0" w:after="60" w:line="336" w:lineRule="auto"/>
        <w:ind w:left="510" w:hanging="510"/>
      </w:pPr>
      <w:r>
        <w:rPr>
          <w:rFonts w:ascii="Times New Roman" w:hAnsi="Times New Roman" w:eastAsia="宋体"/>
          <w:b w:val="0"/>
          <w:i w:val="0"/>
          <w:sz w:val="24"/>
        </w:rPr>
        <w:t>7. 用户在消息订阅中勾选站内信、邮件、短信、钉钉等送达渠道</w:t>
      </w:r>
    </w:p>
    <w:p>
      <w:pPr>
        <w:spacing w:before="0" w:after="60" w:line="336" w:lineRule="auto"/>
        <w:ind w:left="510" w:hanging="510"/>
      </w:pPr>
      <w:r>
        <w:rPr>
          <w:rFonts w:ascii="Times New Roman" w:hAnsi="Times New Roman" w:eastAsia="宋体"/>
          <w:b w:val="0"/>
          <w:i w:val="0"/>
          <w:sz w:val="24"/>
        </w:rPr>
        <w:t>8. 账号出现锁定或密码到期时，登录被拦截并引导用户完成相应处理</w:t>
      </w:r>
    </w:p>
    <w:p>
      <w:pPr>
        <w:spacing w:before="120" w:after="60" w:line="360" w:lineRule="auto"/>
      </w:pPr>
      <w:r>
        <w:rPr>
          <w:rFonts w:ascii="Times New Roman" w:hAnsi="Times New Roman" w:eastAsia="宋体"/>
          <w:b/>
          <w:i w:val="0"/>
          <w:sz w:val="24"/>
        </w:rPr>
        <w:t>异常分支：</w:t>
      </w:r>
    </w:p>
    <w:tbl>
      <w:tblPr>
        <w:tblStyle w:val="TableGrid"/>
        <w:tblW w:type="auto" w:w="0"/>
        <w:jc w:val="center"/>
        <w:tblLayout w:type="fixed"/>
        <w:tblLook w:firstColumn="1" w:firstRow="1" w:lastColumn="0" w:lastRow="0" w:noHBand="0" w:noVBand="1" w:val="04A0"/>
      </w:tblPr>
      <w:tblGrid>
        <w:gridCol w:w="4479"/>
        <w:gridCol w:w="4479"/>
      </w:tblGrid>
      <w:tr>
        <w:trPr>
          <w:tblHeader w:val="true"/>
        </w:trPr>
        <w:tc>
          <w:tcPr>
            <w:tcW w:type="dxa" w:w="2835"/>
            <w:shd w:val="clear" w:color="auto" w:fill="DCE6F1"/>
          </w:tcPr>
          <w:p>
            <w:pPr>
              <w:spacing w:before="40" w:after="40" w:line="276" w:lineRule="auto"/>
              <w:jc w:val="center"/>
            </w:pPr>
            <w:r/>
            <w:r>
              <w:rPr>
                <w:rFonts w:ascii="Times New Roman" w:hAnsi="Times New Roman" w:eastAsia="黑体"/>
                <w:b/>
                <w:i w:val="0"/>
                <w:sz w:val="21"/>
              </w:rPr>
              <w:t>异常场景</w:t>
            </w:r>
          </w:p>
        </w:tc>
        <w:tc>
          <w:tcPr>
            <w:tcW w:type="dxa" w:w="6236"/>
            <w:shd w:val="clear" w:color="auto" w:fill="DCE6F1"/>
          </w:tcPr>
          <w:p>
            <w:pPr>
              <w:spacing w:before="40" w:after="40" w:line="276" w:lineRule="auto"/>
              <w:jc w:val="center"/>
            </w:pPr>
            <w:r/>
            <w:r>
              <w:rPr>
                <w:rFonts w:ascii="Times New Roman" w:hAnsi="Times New Roman" w:eastAsia="黑体"/>
                <w:b/>
                <w:i w:val="0"/>
                <w:sz w:val="21"/>
              </w:rPr>
              <w:t>系统处理</w:t>
            </w:r>
          </w:p>
        </w:tc>
      </w:tr>
      <w:tr>
        <w:tc>
          <w:tcPr>
            <w:tcW w:type="dxa" w:w="2835"/>
          </w:tcPr>
          <w:p>
            <w:pPr>
              <w:spacing w:before="20" w:after="20" w:line="276" w:lineRule="auto"/>
              <w:ind w:firstLine="0"/>
            </w:pPr>
            <w:r/>
            <w:r>
              <w:rPr>
                <w:rFonts w:ascii="Times New Roman" w:hAnsi="Times New Roman" w:eastAsia="宋体"/>
                <w:b w:val="0"/>
                <w:i w:val="0"/>
                <w:sz w:val="21"/>
              </w:rPr>
              <w:t>无权限访问</w:t>
            </w:r>
          </w:p>
        </w:tc>
        <w:tc>
          <w:tcPr>
            <w:tcW w:type="dxa" w:w="6236"/>
          </w:tcPr>
          <w:p>
            <w:pPr>
              <w:spacing w:before="20" w:after="20" w:line="276" w:lineRule="auto"/>
              <w:ind w:firstLine="0"/>
            </w:pPr>
            <w:r/>
            <w:r>
              <w:rPr>
                <w:rFonts w:ascii="Times New Roman" w:hAnsi="Times New Roman" w:eastAsia="宋体"/>
                <w:b w:val="0"/>
                <w:i w:val="0"/>
                <w:sz w:val="21"/>
              </w:rPr>
              <w:t>个人管理仅作用于当前登录用户本人的数据，不涉及他人账号；权限不足时按钮置灰并提示「无权限」</w:t>
            </w:r>
          </w:p>
        </w:tc>
      </w:tr>
      <w:tr>
        <w:tc>
          <w:tcPr>
            <w:tcW w:type="dxa" w:w="2835"/>
          </w:tcPr>
          <w:p>
            <w:pPr>
              <w:spacing w:before="20" w:after="20" w:line="276" w:lineRule="auto"/>
              <w:ind w:firstLine="0"/>
            </w:pPr>
            <w:r/>
            <w:r>
              <w:rPr>
                <w:rFonts w:ascii="Times New Roman" w:hAnsi="Times New Roman" w:eastAsia="宋体"/>
                <w:b w:val="0"/>
                <w:i w:val="0"/>
                <w:sz w:val="21"/>
              </w:rPr>
              <w:t>空数据</w:t>
            </w:r>
          </w:p>
        </w:tc>
        <w:tc>
          <w:tcPr>
            <w:tcW w:type="dxa" w:w="6236"/>
          </w:tcPr>
          <w:p>
            <w:pPr>
              <w:spacing w:before="20" w:after="20" w:line="276" w:lineRule="auto"/>
              <w:ind w:firstLine="0"/>
            </w:pPr>
            <w:r/>
            <w:r>
              <w:rPr>
                <w:rFonts w:ascii="Times New Roman" w:hAnsi="Times New Roman" w:eastAsia="宋体"/>
                <w:b w:val="0"/>
                <w:i w:val="0"/>
                <w:sz w:val="21"/>
              </w:rPr>
              <w:t>操作日志与最近登录记录为空时展示空状态列表；所属企业未关联时该字段显示为空占位</w:t>
            </w:r>
          </w:p>
        </w:tc>
      </w:tr>
      <w:tr>
        <w:tc>
          <w:tcPr>
            <w:tcW w:type="dxa" w:w="2835"/>
          </w:tcPr>
          <w:p>
            <w:pPr>
              <w:spacing w:before="20" w:after="20" w:line="276" w:lineRule="auto"/>
              <w:ind w:firstLine="0"/>
            </w:pPr>
            <w:r/>
            <w:r>
              <w:rPr>
                <w:rFonts w:ascii="Times New Roman" w:hAnsi="Times New Roman" w:eastAsia="宋体"/>
                <w:b w:val="0"/>
                <w:i w:val="0"/>
                <w:sz w:val="21"/>
              </w:rPr>
              <w:t>重复提交</w:t>
            </w:r>
          </w:p>
        </w:tc>
        <w:tc>
          <w:tcPr>
            <w:tcW w:type="dxa" w:w="6236"/>
          </w:tcPr>
          <w:p>
            <w:pPr>
              <w:spacing w:before="20" w:after="20" w:line="276" w:lineRule="auto"/>
              <w:ind w:firstLine="0"/>
            </w:pPr>
            <w:r/>
            <w:r>
              <w:rPr>
                <w:rFonts w:ascii="Times New Roman" w:hAnsi="Times New Roman" w:eastAsia="宋体"/>
                <w:b w:val="0"/>
                <w:i w:val="0"/>
                <w:sz w:val="21"/>
              </w:rPr>
              <w:t>密码修改必须校验旧密码，旧密码不正确时拒绝提交并保留已填写的新密码；保存动作进行中按钮置为加载态并禁用，避免重复提交</w:t>
            </w:r>
          </w:p>
        </w:tc>
      </w:tr>
      <w:tr>
        <w:tc>
          <w:tcPr>
            <w:tcW w:type="dxa" w:w="2835"/>
          </w:tcPr>
          <w:p>
            <w:pPr>
              <w:spacing w:before="20" w:after="20" w:line="276" w:lineRule="auto"/>
              <w:ind w:firstLine="0"/>
            </w:pPr>
            <w:r/>
            <w:r>
              <w:rPr>
                <w:rFonts w:ascii="Times New Roman" w:hAnsi="Times New Roman" w:eastAsia="宋体"/>
                <w:b w:val="0"/>
                <w:i w:val="0"/>
                <w:sz w:val="21"/>
              </w:rPr>
              <w:t>接口失败</w:t>
            </w:r>
          </w:p>
        </w:tc>
        <w:tc>
          <w:tcPr>
            <w:tcW w:type="dxa" w:w="6236"/>
          </w:tcPr>
          <w:p>
            <w:pPr>
              <w:spacing w:before="20" w:after="20" w:line="276" w:lineRule="auto"/>
              <w:ind w:firstLine="0"/>
            </w:pPr>
            <w:r/>
            <w:r>
              <w:rPr>
                <w:rFonts w:ascii="Times New Roman" w:hAnsi="Times New Roman" w:eastAsia="宋体"/>
                <w:b w:val="0"/>
                <w:i w:val="0"/>
                <w:sz w:val="21"/>
              </w:rPr>
              <w:t>资料保存或日志加载失败时顶部红色提示「数据加载失败，请重试」并提供重试入口，保留用户已填写内容且按钮恢复可点</w:t>
            </w:r>
          </w:p>
        </w:tc>
      </w:tr>
      <w:tr>
        <w:tc>
          <w:tcPr>
            <w:tcW w:type="dxa" w:w="2835"/>
          </w:tcPr>
          <w:p>
            <w:pPr>
              <w:spacing w:before="20" w:after="20" w:line="276" w:lineRule="auto"/>
              <w:ind w:firstLine="0"/>
            </w:pPr>
            <w:r/>
            <w:r>
              <w:rPr>
                <w:rFonts w:ascii="Times New Roman" w:hAnsi="Times New Roman" w:eastAsia="宋体"/>
                <w:b w:val="0"/>
                <w:i w:val="0"/>
                <w:sz w:val="21"/>
              </w:rPr>
              <w:t>状态冲突</w:t>
            </w:r>
          </w:p>
        </w:tc>
        <w:tc>
          <w:tcPr>
            <w:tcW w:type="dxa" w:w="6236"/>
          </w:tcPr>
          <w:p>
            <w:pPr>
              <w:spacing w:before="20" w:after="20" w:line="276" w:lineRule="auto"/>
              <w:ind w:firstLine="0"/>
            </w:pPr>
            <w:r/>
            <w:r>
              <w:rPr>
                <w:rFonts w:ascii="Times New Roman" w:hAnsi="Times New Roman" w:eastAsia="宋体"/>
                <w:b w:val="0"/>
                <w:i w:val="0"/>
                <w:sz w:val="21"/>
              </w:rPr>
              <w:t>账号被禁用时登录被拦截并提示「该账号已禁用，请联系管理员」；账号处于锁定状态期间不允许登录，需等待 30 分钟解锁</w:t>
            </w:r>
          </w:p>
        </w:tc>
      </w:tr>
      <w:tr>
        <w:tc>
          <w:tcPr>
            <w:tcW w:type="dxa" w:w="2835"/>
          </w:tcPr>
          <w:p>
            <w:pPr>
              <w:spacing w:before="20" w:after="20" w:line="276" w:lineRule="auto"/>
              <w:ind w:firstLine="0"/>
            </w:pPr>
            <w:r/>
            <w:r>
              <w:rPr>
                <w:rFonts w:ascii="Times New Roman" w:hAnsi="Times New Roman" w:eastAsia="宋体"/>
                <w:b w:val="0"/>
                <w:i w:val="0"/>
                <w:sz w:val="21"/>
              </w:rPr>
              <w:t>超限</w:t>
            </w:r>
          </w:p>
        </w:tc>
        <w:tc>
          <w:tcPr>
            <w:tcW w:type="dxa" w:w="6236"/>
          </w:tcPr>
          <w:p>
            <w:pPr>
              <w:spacing w:before="20" w:after="20" w:line="276" w:lineRule="auto"/>
              <w:ind w:firstLine="0"/>
            </w:pPr>
            <w:r/>
            <w:r>
              <w:rPr>
                <w:rFonts w:ascii="Times New Roman" w:hAnsi="Times New Roman" w:eastAsia="宋体"/>
                <w:b w:val="0"/>
                <w:i w:val="0"/>
                <w:sz w:val="21"/>
              </w:rPr>
              <w:t>连续 5 次密码错误锁定账号 30 分钟；密码有效期满 90 天时登录被拦截并强制修改密码</w:t>
            </w:r>
          </w:p>
        </w:tc>
      </w:tr>
    </w:tbl>
    <w:p>
      <w:pPr>
        <w:spacing w:before="0" w:after="0" w:line="240" w:lineRule="auto"/>
      </w:pPr>
    </w:p>
    <w:p>
      <w:pPr>
        <w:spacing w:before="120" w:after="60"/>
        <w:ind w:firstLine="0"/>
        <w:jc w:val="center"/>
      </w:pPr>
      <w:r>
        <w:drawing>
          <wp:inline xmlns:a="http://schemas.openxmlformats.org/drawingml/2006/main" xmlns:pic="http://schemas.openxmlformats.org/drawingml/2006/picture">
            <wp:extent cx="5616000" cy="3334500"/>
            <wp:docPr id="10" name="Picture 10"/>
            <wp:cNvGraphicFramePr>
              <a:graphicFrameLocks noChangeAspect="1"/>
            </wp:cNvGraphicFramePr>
            <a:graphic>
              <a:graphicData uri="http://schemas.openxmlformats.org/drawingml/2006/picture">
                <pic:pic>
                  <pic:nvPicPr>
                    <pic:cNvPr id="0" name="account-personal.png"/>
                    <pic:cNvPicPr/>
                  </pic:nvPicPr>
                  <pic:blipFill>
                    <a:blip r:embed="rId20"/>
                    <a:stretch>
                      <a:fillRect/>
                    </a:stretch>
                  </pic:blipFill>
                  <pic:spPr>
                    <a:xfrm>
                      <a:off x="0" y="0"/>
                      <a:ext cx="5616000" cy="3334500"/>
                    </a:xfrm>
                    <a:prstGeom prst="rect"/>
                  </pic:spPr>
                </pic:pic>
              </a:graphicData>
            </a:graphic>
          </wp:inline>
        </w:drawing>
      </w:r>
    </w:p>
    <w:p>
      <w:pPr>
        <w:spacing w:before="0" w:after="200" w:line="240" w:lineRule="auto"/>
        <w:ind w:firstLine="0"/>
        <w:jc w:val="center"/>
      </w:pPr>
      <w:r>
        <w:rPr>
          <w:rFonts w:ascii="Times New Roman" w:hAnsi="Times New Roman" w:eastAsia="宋体"/>
          <w:b w:val="0"/>
          <w:i w:val="0"/>
          <w:sz w:val="21"/>
        </w:rPr>
        <w:t>图 4-5-2　个人管理 原型页面</w:t>
      </w:r>
    </w:p>
    <w:p>
      <w:pPr>
        <w:spacing w:before="80" w:after="60" w:line="360" w:lineRule="auto"/>
      </w:pPr>
      <w:r>
        <w:rPr>
          <w:rFonts w:ascii="Times New Roman" w:hAnsi="Times New Roman" w:eastAsia="宋体"/>
          <w:b/>
          <w:i w:val="0"/>
          <w:sz w:val="24"/>
        </w:rPr>
        <w:t>页面级说明：</w:t>
      </w: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tblGrid>
      <w:tr>
        <w:trPr>
          <w:tblHeader w:val="true"/>
        </w:trPr>
        <w:tc>
          <w:tcPr>
            <w:tcW w:type="dxa" w:w="1178"/>
            <w:shd w:val="clear" w:color="auto" w:fill="DCE6F1"/>
          </w:tcPr>
          <w:p>
            <w:pPr>
              <w:spacing w:before="40" w:after="40" w:line="276" w:lineRule="auto"/>
              <w:jc w:val="center"/>
            </w:pPr>
            <w:r/>
            <w:r>
              <w:rPr>
                <w:rFonts w:ascii="Times New Roman" w:hAnsi="Times New Roman" w:eastAsia="黑体"/>
                <w:b/>
                <w:i w:val="0"/>
                <w:sz w:val="19"/>
              </w:rPr>
              <w:t>页面</w:t>
            </w:r>
          </w:p>
        </w:tc>
        <w:tc>
          <w:tcPr>
            <w:tcW w:type="dxa" w:w="1531"/>
            <w:shd w:val="clear" w:color="auto" w:fill="DCE6F1"/>
          </w:tcPr>
          <w:p>
            <w:pPr>
              <w:spacing w:before="40" w:after="40" w:line="276" w:lineRule="auto"/>
              <w:jc w:val="center"/>
            </w:pPr>
            <w:r/>
            <w:r>
              <w:rPr>
                <w:rFonts w:ascii="Times New Roman" w:hAnsi="Times New Roman" w:eastAsia="黑体"/>
                <w:b/>
                <w:i w:val="0"/>
                <w:sz w:val="19"/>
              </w:rPr>
              <w:t>原型文件</w:t>
            </w:r>
          </w:p>
        </w:tc>
        <w:tc>
          <w:tcPr>
            <w:tcW w:type="dxa" w:w="1119"/>
            <w:shd w:val="clear" w:color="auto" w:fill="DCE6F1"/>
          </w:tcPr>
          <w:p>
            <w:pPr>
              <w:spacing w:before="40" w:after="40" w:line="276" w:lineRule="auto"/>
              <w:jc w:val="center"/>
            </w:pPr>
            <w:r/>
            <w:r>
              <w:rPr>
                <w:rFonts w:ascii="Times New Roman" w:hAnsi="Times New Roman" w:eastAsia="黑体"/>
                <w:b/>
                <w:i w:val="0"/>
                <w:sz w:val="19"/>
              </w:rPr>
              <w:t>进入方式</w:t>
            </w:r>
          </w:p>
        </w:tc>
        <w:tc>
          <w:tcPr>
            <w:tcW w:type="dxa" w:w="2062"/>
            <w:shd w:val="clear" w:color="auto" w:fill="DCE6F1"/>
          </w:tcPr>
          <w:p>
            <w:pPr>
              <w:spacing w:before="40" w:after="40" w:line="276" w:lineRule="auto"/>
              <w:jc w:val="center"/>
            </w:pPr>
            <w:r/>
            <w:r>
              <w:rPr>
                <w:rFonts w:ascii="Times New Roman" w:hAnsi="Times New Roman" w:eastAsia="黑体"/>
                <w:b/>
                <w:i w:val="0"/>
                <w:sz w:val="19"/>
              </w:rPr>
              <w:t>关键区块</w:t>
            </w:r>
          </w:p>
        </w:tc>
        <w:tc>
          <w:tcPr>
            <w:tcW w:type="dxa" w:w="1767"/>
            <w:shd w:val="clear" w:color="auto" w:fill="DCE6F1"/>
          </w:tcPr>
          <w:p>
            <w:pPr>
              <w:spacing w:before="40" w:after="40" w:line="276" w:lineRule="auto"/>
              <w:jc w:val="center"/>
            </w:pPr>
            <w:r/>
            <w:r>
              <w:rPr>
                <w:rFonts w:ascii="Times New Roman" w:hAnsi="Times New Roman" w:eastAsia="黑体"/>
                <w:b/>
                <w:i w:val="0"/>
                <w:sz w:val="19"/>
              </w:rPr>
              <w:t>主要按钮与行为</w:t>
            </w:r>
          </w:p>
        </w:tc>
        <w:tc>
          <w:tcPr>
            <w:tcW w:type="dxa" w:w="1414"/>
            <w:shd w:val="clear" w:color="auto" w:fill="DCE6F1"/>
          </w:tcPr>
          <w:p>
            <w:pPr>
              <w:spacing w:before="40" w:after="40" w:line="276" w:lineRule="auto"/>
              <w:jc w:val="center"/>
            </w:pPr>
            <w:r/>
            <w:r>
              <w:rPr>
                <w:rFonts w:ascii="Times New Roman" w:hAnsi="Times New Roman" w:eastAsia="黑体"/>
                <w:b/>
                <w:i w:val="0"/>
                <w:sz w:val="19"/>
              </w:rPr>
              <w:t>跳转去向</w:t>
            </w:r>
          </w:p>
        </w:tc>
      </w:tr>
      <w:tr>
        <w:tc>
          <w:tcPr>
            <w:tcW w:type="dxa" w:w="1178"/>
          </w:tcPr>
          <w:p>
            <w:pPr>
              <w:spacing w:before="20" w:after="20" w:line="276" w:lineRule="auto"/>
              <w:ind w:firstLine="0"/>
            </w:pPr>
            <w:r/>
            <w:r>
              <w:rPr>
                <w:rFonts w:ascii="Times New Roman" w:hAnsi="Times New Roman" w:eastAsia="宋体"/>
                <w:b w:val="0"/>
                <w:i w:val="0"/>
                <w:sz w:val="19"/>
              </w:rPr>
              <w:t>个人管理页</w:t>
            </w:r>
          </w:p>
        </w:tc>
        <w:tc>
          <w:tcPr>
            <w:tcW w:type="dxa" w:w="1531"/>
          </w:tcPr>
          <w:p>
            <w:pPr>
              <w:spacing w:before="20" w:after="20" w:line="276" w:lineRule="auto"/>
              <w:ind w:firstLine="0"/>
            </w:pPr>
            <w:r/>
            <w:r>
              <w:rPr>
                <w:rFonts w:ascii="Times New Roman" w:hAnsi="Times New Roman" w:eastAsia="宋体"/>
                <w:b w:val="0"/>
                <w:i w:val="0"/>
                <w:sz w:val="19"/>
              </w:rPr>
              <w:t>account-personal.html</w:t>
            </w:r>
          </w:p>
        </w:tc>
        <w:tc>
          <w:tcPr>
            <w:tcW w:type="dxa" w:w="1119"/>
          </w:tcPr>
          <w:p>
            <w:pPr>
              <w:spacing w:before="20" w:after="20" w:line="276" w:lineRule="auto"/>
              <w:ind w:firstLine="0"/>
            </w:pPr>
            <w:r/>
            <w:r>
              <w:rPr>
                <w:rFonts w:ascii="Times New Roman" w:hAnsi="Times New Roman" w:eastAsia="宋体"/>
                <w:b w:val="0"/>
                <w:i w:val="0"/>
                <w:sz w:val="19"/>
              </w:rPr>
              <w:t>顶部栏用户头像菜单 → 个人中心；或账户中心 → 个人管理</w:t>
            </w:r>
          </w:p>
        </w:tc>
        <w:tc>
          <w:tcPr>
            <w:tcW w:type="dxa" w:w="2062"/>
          </w:tcPr>
          <w:p>
            <w:pPr>
              <w:spacing w:before="20" w:after="20" w:line="276" w:lineRule="auto"/>
              <w:ind w:firstLine="0"/>
            </w:pPr>
            <w:r/>
            <w:r>
              <w:rPr>
                <w:rFonts w:ascii="Times New Roman" w:hAnsi="Times New Roman" w:eastAsia="宋体"/>
                <w:b w:val="0"/>
                <w:i w:val="0"/>
                <w:sz w:val="19"/>
              </w:rPr>
              <w:t>面包屑（账户中心 / 个人账户 / 个人中心）、标题区与「新增个人中心」主操作、功能建设中的缺省区块（个人基本信息维护、登录密码修改、操作日志查询、双因素认证、消息通知中心 5 项预期能力）</w:t>
            </w:r>
          </w:p>
        </w:tc>
        <w:tc>
          <w:tcPr>
            <w:tcW w:type="dxa" w:w="1767"/>
          </w:tcPr>
          <w:p>
            <w:pPr>
              <w:spacing w:before="20" w:after="20" w:line="276" w:lineRule="auto"/>
              <w:ind w:firstLine="0"/>
            </w:pPr>
            <w:r/>
            <w:r>
              <w:rPr>
                <w:rFonts w:ascii="Times New Roman" w:hAnsi="Times New Roman" w:eastAsia="宋体"/>
                <w:b w:val="0"/>
                <w:i w:val="0"/>
                <w:sz w:val="19"/>
              </w:rPr>
              <w:t>新增个人中心；缺省区块列出 5 项预期能力，页面结构与线上功能保持一致</w:t>
            </w:r>
          </w:p>
        </w:tc>
        <w:tc>
          <w:tcPr>
            <w:tcW w:type="dxa" w:w="1414"/>
          </w:tcPr>
          <w:p>
            <w:pPr>
              <w:spacing w:before="20" w:after="20" w:line="276" w:lineRule="auto"/>
              <w:ind w:firstLine="0"/>
            </w:pPr>
            <w:r/>
            <w:r>
              <w:rPr>
                <w:rFonts w:ascii="Times New Roman" w:hAnsi="Times New Roman" w:eastAsia="宋体"/>
                <w:b w:val="0"/>
                <w:i w:val="0"/>
                <w:sz w:val="19"/>
              </w:rPr>
              <w:t>页面当前为缺省状态，暂无可跳转的业务详情页；后续安全设置与消息中心的跳转目标待业务方确认</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4.5.8　验收标准与待确认项</w:t>
      </w:r>
    </w:p>
    <w:tbl>
      <w:tblPr>
        <w:tblStyle w:val="TableGrid"/>
        <w:tblW w:type="auto" w:w="0"/>
        <w:jc w:val="center"/>
        <w:tblLayout w:type="fixed"/>
        <w:tblLook w:firstColumn="1" w:firstRow="1" w:lastColumn="0" w:lastRow="0" w:noHBand="0" w:noVBand="1" w:val="04A0"/>
      </w:tblPr>
      <w:tblGrid>
        <w:gridCol w:w="4479"/>
        <w:gridCol w:w="4479"/>
      </w:tblGrid>
      <w:tr>
        <w:trPr>
          <w:tblHeader w:val="true"/>
        </w:trPr>
        <w:tc>
          <w:tcPr>
            <w:tcW w:type="dxa" w:w="1701"/>
            <w:shd w:val="clear" w:color="auto" w:fill="DCE6F1"/>
          </w:tcPr>
          <w:p>
            <w:pPr>
              <w:spacing w:before="40" w:after="40" w:line="276" w:lineRule="auto"/>
              <w:jc w:val="center"/>
            </w:pPr>
            <w:r/>
            <w:r>
              <w:rPr>
                <w:rFonts w:ascii="Times New Roman" w:hAnsi="Times New Roman" w:eastAsia="黑体"/>
                <w:b/>
                <w:i w:val="0"/>
                <w:sz w:val="21"/>
              </w:rPr>
              <w:t>功能</w:t>
            </w:r>
          </w:p>
        </w:tc>
        <w:tc>
          <w:tcPr>
            <w:tcW w:type="dxa" w:w="7370"/>
            <w:shd w:val="clear" w:color="auto" w:fill="DCE6F1"/>
          </w:tcPr>
          <w:p>
            <w:pPr>
              <w:spacing w:before="40" w:after="40" w:line="276" w:lineRule="auto"/>
              <w:jc w:val="center"/>
            </w:pPr>
            <w:r/>
            <w:r>
              <w:rPr>
                <w:rFonts w:ascii="Times New Roman" w:hAnsi="Times New Roman" w:eastAsia="黑体"/>
                <w:b/>
                <w:i w:val="0"/>
                <w:sz w:val="21"/>
              </w:rPr>
              <w:t>验收要点（由关键规则转写）</w:t>
            </w:r>
          </w:p>
        </w:tc>
      </w:tr>
      <w:tr>
        <w:tc>
          <w:tcPr>
            <w:tcW w:type="dxa" w:w="1701"/>
          </w:tcPr>
          <w:p>
            <w:pPr>
              <w:spacing w:before="20" w:after="20" w:line="276" w:lineRule="auto"/>
              <w:ind w:firstLine="0"/>
            </w:pPr>
            <w:r/>
            <w:r>
              <w:rPr>
                <w:rFonts w:ascii="Times New Roman" w:hAnsi="Times New Roman" w:eastAsia="宋体"/>
                <w:b w:val="0"/>
                <w:i w:val="0"/>
                <w:sz w:val="21"/>
              </w:rPr>
              <w:t>个人基本信息维护</w:t>
            </w:r>
          </w:p>
        </w:tc>
        <w:tc>
          <w:tcPr>
            <w:tcW w:type="dxa" w:w="7370"/>
          </w:tcPr>
          <w:p>
            <w:pPr>
              <w:spacing w:before="20" w:after="20" w:line="276" w:lineRule="auto"/>
              <w:ind w:firstLine="0"/>
            </w:pPr>
            <w:r/>
            <w:r>
              <w:rPr>
                <w:rFonts w:ascii="Times New Roman" w:hAnsi="Times New Roman" w:eastAsia="宋体"/>
                <w:b w:val="0"/>
                <w:i w:val="0"/>
                <w:sz w:val="21"/>
              </w:rPr>
              <w:t>账号 ID 由系统自动生成，用户名即登录名且不可修改；所属企业由系统自动关联；手机号与邮箱默认打码展示，用户可手动查看完整信息，查看行为被记录留痕。</w:t>
            </w:r>
          </w:p>
        </w:tc>
      </w:tr>
      <w:tr>
        <w:tc>
          <w:tcPr>
            <w:tcW w:type="dxa" w:w="1701"/>
          </w:tcPr>
          <w:p>
            <w:pPr>
              <w:spacing w:before="20" w:after="20" w:line="276" w:lineRule="auto"/>
              <w:ind w:firstLine="0"/>
            </w:pPr>
            <w:r/>
            <w:r>
              <w:rPr>
                <w:rFonts w:ascii="Times New Roman" w:hAnsi="Times New Roman" w:eastAsia="宋体"/>
                <w:b w:val="0"/>
                <w:i w:val="0"/>
                <w:sz w:val="21"/>
              </w:rPr>
              <w:t>登录密码修改</w:t>
            </w:r>
          </w:p>
        </w:tc>
        <w:tc>
          <w:tcPr>
            <w:tcW w:type="dxa" w:w="7370"/>
          </w:tcPr>
          <w:p>
            <w:pPr>
              <w:spacing w:before="20" w:after="20" w:line="276" w:lineRule="auto"/>
              <w:ind w:firstLine="0"/>
            </w:pPr>
            <w:r/>
            <w:r>
              <w:rPr>
                <w:rFonts w:ascii="Times New Roman" w:hAnsi="Times New Roman" w:eastAsia="宋体"/>
                <w:b w:val="0"/>
                <w:i w:val="0"/>
                <w:sz w:val="21"/>
              </w:rPr>
              <w:t>修改密码必须先校验旧密码并通过复杂度校验；密码有效期为 90 天，到期后登录被拦截并强制修改；连续 5 次密码错误则账号锁定 30 分钟。</w:t>
            </w:r>
          </w:p>
        </w:tc>
      </w:tr>
      <w:tr>
        <w:tc>
          <w:tcPr>
            <w:tcW w:type="dxa" w:w="1701"/>
          </w:tcPr>
          <w:p>
            <w:pPr>
              <w:spacing w:before="20" w:after="20" w:line="276" w:lineRule="auto"/>
              <w:ind w:firstLine="0"/>
            </w:pPr>
            <w:r/>
            <w:r>
              <w:rPr>
                <w:rFonts w:ascii="Times New Roman" w:hAnsi="Times New Roman" w:eastAsia="宋体"/>
                <w:b w:val="0"/>
                <w:i w:val="0"/>
                <w:sz w:val="21"/>
              </w:rPr>
              <w:t>操作日志查询</w:t>
            </w:r>
          </w:p>
        </w:tc>
        <w:tc>
          <w:tcPr>
            <w:tcW w:type="dxa" w:w="7370"/>
          </w:tcPr>
          <w:p>
            <w:pPr>
              <w:spacing w:before="20" w:after="20" w:line="276" w:lineRule="auto"/>
              <w:ind w:firstLine="0"/>
            </w:pPr>
            <w:r/>
            <w:r>
              <w:rPr>
                <w:rFonts w:ascii="Times New Roman" w:hAnsi="Times New Roman" w:eastAsia="宋体"/>
                <w:b w:val="0"/>
                <w:i w:val="0"/>
                <w:sz w:val="21"/>
              </w:rPr>
              <w:t>记录项包括操作时间、操作类型与操作详情；最近登录列表展示最近 10 次登录记录，含 IP、设备与时间。</w:t>
            </w:r>
          </w:p>
        </w:tc>
      </w:tr>
      <w:tr>
        <w:tc>
          <w:tcPr>
            <w:tcW w:type="dxa" w:w="1701"/>
          </w:tcPr>
          <w:p>
            <w:pPr>
              <w:spacing w:before="20" w:after="20" w:line="276" w:lineRule="auto"/>
              <w:ind w:firstLine="0"/>
            </w:pPr>
            <w:r/>
            <w:r>
              <w:rPr>
                <w:rFonts w:ascii="Times New Roman" w:hAnsi="Times New Roman" w:eastAsia="宋体"/>
                <w:b w:val="0"/>
                <w:i w:val="0"/>
                <w:sz w:val="21"/>
              </w:rPr>
              <w:t>双因素认证</w:t>
            </w:r>
          </w:p>
        </w:tc>
        <w:tc>
          <w:tcPr>
            <w:tcW w:type="dxa" w:w="7370"/>
          </w:tcPr>
          <w:p>
            <w:pPr>
              <w:spacing w:before="20" w:after="20" w:line="276" w:lineRule="auto"/>
              <w:ind w:firstLine="0"/>
            </w:pPr>
            <w:r/>
            <w:r>
              <w:rPr>
                <w:rFonts w:ascii="Times New Roman" w:hAnsi="Times New Roman" w:eastAsia="宋体"/>
                <w:b w:val="0"/>
                <w:i w:val="0"/>
                <w:sz w:val="21"/>
              </w:rPr>
              <w:t>认证方式支持短信验证码、邮箱验证码、第三方认证器 3 种，任选其一；发生异地登录时触发二次验证并发送短信验证码。</w:t>
            </w:r>
          </w:p>
        </w:tc>
      </w:tr>
      <w:tr>
        <w:tc>
          <w:tcPr>
            <w:tcW w:type="dxa" w:w="1701"/>
          </w:tcPr>
          <w:p>
            <w:pPr>
              <w:spacing w:before="20" w:after="20" w:line="276" w:lineRule="auto"/>
              <w:ind w:firstLine="0"/>
            </w:pPr>
            <w:r/>
            <w:r>
              <w:rPr>
                <w:rFonts w:ascii="Times New Roman" w:hAnsi="Times New Roman" w:eastAsia="宋体"/>
                <w:b w:val="0"/>
                <w:i w:val="0"/>
                <w:sz w:val="21"/>
              </w:rPr>
              <w:t>消息通知中心</w:t>
            </w:r>
          </w:p>
        </w:tc>
        <w:tc>
          <w:tcPr>
            <w:tcW w:type="dxa" w:w="7370"/>
          </w:tcPr>
          <w:p>
            <w:pPr>
              <w:spacing w:before="20" w:after="20" w:line="276" w:lineRule="auto"/>
              <w:ind w:firstLine="0"/>
            </w:pPr>
            <w:r/>
            <w:r>
              <w:rPr>
                <w:rFonts w:ascii="Times New Roman" w:hAnsi="Times New Roman" w:eastAsia="宋体"/>
                <w:b w:val="0"/>
                <w:i w:val="0"/>
                <w:sz w:val="21"/>
              </w:rPr>
              <w:t>消息订阅渠道为站内信、邮件、短信、钉钉 4 种可多选；平台级消息类型为审批通知与用户准入通知两类。</w:t>
            </w:r>
          </w:p>
        </w:tc>
      </w:tr>
    </w:tbl>
    <w:p>
      <w:pPr>
        <w:spacing w:before="0" w:after="0" w:line="240" w:lineRule="auto"/>
      </w:pPr>
    </w:p>
    <w:p>
      <w:pPr>
        <w:spacing w:before="120" w:after="60" w:line="360" w:lineRule="auto"/>
      </w:pPr>
      <w:r>
        <w:rPr>
          <w:rFonts w:ascii="Times New Roman" w:hAnsi="Times New Roman" w:eastAsia="宋体"/>
          <w:b/>
          <w:i w:val="0"/>
          <w:sz w:val="24"/>
        </w:rPr>
        <w:t>待业务方确认：</w:t>
      </w:r>
    </w:p>
    <w:p>
      <w:pPr>
        <w:spacing w:before="0" w:after="60" w:line="336" w:lineRule="auto"/>
        <w:ind w:left="340" w:firstLine="0"/>
      </w:pPr>
      <w:r>
        <w:rPr>
          <w:rFonts w:ascii="Times New Roman" w:hAnsi="Times New Roman" w:eastAsia="宋体"/>
          <w:b w:val="0"/>
          <w:i w:val="0"/>
          <w:sz w:val="24"/>
        </w:rPr>
        <w:t>· 待业务方确认：个人管理本期交付的功能点与页面结构，当前页面为功能建设中的缺省状态，仅列出 5 项预期能力</w:t>
      </w:r>
    </w:p>
    <w:p>
      <w:pPr>
        <w:spacing w:before="0" w:after="60" w:line="336" w:lineRule="auto"/>
        <w:ind w:left="340" w:firstLine="0"/>
      </w:pPr>
      <w:r>
        <w:rPr>
          <w:rFonts w:ascii="Times New Roman" w:hAnsi="Times New Roman" w:eastAsia="宋体"/>
          <w:b w:val="0"/>
          <w:i w:val="0"/>
          <w:sz w:val="24"/>
        </w:rPr>
        <w:t>· 待业务方确认：个人管理的字段清单、必填口径与校验规则，现有字段来自线上系统口径，原型尚未实施</w:t>
      </w:r>
    </w:p>
    <w:p>
      <w:pPr>
        <w:spacing w:before="0" w:after="60" w:line="336" w:lineRule="auto"/>
        <w:ind w:left="340" w:firstLine="0"/>
      </w:pPr>
      <w:r>
        <w:rPr>
          <w:rFonts w:ascii="Times New Roman" w:hAnsi="Times New Roman" w:eastAsia="宋体"/>
          <w:b w:val="0"/>
          <w:i w:val="0"/>
          <w:sz w:val="24"/>
        </w:rPr>
        <w:t>· 待业务方确认：页面标题与面包屑的最终命名，文档口径为「个人账户管理」，原型页面为「个人中心」</w:t>
      </w:r>
    </w:p>
    <w:p>
      <w:pPr>
        <w:spacing w:before="0" w:after="60" w:line="336" w:lineRule="auto"/>
        <w:ind w:left="340" w:firstLine="0"/>
      </w:pPr>
      <w:r>
        <w:rPr>
          <w:rFonts w:ascii="Times New Roman" w:hAnsi="Times New Roman" w:eastAsia="宋体"/>
          <w:b w:val="0"/>
          <w:i w:val="0"/>
          <w:sz w:val="24"/>
        </w:rPr>
        <w:t>· 待业务方确认：个人页内的消息通知中心与平台级通知中心的边界与入口关系</w:t>
      </w:r>
    </w:p>
    <w:p>
      <w:pPr>
        <w:spacing w:before="0" w:after="60" w:line="336" w:lineRule="auto"/>
        <w:ind w:left="340" w:firstLine="0"/>
      </w:pPr>
      <w:r>
        <w:rPr>
          <w:rFonts w:ascii="Times New Roman" w:hAnsi="Times New Roman" w:eastAsia="宋体"/>
          <w:b w:val="0"/>
          <w:i w:val="0"/>
          <w:sz w:val="24"/>
        </w:rPr>
        <w:t>· 待业务方确认：修改密码的复杂度具体规则，以及双因素认证是否强制绑定</w:t>
      </w:r>
    </w:p>
    <w:p>
      <w:r>
        <w:br w:type="page"/>
      </w:r>
    </w:p>
    <w:p>
      <w:pPr>
        <w:pStyle w:val="Heading2"/>
        <w:keepNext/>
        <w:spacing w:before="240" w:after="120" w:line="312" w:lineRule="auto"/>
        <w:ind w:firstLine="0"/>
      </w:pPr>
      <w:r>
        <w:rPr>
          <w:rFonts w:ascii="Times New Roman" w:hAnsi="Times New Roman" w:eastAsia="黑体"/>
          <w:b/>
          <w:i w:val="0"/>
          <w:sz w:val="28"/>
        </w:rPr>
        <w:t>4.6　企业管理</w:t>
      </w:r>
    </w:p>
    <w:p>
      <w:pPr>
        <w:spacing w:before="0" w:after="160" w:line="360" w:lineRule="auto"/>
      </w:pPr>
      <w:r>
        <w:rPr>
          <w:rFonts w:ascii="Times New Roman" w:hAnsi="Times New Roman" w:eastAsia="宋体"/>
          <w:b w:val="0"/>
          <w:i w:val="0"/>
          <w:color w:val="595959"/>
          <w:sz w:val="21"/>
        </w:rPr>
        <w:t>菜单路径：账户中心 / 企业管理</w:t>
      </w:r>
    </w:p>
    <w:p>
      <w:pPr>
        <w:pStyle w:val="Heading3"/>
        <w:keepNext/>
        <w:spacing w:before="160" w:after="80" w:line="312" w:lineRule="auto"/>
        <w:ind w:firstLine="0"/>
      </w:pPr>
      <w:r>
        <w:rPr>
          <w:rFonts w:ascii="Times New Roman" w:hAnsi="Times New Roman" w:eastAsia="黑体"/>
          <w:b/>
          <w:i w:val="0"/>
          <w:sz w:val="24"/>
        </w:rPr>
        <w:t>4.6.1　一页结论</w:t>
      </w:r>
    </w:p>
    <w:p>
      <w:pPr>
        <w:spacing w:before="0" w:after="120" w:line="360" w:lineRule="auto"/>
      </w:pPr>
      <w:r>
        <w:rPr>
          <w:rFonts w:ascii="Times New Roman" w:hAnsi="Times New Roman" w:eastAsia="宋体"/>
          <w:b w:val="0"/>
          <w:i w:val="0"/>
          <w:sz w:val="24"/>
        </w:rPr>
        <w:t>让企业管理员统一维护本企业员工账号、角色分配与资质证书，并让企业认证状态与全部操作留痕可追溯。</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928"/>
            <w:shd w:val="clear" w:color="auto" w:fill="DCE6F1"/>
          </w:tcPr>
          <w:p>
            <w:pPr>
              <w:spacing w:before="40" w:after="40" w:line="276" w:lineRule="auto"/>
              <w:jc w:val="center"/>
            </w:pPr>
            <w:r/>
            <w:r>
              <w:rPr>
                <w:rFonts w:ascii="Times New Roman" w:hAnsi="Times New Roman" w:eastAsia="黑体"/>
                <w:b/>
                <w:i w:val="0"/>
                <w:sz w:val="21"/>
              </w:rPr>
              <w:t>问题</w:t>
            </w:r>
          </w:p>
        </w:tc>
        <w:tc>
          <w:tcPr>
            <w:tcW w:type="dxa" w:w="3572"/>
            <w:shd w:val="clear" w:color="auto" w:fill="DCE6F1"/>
          </w:tcPr>
          <w:p>
            <w:pPr>
              <w:spacing w:before="40" w:after="40" w:line="276" w:lineRule="auto"/>
              <w:jc w:val="center"/>
            </w:pPr>
            <w:r/>
            <w:r>
              <w:rPr>
                <w:rFonts w:ascii="Times New Roman" w:hAnsi="Times New Roman" w:eastAsia="黑体"/>
                <w:b/>
                <w:i w:val="0"/>
                <w:sz w:val="21"/>
              </w:rPr>
              <w:t>当前做法</w:t>
            </w:r>
          </w:p>
        </w:tc>
        <w:tc>
          <w:tcPr>
            <w:tcW w:type="dxa" w:w="3572"/>
            <w:shd w:val="clear" w:color="auto" w:fill="DCE6F1"/>
          </w:tcPr>
          <w:p>
            <w:pPr>
              <w:spacing w:before="40" w:after="40" w:line="276" w:lineRule="auto"/>
              <w:jc w:val="center"/>
            </w:pPr>
            <w:r/>
            <w:r>
              <w:rPr>
                <w:rFonts w:ascii="Times New Roman" w:hAnsi="Times New Roman" w:eastAsia="黑体"/>
                <w:b/>
                <w:i w:val="0"/>
                <w:sz w:val="21"/>
              </w:rPr>
              <w:t>本模块解法</w:t>
            </w:r>
          </w:p>
        </w:tc>
      </w:tr>
      <w:tr>
        <w:tc>
          <w:tcPr>
            <w:tcW w:type="dxa" w:w="1928"/>
          </w:tcPr>
          <w:p>
            <w:pPr>
              <w:spacing w:before="20" w:after="20" w:line="276" w:lineRule="auto"/>
              <w:ind w:firstLine="0"/>
            </w:pPr>
            <w:r/>
            <w:r>
              <w:rPr>
                <w:rFonts w:ascii="Times New Roman" w:hAnsi="Times New Roman" w:eastAsia="宋体"/>
                <w:b w:val="0"/>
                <w:i w:val="0"/>
                <w:sz w:val="21"/>
              </w:rPr>
              <w:t>员工账号的开通、停用与角色调整依赖线下登记</w:t>
            </w:r>
          </w:p>
        </w:tc>
        <w:tc>
          <w:tcPr>
            <w:tcW w:type="dxa" w:w="3572"/>
          </w:tcPr>
          <w:p>
            <w:pPr>
              <w:spacing w:before="20" w:after="20" w:line="276" w:lineRule="auto"/>
              <w:ind w:firstLine="0"/>
            </w:pPr>
            <w:r/>
            <w:r>
              <w:rPr>
                <w:rFonts w:ascii="Times New Roman" w:hAnsi="Times New Roman" w:eastAsia="宋体"/>
                <w:b w:val="0"/>
                <w:i w:val="0"/>
                <w:sz w:val="21"/>
              </w:rPr>
              <w:t>人员入离职与职责变动靠台账记录，账号开通滞后</w:t>
            </w:r>
          </w:p>
        </w:tc>
        <w:tc>
          <w:tcPr>
            <w:tcW w:type="dxa" w:w="3572"/>
          </w:tcPr>
          <w:p>
            <w:pPr>
              <w:spacing w:before="20" w:after="20" w:line="276" w:lineRule="auto"/>
              <w:ind w:firstLine="0"/>
            </w:pPr>
            <w:r/>
            <w:r>
              <w:rPr>
                <w:rFonts w:ascii="Times New Roman" w:hAnsi="Times New Roman" w:eastAsia="宋体"/>
                <w:b w:val="0"/>
                <w:i w:val="0"/>
                <w:sz w:val="21"/>
              </w:rPr>
              <w:t>在企业管理中集中维护员工账号、所属部门、角色与启停状态</w:t>
            </w:r>
          </w:p>
        </w:tc>
      </w:tr>
      <w:tr>
        <w:tc>
          <w:tcPr>
            <w:tcW w:type="dxa" w:w="1928"/>
          </w:tcPr>
          <w:p>
            <w:pPr>
              <w:spacing w:before="20" w:after="20" w:line="276" w:lineRule="auto"/>
              <w:ind w:firstLine="0"/>
            </w:pPr>
            <w:r/>
            <w:r>
              <w:rPr>
                <w:rFonts w:ascii="Times New Roman" w:hAnsi="Times New Roman" w:eastAsia="宋体"/>
                <w:b w:val="0"/>
                <w:i w:val="0"/>
                <w:sz w:val="21"/>
              </w:rPr>
              <w:t>企业资质证书到期无人盯梢</w:t>
            </w:r>
          </w:p>
        </w:tc>
        <w:tc>
          <w:tcPr>
            <w:tcW w:type="dxa" w:w="3572"/>
          </w:tcPr>
          <w:p>
            <w:pPr>
              <w:spacing w:before="20" w:after="20" w:line="276" w:lineRule="auto"/>
              <w:ind w:firstLine="0"/>
            </w:pPr>
            <w:r/>
            <w:r>
              <w:rPr>
                <w:rFonts w:ascii="Times New Roman" w:hAnsi="Times New Roman" w:eastAsia="宋体"/>
                <w:b w:val="0"/>
                <w:i w:val="0"/>
                <w:sz w:val="21"/>
              </w:rPr>
              <w:t>证书有效期靠人工记忆核对，临期才发现</w:t>
            </w:r>
          </w:p>
        </w:tc>
        <w:tc>
          <w:tcPr>
            <w:tcW w:type="dxa" w:w="3572"/>
          </w:tcPr>
          <w:p>
            <w:pPr>
              <w:spacing w:before="20" w:after="20" w:line="276" w:lineRule="auto"/>
              <w:ind w:firstLine="0"/>
            </w:pPr>
            <w:r/>
            <w:r>
              <w:rPr>
                <w:rFonts w:ascii="Times New Roman" w:hAnsi="Times New Roman" w:eastAsia="宋体"/>
                <w:b w:val="0"/>
                <w:i w:val="0"/>
                <w:sz w:val="21"/>
              </w:rPr>
              <w:t>统一上传营业执照等资质证书，并在到期前 30 天、7 天、1 天自动提醒</w:t>
            </w:r>
          </w:p>
        </w:tc>
      </w:tr>
      <w:tr>
        <w:tc>
          <w:tcPr>
            <w:tcW w:type="dxa" w:w="1928"/>
          </w:tcPr>
          <w:p>
            <w:pPr>
              <w:spacing w:before="20" w:after="20" w:line="276" w:lineRule="auto"/>
              <w:ind w:firstLine="0"/>
            </w:pPr>
            <w:r/>
            <w:r>
              <w:rPr>
                <w:rFonts w:ascii="Times New Roman" w:hAnsi="Times New Roman" w:eastAsia="宋体"/>
                <w:b w:val="0"/>
                <w:i w:val="0"/>
                <w:sz w:val="21"/>
              </w:rPr>
              <w:t>企业是否具备合作资质缺少明确状态</w:t>
            </w:r>
          </w:p>
        </w:tc>
        <w:tc>
          <w:tcPr>
            <w:tcW w:type="dxa" w:w="3572"/>
          </w:tcPr>
          <w:p>
            <w:pPr>
              <w:spacing w:before="20" w:after="20" w:line="276" w:lineRule="auto"/>
              <w:ind w:firstLine="0"/>
            </w:pPr>
            <w:r/>
            <w:r>
              <w:rPr>
                <w:rFonts w:ascii="Times New Roman" w:hAnsi="Times New Roman" w:eastAsia="宋体"/>
                <w:b w:val="0"/>
                <w:i w:val="0"/>
                <w:sz w:val="21"/>
              </w:rPr>
              <w:t>认证与否靠人工判断与线下沟通</w:t>
            </w:r>
          </w:p>
        </w:tc>
        <w:tc>
          <w:tcPr>
            <w:tcW w:type="dxa" w:w="3572"/>
          </w:tcPr>
          <w:p>
            <w:pPr>
              <w:spacing w:before="20" w:after="20" w:line="276" w:lineRule="auto"/>
              <w:ind w:firstLine="0"/>
            </w:pPr>
            <w:r/>
            <w:r>
              <w:rPr>
                <w:rFonts w:ascii="Times New Roman" w:hAnsi="Times New Roman" w:eastAsia="宋体"/>
                <w:b w:val="0"/>
                <w:i w:val="0"/>
                <w:sz w:val="21"/>
              </w:rPr>
              <w:t>以待认证、已认证、已过期三态实时跟踪企业认证状态</w:t>
            </w:r>
          </w:p>
        </w:tc>
      </w:tr>
      <w:tr>
        <w:tc>
          <w:tcPr>
            <w:tcW w:type="dxa" w:w="1928"/>
          </w:tcPr>
          <w:p>
            <w:pPr>
              <w:spacing w:before="20" w:after="20" w:line="276" w:lineRule="auto"/>
              <w:ind w:firstLine="0"/>
            </w:pPr>
            <w:r/>
            <w:r>
              <w:rPr>
                <w:rFonts w:ascii="Times New Roman" w:hAnsi="Times New Roman" w:eastAsia="宋体"/>
                <w:b w:val="0"/>
                <w:i w:val="0"/>
                <w:sz w:val="21"/>
              </w:rPr>
              <w:t>账号与资质的变更无留痕，事后难以追责</w:t>
            </w:r>
          </w:p>
        </w:tc>
        <w:tc>
          <w:tcPr>
            <w:tcW w:type="dxa" w:w="3572"/>
          </w:tcPr>
          <w:p>
            <w:pPr>
              <w:spacing w:before="20" w:after="20" w:line="276" w:lineRule="auto"/>
              <w:ind w:firstLine="0"/>
            </w:pPr>
            <w:r/>
            <w:r>
              <w:rPr>
                <w:rFonts w:ascii="Times New Roman" w:hAnsi="Times New Roman" w:eastAsia="宋体"/>
                <w:b w:val="0"/>
                <w:i w:val="0"/>
                <w:sz w:val="21"/>
              </w:rPr>
              <w:t>修改操作不记录，出了问题无法回溯</w:t>
            </w:r>
          </w:p>
        </w:tc>
        <w:tc>
          <w:tcPr>
            <w:tcW w:type="dxa" w:w="3572"/>
          </w:tcPr>
          <w:p>
            <w:pPr>
              <w:spacing w:before="20" w:after="20" w:line="276" w:lineRule="auto"/>
              <w:ind w:firstLine="0"/>
            </w:pPr>
            <w:r/>
            <w:r>
              <w:rPr>
                <w:rFonts w:ascii="Times New Roman" w:hAnsi="Times New Roman" w:eastAsia="宋体"/>
                <w:b w:val="0"/>
                <w:i w:val="0"/>
                <w:sz w:val="21"/>
              </w:rPr>
              <w:t>所有修改、上传、删除操作统一写入操作日志并可查询追溯</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4.6.2　背景与目标</w:t>
      </w:r>
    </w:p>
    <w:tbl>
      <w:tblPr>
        <w:tblStyle w:val="TableGrid"/>
        <w:tblW w:type="auto" w:w="0"/>
        <w:jc w:val="center"/>
        <w:tblLayout w:type="fixed"/>
        <w:tblLook w:firstColumn="1" w:firstRow="1" w:lastColumn="0" w:lastRow="0" w:noHBand="0" w:noVBand="1" w:val="04A0"/>
      </w:tblPr>
      <w:tblGrid>
        <w:gridCol w:w="8958"/>
      </w:tblGrid>
      <w:tr>
        <w:trPr>
          <w:tblHeader w:val="true"/>
        </w:trPr>
        <w:tc>
          <w:tcPr>
            <w:tcW w:type="dxa" w:w="9071"/>
            <w:shd w:val="clear" w:color="auto" w:fill="DCE6F1"/>
          </w:tcPr>
          <w:p>
            <w:pPr>
              <w:spacing w:before="40" w:after="40" w:line="276" w:lineRule="auto"/>
              <w:jc w:val="center"/>
            </w:pPr>
            <w:r/>
            <w:r>
              <w:rPr>
                <w:rFonts w:ascii="Times New Roman" w:hAnsi="Times New Roman" w:eastAsia="黑体"/>
                <w:b/>
                <w:i w:val="0"/>
                <w:sz w:val="21"/>
              </w:rPr>
              <w:t>目标 / 衡量口径</w:t>
            </w:r>
          </w:p>
        </w:tc>
      </w:tr>
      <w:tr>
        <w:tc>
          <w:tcPr>
            <w:tcW w:type="dxa" w:w="9071"/>
          </w:tcPr>
          <w:p>
            <w:pPr>
              <w:spacing w:before="20" w:after="20" w:line="276" w:lineRule="auto"/>
              <w:ind w:firstLine="0"/>
            </w:pPr>
            <w:r/>
            <w:r>
              <w:rPr>
                <w:rFonts w:ascii="Times New Roman" w:hAnsi="Times New Roman" w:eastAsia="宋体"/>
                <w:b w:val="0"/>
                <w:i w:val="0"/>
                <w:sz w:val="21"/>
              </w:rPr>
              <w:t>企业员工账号、部门、角色与启停状态可在单一入口维护</w:t>
            </w:r>
          </w:p>
        </w:tc>
      </w:tr>
      <w:tr>
        <w:tc>
          <w:tcPr>
            <w:tcW w:type="dxa" w:w="9071"/>
          </w:tcPr>
          <w:p>
            <w:pPr>
              <w:spacing w:before="20" w:after="20" w:line="276" w:lineRule="auto"/>
              <w:ind w:firstLine="0"/>
            </w:pPr>
            <w:r/>
            <w:r>
              <w:rPr>
                <w:rFonts w:ascii="Times New Roman" w:hAnsi="Times New Roman" w:eastAsia="宋体"/>
                <w:b w:val="0"/>
                <w:i w:val="0"/>
                <w:sz w:val="21"/>
              </w:rPr>
              <w:t>企业资质证书集中管理，到期前 30 天、7 天、1 天自动提醒</w:t>
            </w:r>
          </w:p>
        </w:tc>
      </w:tr>
      <w:tr>
        <w:tc>
          <w:tcPr>
            <w:tcW w:type="dxa" w:w="9071"/>
          </w:tcPr>
          <w:p>
            <w:pPr>
              <w:spacing w:before="20" w:after="20" w:line="276" w:lineRule="auto"/>
              <w:ind w:firstLine="0"/>
            </w:pPr>
            <w:r/>
            <w:r>
              <w:rPr>
                <w:rFonts w:ascii="Times New Roman" w:hAnsi="Times New Roman" w:eastAsia="宋体"/>
                <w:b w:val="0"/>
                <w:i w:val="0"/>
                <w:sz w:val="21"/>
              </w:rPr>
              <w:t>企业认证状态以待认证、已认证、已过期三态实时跟踪</w:t>
            </w:r>
          </w:p>
        </w:tc>
      </w:tr>
      <w:tr>
        <w:tc>
          <w:tcPr>
            <w:tcW w:type="dxa" w:w="9071"/>
          </w:tcPr>
          <w:p>
            <w:pPr>
              <w:spacing w:before="20" w:after="20" w:line="276" w:lineRule="auto"/>
              <w:ind w:firstLine="0"/>
            </w:pPr>
            <w:r/>
            <w:r>
              <w:rPr>
                <w:rFonts w:ascii="Times New Roman" w:hAnsi="Times New Roman" w:eastAsia="宋体"/>
                <w:b w:val="0"/>
                <w:i w:val="0"/>
                <w:sz w:val="21"/>
              </w:rPr>
              <w:t>全部管理动作留痕可追溯，操作日志单次最多展示 50 条</w:t>
            </w:r>
          </w:p>
        </w:tc>
      </w:tr>
    </w:tbl>
    <w:p>
      <w:pPr>
        <w:spacing w:before="0" w:after="0" w:line="240" w:lineRule="auto"/>
      </w:pPr>
    </w:p>
    <w:p>
      <w:pPr>
        <w:spacing w:before="80" w:after="120" w:line="360" w:lineRule="auto"/>
      </w:pPr>
      <w:r>
        <w:rPr>
          <w:rFonts w:ascii="Times New Roman" w:hAnsi="Times New Roman" w:eastAsia="宋体"/>
          <w:b w:val="0"/>
          <w:i w:val="0"/>
          <w:color w:val="595959"/>
          <w:sz w:val="21"/>
        </w:rPr>
        <w:t>说明：文中口径以业务方已确认结论为准；未确认项集中列于本章末与第 5 章。</w:t>
      </w:r>
    </w:p>
    <w:p>
      <w:pPr>
        <w:pStyle w:val="Heading3"/>
        <w:keepNext/>
        <w:spacing w:before="160" w:after="80" w:line="312" w:lineRule="auto"/>
        <w:ind w:firstLine="0"/>
      </w:pPr>
      <w:r>
        <w:rPr>
          <w:rFonts w:ascii="Times New Roman" w:hAnsi="Times New Roman" w:eastAsia="黑体"/>
          <w:b/>
          <w:i w:val="0"/>
          <w:sz w:val="24"/>
        </w:rPr>
        <w:t>4.6.3　角色与用户需求</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361"/>
            <w:shd w:val="clear" w:color="auto" w:fill="DCE6F1"/>
          </w:tcPr>
          <w:p>
            <w:pPr>
              <w:spacing w:before="40" w:after="40" w:line="276" w:lineRule="auto"/>
              <w:jc w:val="center"/>
            </w:pPr>
            <w:r/>
            <w:r>
              <w:rPr>
                <w:rFonts w:ascii="Times New Roman" w:hAnsi="Times New Roman" w:eastAsia="黑体"/>
                <w:b/>
                <w:i w:val="0"/>
                <w:sz w:val="21"/>
              </w:rPr>
              <w:t>角色</w:t>
            </w:r>
          </w:p>
        </w:tc>
        <w:tc>
          <w:tcPr>
            <w:tcW w:type="dxa" w:w="1247"/>
            <w:shd w:val="clear" w:color="auto" w:fill="DCE6F1"/>
          </w:tcPr>
          <w:p>
            <w:pPr>
              <w:spacing w:before="40" w:after="40" w:line="276" w:lineRule="auto"/>
              <w:jc w:val="center"/>
            </w:pPr>
            <w:r/>
            <w:r>
              <w:rPr>
                <w:rFonts w:ascii="Times New Roman" w:hAnsi="Times New Roman" w:eastAsia="黑体"/>
                <w:b/>
                <w:i w:val="0"/>
                <w:sz w:val="21"/>
              </w:rPr>
              <w:t>所属部门</w:t>
            </w:r>
          </w:p>
        </w:tc>
        <w:tc>
          <w:tcPr>
            <w:tcW w:type="dxa" w:w="6463"/>
            <w:shd w:val="clear" w:color="auto" w:fill="DCE6F1"/>
          </w:tcPr>
          <w:p>
            <w:pPr>
              <w:spacing w:before="40" w:after="40" w:line="276" w:lineRule="auto"/>
              <w:jc w:val="center"/>
            </w:pPr>
            <w:r/>
            <w:r>
              <w:rPr>
                <w:rFonts w:ascii="Times New Roman" w:hAnsi="Times New Roman" w:eastAsia="黑体"/>
                <w:b/>
                <w:i w:val="0"/>
                <w:sz w:val="21"/>
              </w:rPr>
              <w:t>用户需求（我要…以便…）</w:t>
            </w:r>
          </w:p>
        </w:tc>
      </w:tr>
      <w:tr>
        <w:tc>
          <w:tcPr>
            <w:tcW w:type="dxa" w:w="1361"/>
          </w:tcPr>
          <w:p>
            <w:pPr>
              <w:spacing w:before="20" w:after="20" w:line="276" w:lineRule="auto"/>
              <w:ind w:firstLine="0"/>
            </w:pPr>
            <w:r/>
            <w:r>
              <w:rPr>
                <w:rFonts w:ascii="Times New Roman" w:hAnsi="Times New Roman" w:eastAsia="宋体"/>
                <w:b w:val="0"/>
                <w:i w:val="0"/>
                <w:sz w:val="21"/>
              </w:rPr>
              <w:t>企业管理员</w:t>
            </w:r>
          </w:p>
        </w:tc>
        <w:tc>
          <w:tcPr>
            <w:tcW w:type="dxa" w:w="1247"/>
          </w:tcPr>
          <w:p>
            <w:pPr>
              <w:spacing w:before="20" w:after="20" w:line="276" w:lineRule="auto"/>
              <w:ind w:firstLine="0"/>
            </w:pPr>
            <w:r/>
            <w:r>
              <w:rPr>
                <w:rFonts w:ascii="Times New Roman" w:hAnsi="Times New Roman" w:eastAsia="宋体"/>
                <w:b w:val="0"/>
                <w:i w:val="0"/>
                <w:sz w:val="21"/>
              </w:rPr>
              <w:t>平台</w:t>
            </w:r>
          </w:p>
        </w:tc>
        <w:tc>
          <w:tcPr>
            <w:tcW w:type="dxa" w:w="6463"/>
          </w:tcPr>
          <w:p>
            <w:pPr>
              <w:spacing w:before="20" w:after="20" w:line="276" w:lineRule="auto"/>
              <w:ind w:firstLine="0"/>
            </w:pPr>
            <w:r/>
            <w:r>
              <w:rPr>
                <w:rFonts w:ascii="Times New Roman" w:hAnsi="Times New Roman" w:eastAsia="宋体"/>
                <w:b w:val="0"/>
                <w:i w:val="0"/>
                <w:sz w:val="21"/>
              </w:rPr>
              <w:t>我要维护本企业员工账号、角色与状态，以便人员变动时权限与责任可追溯</w:t>
            </w:r>
          </w:p>
        </w:tc>
      </w:tr>
      <w:tr>
        <w:tc>
          <w:tcPr>
            <w:tcW w:type="dxa" w:w="1361"/>
          </w:tcPr>
          <w:p>
            <w:pPr>
              <w:spacing w:before="20" w:after="20" w:line="276" w:lineRule="auto"/>
              <w:ind w:firstLine="0"/>
            </w:pPr>
            <w:r/>
            <w:r>
              <w:rPr>
                <w:rFonts w:ascii="Times New Roman" w:hAnsi="Times New Roman" w:eastAsia="宋体"/>
                <w:b w:val="0"/>
                <w:i w:val="0"/>
                <w:sz w:val="21"/>
              </w:rPr>
              <w:t>业务员</w:t>
            </w:r>
          </w:p>
        </w:tc>
        <w:tc>
          <w:tcPr>
            <w:tcW w:type="dxa" w:w="1247"/>
          </w:tcPr>
          <w:p>
            <w:pPr>
              <w:spacing w:before="20" w:after="20" w:line="276" w:lineRule="auto"/>
              <w:ind w:firstLine="0"/>
            </w:pPr>
            <w:r/>
            <w:r>
              <w:rPr>
                <w:rFonts w:ascii="Times New Roman" w:hAnsi="Times New Roman" w:eastAsia="宋体"/>
                <w:b w:val="0"/>
                <w:i w:val="0"/>
                <w:sz w:val="21"/>
              </w:rPr>
              <w:t>业务部</w:t>
            </w:r>
          </w:p>
        </w:tc>
        <w:tc>
          <w:tcPr>
            <w:tcW w:type="dxa" w:w="6463"/>
          </w:tcPr>
          <w:p>
            <w:pPr>
              <w:spacing w:before="20" w:after="20" w:line="276" w:lineRule="auto"/>
              <w:ind w:firstLine="0"/>
            </w:pPr>
            <w:r/>
            <w:r>
              <w:rPr>
                <w:rFonts w:ascii="Times New Roman" w:hAnsi="Times New Roman" w:eastAsia="宋体"/>
                <w:b w:val="0"/>
                <w:i w:val="0"/>
                <w:sz w:val="21"/>
              </w:rPr>
              <w:t>我要查看本企业账号与认证状态，以便业务开展不被账号问题阻塞</w:t>
            </w:r>
          </w:p>
        </w:tc>
      </w:tr>
      <w:tr>
        <w:tc>
          <w:tcPr>
            <w:tcW w:type="dxa" w:w="1361"/>
          </w:tcPr>
          <w:p>
            <w:pPr>
              <w:spacing w:before="20" w:after="20" w:line="276" w:lineRule="auto"/>
              <w:ind w:firstLine="0"/>
            </w:pPr>
            <w:r/>
            <w:r>
              <w:rPr>
                <w:rFonts w:ascii="Times New Roman" w:hAnsi="Times New Roman" w:eastAsia="宋体"/>
                <w:b w:val="0"/>
                <w:i w:val="0"/>
                <w:sz w:val="21"/>
              </w:rPr>
              <w:t>风控审核员</w:t>
            </w:r>
          </w:p>
        </w:tc>
        <w:tc>
          <w:tcPr>
            <w:tcW w:type="dxa" w:w="1247"/>
          </w:tcPr>
          <w:p>
            <w:pPr>
              <w:spacing w:before="20" w:after="20" w:line="276" w:lineRule="auto"/>
              <w:ind w:firstLine="0"/>
            </w:pPr>
            <w:r/>
            <w:r>
              <w:rPr>
                <w:rFonts w:ascii="Times New Roman" w:hAnsi="Times New Roman" w:eastAsia="宋体"/>
                <w:b w:val="0"/>
                <w:i w:val="0"/>
                <w:sz w:val="21"/>
              </w:rPr>
              <w:t>风控部</w:t>
            </w:r>
          </w:p>
        </w:tc>
        <w:tc>
          <w:tcPr>
            <w:tcW w:type="dxa" w:w="6463"/>
          </w:tcPr>
          <w:p>
            <w:pPr>
              <w:spacing w:before="20" w:after="20" w:line="276" w:lineRule="auto"/>
              <w:ind w:firstLine="0"/>
            </w:pPr>
            <w:r/>
            <w:r>
              <w:rPr>
                <w:rFonts w:ascii="Times New Roman" w:hAnsi="Times New Roman" w:eastAsia="宋体"/>
                <w:b w:val="0"/>
                <w:i w:val="0"/>
                <w:sz w:val="21"/>
              </w:rPr>
              <w:t>我要核对企业资质证书与认证状态，以便合规审查有据可依</w:t>
            </w:r>
          </w:p>
        </w:tc>
      </w:tr>
      <w:tr>
        <w:tc>
          <w:tcPr>
            <w:tcW w:type="dxa" w:w="1361"/>
          </w:tcPr>
          <w:p>
            <w:pPr>
              <w:spacing w:before="20" w:after="20" w:line="276" w:lineRule="auto"/>
              <w:ind w:firstLine="0"/>
            </w:pPr>
            <w:r/>
            <w:r>
              <w:rPr>
                <w:rFonts w:ascii="Times New Roman" w:hAnsi="Times New Roman" w:eastAsia="宋体"/>
                <w:b w:val="0"/>
                <w:i w:val="0"/>
                <w:sz w:val="21"/>
              </w:rPr>
              <w:t>平台管理员</w:t>
            </w:r>
          </w:p>
        </w:tc>
        <w:tc>
          <w:tcPr>
            <w:tcW w:type="dxa" w:w="1247"/>
          </w:tcPr>
          <w:p>
            <w:pPr>
              <w:spacing w:before="20" w:after="20" w:line="276" w:lineRule="auto"/>
              <w:ind w:firstLine="0"/>
            </w:pPr>
            <w:r/>
            <w:r>
              <w:rPr>
                <w:rFonts w:ascii="Times New Roman" w:hAnsi="Times New Roman" w:eastAsia="宋体"/>
                <w:b w:val="0"/>
                <w:i w:val="0"/>
                <w:sz w:val="21"/>
              </w:rPr>
              <w:t>平台</w:t>
            </w:r>
          </w:p>
        </w:tc>
        <w:tc>
          <w:tcPr>
            <w:tcW w:type="dxa" w:w="6463"/>
          </w:tcPr>
          <w:p>
            <w:pPr>
              <w:spacing w:before="20" w:after="20" w:line="276" w:lineRule="auto"/>
              <w:ind w:firstLine="0"/>
            </w:pPr>
            <w:r/>
            <w:r>
              <w:rPr>
                <w:rFonts w:ascii="Times New Roman" w:hAnsi="Times New Roman" w:eastAsia="宋体"/>
                <w:b w:val="0"/>
                <w:i w:val="0"/>
                <w:sz w:val="21"/>
              </w:rPr>
              <w:t>我要审计企业侧全部操作留痕，以便责任边界清晰</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4.6.4　功能结构与范围</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474"/>
            <w:shd w:val="clear" w:color="auto" w:fill="DCE6F1"/>
          </w:tcPr>
          <w:p>
            <w:pPr>
              <w:spacing w:before="40" w:after="40" w:line="276" w:lineRule="auto"/>
              <w:jc w:val="center"/>
            </w:pPr>
            <w:r/>
            <w:r>
              <w:rPr>
                <w:rFonts w:ascii="Times New Roman" w:hAnsi="Times New Roman" w:eastAsia="黑体"/>
                <w:b/>
                <w:i w:val="0"/>
                <w:sz w:val="21"/>
              </w:rPr>
              <w:t>功能</w:t>
            </w:r>
          </w:p>
        </w:tc>
        <w:tc>
          <w:tcPr>
            <w:tcW w:type="dxa" w:w="3175"/>
            <w:shd w:val="clear" w:color="auto" w:fill="DCE6F1"/>
          </w:tcPr>
          <w:p>
            <w:pPr>
              <w:spacing w:before="40" w:after="40" w:line="276" w:lineRule="auto"/>
              <w:jc w:val="center"/>
            </w:pPr>
            <w:r/>
            <w:r>
              <w:rPr>
                <w:rFonts w:ascii="Times New Roman" w:hAnsi="Times New Roman" w:eastAsia="黑体"/>
                <w:b/>
                <w:i w:val="0"/>
                <w:sz w:val="21"/>
              </w:rPr>
              <w:t>功能说明</w:t>
            </w:r>
          </w:p>
        </w:tc>
        <w:tc>
          <w:tcPr>
            <w:tcW w:type="dxa" w:w="4422"/>
            <w:shd w:val="clear" w:color="auto" w:fill="DCE6F1"/>
          </w:tcPr>
          <w:p>
            <w:pPr>
              <w:spacing w:before="40" w:after="40" w:line="276" w:lineRule="auto"/>
              <w:jc w:val="center"/>
            </w:pPr>
            <w:r/>
            <w:r>
              <w:rPr>
                <w:rFonts w:ascii="Times New Roman" w:hAnsi="Times New Roman" w:eastAsia="黑体"/>
                <w:b/>
                <w:i w:val="0"/>
                <w:sz w:val="21"/>
              </w:rPr>
              <w:t>关键规则</w:t>
            </w:r>
          </w:p>
        </w:tc>
      </w:tr>
      <w:tr>
        <w:tc>
          <w:tcPr>
            <w:tcW w:type="dxa" w:w="1474"/>
          </w:tcPr>
          <w:p>
            <w:pPr>
              <w:spacing w:before="20" w:after="20" w:line="276" w:lineRule="auto"/>
              <w:ind w:firstLine="0"/>
            </w:pPr>
            <w:r/>
            <w:r>
              <w:rPr>
                <w:rFonts w:ascii="Times New Roman" w:hAnsi="Times New Roman" w:eastAsia="宋体"/>
                <w:b w:val="0"/>
                <w:i w:val="0"/>
                <w:sz w:val="21"/>
              </w:rPr>
              <w:t>企业基础信息维护</w:t>
            </w:r>
          </w:p>
        </w:tc>
        <w:tc>
          <w:tcPr>
            <w:tcW w:type="dxa" w:w="3175"/>
          </w:tcPr>
          <w:p>
            <w:pPr>
              <w:spacing w:before="20" w:after="20" w:line="276" w:lineRule="auto"/>
              <w:ind w:firstLine="0"/>
            </w:pPr>
            <w:r/>
            <w:r>
              <w:rPr>
                <w:rFonts w:ascii="Times New Roman" w:hAnsi="Times New Roman" w:eastAsia="宋体"/>
                <w:b w:val="0"/>
                <w:i w:val="0"/>
                <w:sz w:val="21"/>
              </w:rPr>
              <w:t>维护企业名称、统一社会信用代码、法定代表人、注册资本等企业主体信息。</w:t>
            </w:r>
          </w:p>
        </w:tc>
        <w:tc>
          <w:tcPr>
            <w:tcW w:type="dxa" w:w="4422"/>
          </w:tcPr>
          <w:p>
            <w:pPr>
              <w:spacing w:before="20" w:after="20" w:line="276" w:lineRule="auto"/>
              <w:ind w:firstLine="0"/>
            </w:pPr>
            <w:r/>
            <w:r>
              <w:rPr>
                <w:rFonts w:ascii="Times New Roman" w:hAnsi="Times New Roman" w:eastAsia="宋体"/>
                <w:b w:val="0"/>
                <w:i w:val="0"/>
                <w:sz w:val="21"/>
              </w:rPr>
              <w:t>企业主体信息应与营业执照一致；账号 ID 由系统自动生成；员工账号的状态仅取启用与禁用两态；账号被禁用后登录被拦截。</w:t>
            </w:r>
          </w:p>
        </w:tc>
      </w:tr>
      <w:tr>
        <w:tc>
          <w:tcPr>
            <w:tcW w:type="dxa" w:w="1474"/>
          </w:tcPr>
          <w:p>
            <w:pPr>
              <w:spacing w:before="20" w:after="20" w:line="276" w:lineRule="auto"/>
              <w:ind w:firstLine="0"/>
            </w:pPr>
            <w:r/>
            <w:r>
              <w:rPr>
                <w:rFonts w:ascii="Times New Roman" w:hAnsi="Times New Roman" w:eastAsia="宋体"/>
                <w:b w:val="0"/>
                <w:i w:val="0"/>
                <w:sz w:val="21"/>
              </w:rPr>
              <w:t>员工账号与角色分配</w:t>
            </w:r>
          </w:p>
        </w:tc>
        <w:tc>
          <w:tcPr>
            <w:tcW w:type="dxa" w:w="3175"/>
          </w:tcPr>
          <w:p>
            <w:pPr>
              <w:spacing w:before="20" w:after="20" w:line="276" w:lineRule="auto"/>
              <w:ind w:firstLine="0"/>
            </w:pPr>
            <w:r/>
            <w:r>
              <w:rPr>
                <w:rFonts w:ascii="Times New Roman" w:hAnsi="Times New Roman" w:eastAsia="宋体"/>
                <w:b w:val="0"/>
                <w:i w:val="0"/>
                <w:sz w:val="21"/>
              </w:rPr>
              <w:t>为本企业员工创建账号，指定所属部门与角色，并控制启停状态。</w:t>
            </w:r>
          </w:p>
        </w:tc>
        <w:tc>
          <w:tcPr>
            <w:tcW w:type="dxa" w:w="4422"/>
          </w:tcPr>
          <w:p>
            <w:pPr>
              <w:spacing w:before="20" w:after="20" w:line="276" w:lineRule="auto"/>
              <w:ind w:firstLine="0"/>
            </w:pPr>
            <w:r/>
            <w:r>
              <w:rPr>
                <w:rFonts w:ascii="Times New Roman" w:hAnsi="Times New Roman" w:eastAsia="宋体"/>
                <w:b w:val="0"/>
                <w:i w:val="0"/>
                <w:sz w:val="21"/>
              </w:rPr>
              <w:t>所属部门取值为业务部、风控部、财务部、总经理办公室；角色取值为客户管理员、业务操作员、风控审核员、财务操作员、系统管理员；账号状态为禁用时不可分配角色与执行管理操作；保存动作进行中按钮置为加载态并禁用。</w:t>
            </w:r>
          </w:p>
        </w:tc>
      </w:tr>
      <w:tr>
        <w:tc>
          <w:tcPr>
            <w:tcW w:type="dxa" w:w="1474"/>
          </w:tcPr>
          <w:p>
            <w:pPr>
              <w:spacing w:before="20" w:after="20" w:line="276" w:lineRule="auto"/>
              <w:ind w:firstLine="0"/>
            </w:pPr>
            <w:r/>
            <w:r>
              <w:rPr>
                <w:rFonts w:ascii="Times New Roman" w:hAnsi="Times New Roman" w:eastAsia="宋体"/>
                <w:b w:val="0"/>
                <w:i w:val="0"/>
                <w:sz w:val="21"/>
              </w:rPr>
              <w:t>资质证书上传管理</w:t>
            </w:r>
          </w:p>
        </w:tc>
        <w:tc>
          <w:tcPr>
            <w:tcW w:type="dxa" w:w="3175"/>
          </w:tcPr>
          <w:p>
            <w:pPr>
              <w:spacing w:before="20" w:after="20" w:line="276" w:lineRule="auto"/>
              <w:ind w:firstLine="0"/>
            </w:pPr>
            <w:r/>
            <w:r>
              <w:rPr>
                <w:rFonts w:ascii="Times New Roman" w:hAnsi="Times New Roman" w:eastAsia="宋体"/>
                <w:b w:val="0"/>
                <w:i w:val="0"/>
                <w:sz w:val="21"/>
              </w:rPr>
              <w:t>统一上传并管理营业执照、开户许可证、行业资质与其他证明文件。</w:t>
            </w:r>
          </w:p>
        </w:tc>
        <w:tc>
          <w:tcPr>
            <w:tcW w:type="dxa" w:w="4422"/>
          </w:tcPr>
          <w:p>
            <w:pPr>
              <w:spacing w:before="20" w:after="20" w:line="276" w:lineRule="auto"/>
              <w:ind w:firstLine="0"/>
            </w:pPr>
            <w:r/>
            <w:r>
              <w:rPr>
                <w:rFonts w:ascii="Times New Roman" w:hAnsi="Times New Roman" w:eastAsia="宋体"/>
                <w:b w:val="0"/>
                <w:i w:val="0"/>
                <w:sz w:val="21"/>
              </w:rPr>
              <w:t>证书类型固定为营业执照、开户许可证、行业资质、其他证明文件四类；系统按证书有效期在到期前 30 天、7 天、1 天自动发出提醒；上传失败时保留已填内容并提示重传。</w:t>
            </w:r>
          </w:p>
        </w:tc>
      </w:tr>
      <w:tr>
        <w:tc>
          <w:tcPr>
            <w:tcW w:type="dxa" w:w="1474"/>
          </w:tcPr>
          <w:p>
            <w:pPr>
              <w:spacing w:before="20" w:after="20" w:line="276" w:lineRule="auto"/>
              <w:ind w:firstLine="0"/>
            </w:pPr>
            <w:r/>
            <w:r>
              <w:rPr>
                <w:rFonts w:ascii="Times New Roman" w:hAnsi="Times New Roman" w:eastAsia="宋体"/>
                <w:b w:val="0"/>
                <w:i w:val="0"/>
                <w:sz w:val="21"/>
              </w:rPr>
              <w:t>证书到期自动提醒</w:t>
            </w:r>
          </w:p>
        </w:tc>
        <w:tc>
          <w:tcPr>
            <w:tcW w:type="dxa" w:w="3175"/>
          </w:tcPr>
          <w:p>
            <w:pPr>
              <w:spacing w:before="20" w:after="20" w:line="276" w:lineRule="auto"/>
              <w:ind w:firstLine="0"/>
            </w:pPr>
            <w:r/>
            <w:r>
              <w:rPr>
                <w:rFonts w:ascii="Times New Roman" w:hAnsi="Times New Roman" w:eastAsia="宋体"/>
                <w:b w:val="0"/>
                <w:i w:val="0"/>
                <w:sz w:val="21"/>
              </w:rPr>
              <w:t>系统按证书有效期自动生成到期提醒，避免资质过期未被及时发现。</w:t>
            </w:r>
          </w:p>
        </w:tc>
        <w:tc>
          <w:tcPr>
            <w:tcW w:type="dxa" w:w="4422"/>
          </w:tcPr>
          <w:p>
            <w:pPr>
              <w:spacing w:before="20" w:after="20" w:line="276" w:lineRule="auto"/>
              <w:ind w:firstLine="0"/>
            </w:pPr>
            <w:r/>
            <w:r>
              <w:rPr>
                <w:rFonts w:ascii="Times New Roman" w:hAnsi="Times New Roman" w:eastAsia="宋体"/>
                <w:b w:val="0"/>
                <w:i w:val="0"/>
                <w:sz w:val="21"/>
              </w:rPr>
              <w:t>提醒节点固定为到期前 30 天、7 天、1 天三个；提醒仅对已上传且有有效期的证书生成；证书到期后企业认证状态随之变为已过期。</w:t>
            </w:r>
          </w:p>
        </w:tc>
      </w:tr>
      <w:tr>
        <w:tc>
          <w:tcPr>
            <w:tcW w:type="dxa" w:w="1474"/>
          </w:tcPr>
          <w:p>
            <w:pPr>
              <w:spacing w:before="20" w:after="20" w:line="276" w:lineRule="auto"/>
              <w:ind w:firstLine="0"/>
            </w:pPr>
            <w:r/>
            <w:r>
              <w:rPr>
                <w:rFonts w:ascii="Times New Roman" w:hAnsi="Times New Roman" w:eastAsia="宋体"/>
                <w:b w:val="0"/>
                <w:i w:val="0"/>
                <w:sz w:val="21"/>
              </w:rPr>
              <w:t>企业认证状态跟踪</w:t>
            </w:r>
          </w:p>
        </w:tc>
        <w:tc>
          <w:tcPr>
            <w:tcW w:type="dxa" w:w="3175"/>
          </w:tcPr>
          <w:p>
            <w:pPr>
              <w:spacing w:before="20" w:after="20" w:line="276" w:lineRule="auto"/>
              <w:ind w:firstLine="0"/>
            </w:pPr>
            <w:r/>
            <w:r>
              <w:rPr>
                <w:rFonts w:ascii="Times New Roman" w:hAnsi="Times New Roman" w:eastAsia="宋体"/>
                <w:b w:val="0"/>
                <w:i w:val="0"/>
                <w:sz w:val="21"/>
              </w:rPr>
              <w:t>以三态实时反映企业资质是否完备有效，供业务与合规判断。</w:t>
            </w:r>
          </w:p>
        </w:tc>
        <w:tc>
          <w:tcPr>
            <w:tcW w:type="dxa" w:w="4422"/>
          </w:tcPr>
          <w:p>
            <w:pPr>
              <w:spacing w:before="20" w:after="20" w:line="276" w:lineRule="auto"/>
              <w:ind w:firstLine="0"/>
            </w:pPr>
            <w:r/>
            <w:r>
              <w:rPr>
                <w:rFonts w:ascii="Times New Roman" w:hAnsi="Times New Roman" w:eastAsia="宋体"/>
                <w:b w:val="0"/>
                <w:i w:val="0"/>
                <w:sz w:val="21"/>
              </w:rPr>
              <w:t>认证状态固定为待认证、已认证、已过期三态；状态为已过期时需重新提交认证材料才能回到已认证；状态变更实时更新。</w:t>
            </w:r>
          </w:p>
        </w:tc>
      </w:tr>
      <w:tr>
        <w:tc>
          <w:tcPr>
            <w:tcW w:type="dxa" w:w="1474"/>
          </w:tcPr>
          <w:p>
            <w:pPr>
              <w:spacing w:before="20" w:after="20" w:line="276" w:lineRule="auto"/>
              <w:ind w:firstLine="0"/>
            </w:pPr>
            <w:r/>
            <w:r>
              <w:rPr>
                <w:rFonts w:ascii="Times New Roman" w:hAnsi="Times New Roman" w:eastAsia="宋体"/>
                <w:b w:val="0"/>
                <w:i w:val="0"/>
                <w:sz w:val="21"/>
              </w:rPr>
              <w:t>操作日志与变更记录</w:t>
            </w:r>
          </w:p>
        </w:tc>
        <w:tc>
          <w:tcPr>
            <w:tcW w:type="dxa" w:w="3175"/>
          </w:tcPr>
          <w:p>
            <w:pPr>
              <w:spacing w:before="20" w:after="20" w:line="276" w:lineRule="auto"/>
              <w:ind w:firstLine="0"/>
            </w:pPr>
            <w:r/>
            <w:r>
              <w:rPr>
                <w:rFonts w:ascii="Times New Roman" w:hAnsi="Times New Roman" w:eastAsia="宋体"/>
                <w:b w:val="0"/>
                <w:i w:val="0"/>
                <w:sz w:val="21"/>
              </w:rPr>
              <w:t>记录企业侧全部修改、上传、删除动作，支持事后追溯。</w:t>
            </w:r>
          </w:p>
        </w:tc>
        <w:tc>
          <w:tcPr>
            <w:tcW w:type="dxa" w:w="4422"/>
          </w:tcPr>
          <w:p>
            <w:pPr>
              <w:spacing w:before="20" w:after="20" w:line="276" w:lineRule="auto"/>
              <w:ind w:firstLine="0"/>
            </w:pPr>
            <w:r/>
            <w:r>
              <w:rPr>
                <w:rFonts w:ascii="Times New Roman" w:hAnsi="Times New Roman" w:eastAsia="宋体"/>
                <w:b w:val="0"/>
                <w:i w:val="0"/>
                <w:sz w:val="21"/>
              </w:rPr>
              <w:t>日志需覆盖修改、上传、删除三类动作；单次最多展示 50 条，超出部分滚动加载；账号被禁用时登录拦截并提示「该账号已禁用，请联系管理员」。</w:t>
            </w:r>
          </w:p>
        </w:tc>
      </w:tr>
    </w:tbl>
    <w:p>
      <w:pPr>
        <w:spacing w:before="0" w:after="0" w:line="240" w:lineRule="auto"/>
      </w:pP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tblGrid>
      <w:tr>
        <w:trPr>
          <w:tblHeader w:val="true"/>
        </w:trPr>
        <w:tc>
          <w:tcPr>
            <w:tcW w:type="dxa" w:w="1247"/>
            <w:shd w:val="clear" w:color="auto" w:fill="DCE6F1"/>
          </w:tcPr>
          <w:p>
            <w:pPr>
              <w:spacing w:before="40" w:after="40" w:line="276" w:lineRule="auto"/>
              <w:jc w:val="center"/>
            </w:pPr>
            <w:r/>
            <w:r>
              <w:rPr>
                <w:rFonts w:ascii="Times New Roman" w:hAnsi="Times New Roman" w:eastAsia="黑体"/>
                <w:b/>
                <w:i w:val="0"/>
                <w:sz w:val="19"/>
              </w:rPr>
              <w:t>页面</w:t>
            </w:r>
          </w:p>
        </w:tc>
        <w:tc>
          <w:tcPr>
            <w:tcW w:type="dxa" w:w="1474"/>
            <w:shd w:val="clear" w:color="auto" w:fill="DCE6F1"/>
          </w:tcPr>
          <w:p>
            <w:pPr>
              <w:spacing w:before="40" w:after="40" w:line="276" w:lineRule="auto"/>
              <w:jc w:val="center"/>
            </w:pPr>
            <w:r/>
            <w:r>
              <w:rPr>
                <w:rFonts w:ascii="Times New Roman" w:hAnsi="Times New Roman" w:eastAsia="黑体"/>
                <w:b/>
                <w:i w:val="0"/>
                <w:sz w:val="19"/>
              </w:rPr>
              <w:t>文件</w:t>
            </w:r>
          </w:p>
        </w:tc>
        <w:tc>
          <w:tcPr>
            <w:tcW w:type="dxa" w:w="1134"/>
            <w:shd w:val="clear" w:color="auto" w:fill="DCE6F1"/>
          </w:tcPr>
          <w:p>
            <w:pPr>
              <w:spacing w:before="40" w:after="40" w:line="276" w:lineRule="auto"/>
              <w:jc w:val="center"/>
            </w:pPr>
            <w:r/>
            <w:r>
              <w:rPr>
                <w:rFonts w:ascii="Times New Roman" w:hAnsi="Times New Roman" w:eastAsia="黑体"/>
                <w:b/>
                <w:i w:val="0"/>
                <w:sz w:val="19"/>
              </w:rPr>
              <w:t>入口</w:t>
            </w:r>
          </w:p>
        </w:tc>
        <w:tc>
          <w:tcPr>
            <w:tcW w:type="dxa" w:w="2041"/>
            <w:shd w:val="clear" w:color="auto" w:fill="DCE6F1"/>
          </w:tcPr>
          <w:p>
            <w:pPr>
              <w:spacing w:before="40" w:after="40" w:line="276" w:lineRule="auto"/>
              <w:jc w:val="center"/>
            </w:pPr>
            <w:r/>
            <w:r>
              <w:rPr>
                <w:rFonts w:ascii="Times New Roman" w:hAnsi="Times New Roman" w:eastAsia="黑体"/>
                <w:b/>
                <w:i w:val="0"/>
                <w:sz w:val="19"/>
              </w:rPr>
              <w:t>主要区块</w:t>
            </w:r>
          </w:p>
        </w:tc>
        <w:tc>
          <w:tcPr>
            <w:tcW w:type="dxa" w:w="1701"/>
            <w:shd w:val="clear" w:color="auto" w:fill="DCE6F1"/>
          </w:tcPr>
          <w:p>
            <w:pPr>
              <w:spacing w:before="40" w:after="40" w:line="276" w:lineRule="auto"/>
              <w:jc w:val="center"/>
            </w:pPr>
            <w:r/>
            <w:r>
              <w:rPr>
                <w:rFonts w:ascii="Times New Roman" w:hAnsi="Times New Roman" w:eastAsia="黑体"/>
                <w:b/>
                <w:i w:val="0"/>
                <w:sz w:val="19"/>
              </w:rPr>
              <w:t>主要操作</w:t>
            </w:r>
          </w:p>
        </w:tc>
        <w:tc>
          <w:tcPr>
            <w:tcW w:type="dxa" w:w="1474"/>
            <w:shd w:val="clear" w:color="auto" w:fill="DCE6F1"/>
          </w:tcPr>
          <w:p>
            <w:pPr>
              <w:spacing w:before="40" w:after="40" w:line="276" w:lineRule="auto"/>
              <w:jc w:val="center"/>
            </w:pPr>
            <w:r/>
            <w:r>
              <w:rPr>
                <w:rFonts w:ascii="Times New Roman" w:hAnsi="Times New Roman" w:eastAsia="黑体"/>
                <w:b/>
                <w:i w:val="0"/>
                <w:sz w:val="19"/>
              </w:rPr>
              <w:t>跳转</w:t>
            </w:r>
          </w:p>
        </w:tc>
      </w:tr>
      <w:tr>
        <w:tc>
          <w:tcPr>
            <w:tcW w:type="dxa" w:w="1247"/>
          </w:tcPr>
          <w:p>
            <w:pPr>
              <w:spacing w:before="20" w:after="20" w:line="276" w:lineRule="auto"/>
              <w:ind w:firstLine="0"/>
            </w:pPr>
            <w:r/>
            <w:r>
              <w:rPr>
                <w:rFonts w:ascii="Times New Roman" w:hAnsi="Times New Roman" w:eastAsia="宋体"/>
                <w:b w:val="0"/>
                <w:i w:val="0"/>
                <w:sz w:val="19"/>
              </w:rPr>
              <w:t>企业管理页</w:t>
            </w:r>
          </w:p>
        </w:tc>
        <w:tc>
          <w:tcPr>
            <w:tcW w:type="dxa" w:w="1474"/>
          </w:tcPr>
          <w:p>
            <w:pPr>
              <w:spacing w:before="20" w:after="20" w:line="276" w:lineRule="auto"/>
              <w:ind w:firstLine="0"/>
            </w:pPr>
            <w:r/>
            <w:r>
              <w:rPr>
                <w:rFonts w:ascii="Times New Roman" w:hAnsi="Times New Roman" w:eastAsia="宋体"/>
                <w:b w:val="0"/>
                <w:i w:val="0"/>
                <w:sz w:val="19"/>
              </w:rPr>
              <w:t>account-company.html</w:t>
            </w:r>
          </w:p>
        </w:tc>
        <w:tc>
          <w:tcPr>
            <w:tcW w:type="dxa" w:w="1134"/>
          </w:tcPr>
          <w:p>
            <w:pPr>
              <w:spacing w:before="20" w:after="20" w:line="276" w:lineRule="auto"/>
              <w:ind w:firstLine="0"/>
            </w:pPr>
            <w:r/>
            <w:r>
              <w:rPr>
                <w:rFonts w:ascii="Times New Roman" w:hAnsi="Times New Roman" w:eastAsia="宋体"/>
                <w:b w:val="0"/>
                <w:i w:val="0"/>
                <w:sz w:val="19"/>
              </w:rPr>
              <w:t>准入管理新增客户 → 创建管理员账号；或系统设置 → 角色权限配置</w:t>
            </w:r>
          </w:p>
        </w:tc>
        <w:tc>
          <w:tcPr>
            <w:tcW w:type="dxa" w:w="2041"/>
          </w:tcPr>
          <w:p>
            <w:pPr>
              <w:spacing w:before="20" w:after="20" w:line="276" w:lineRule="auto"/>
              <w:ind w:firstLine="0"/>
            </w:pPr>
            <w:r/>
            <w:r>
              <w:rPr>
                <w:rFonts w:ascii="Times New Roman" w:hAnsi="Times New Roman" w:eastAsia="宋体"/>
                <w:b w:val="0"/>
                <w:i w:val="0"/>
                <w:sz w:val="19"/>
              </w:rPr>
              <w:t>面包屑（账户中心 / 企业账户 / 企业中心）、标题区与「新增企业中心」主操作、功能建设中的缺省区块（企业基础信息维护、资质证书上传管理、证书到期自动提醒、企业认证状态跟踪、操作日志与变更记录 5 项预期能力）</w:t>
            </w:r>
          </w:p>
        </w:tc>
        <w:tc>
          <w:tcPr>
            <w:tcW w:type="dxa" w:w="1701"/>
          </w:tcPr>
          <w:p>
            <w:pPr>
              <w:spacing w:before="20" w:after="20" w:line="276" w:lineRule="auto"/>
              <w:ind w:firstLine="0"/>
            </w:pPr>
            <w:r/>
            <w:r>
              <w:rPr>
                <w:rFonts w:ascii="Times New Roman" w:hAnsi="Times New Roman" w:eastAsia="宋体"/>
                <w:b w:val="0"/>
                <w:i w:val="0"/>
                <w:sz w:val="19"/>
              </w:rPr>
              <w:t>新增企业中心；缺省区块列出 5 项预期能力，页面结构与线上功能保持一致</w:t>
            </w:r>
          </w:p>
        </w:tc>
        <w:tc>
          <w:tcPr>
            <w:tcW w:type="dxa" w:w="1474"/>
          </w:tcPr>
          <w:p>
            <w:pPr>
              <w:spacing w:before="20" w:after="20" w:line="276" w:lineRule="auto"/>
              <w:ind w:firstLine="0"/>
            </w:pPr>
            <w:r/>
            <w:r>
              <w:rPr>
                <w:rFonts w:ascii="Times New Roman" w:hAnsi="Times New Roman" w:eastAsia="宋体"/>
                <w:b w:val="0"/>
                <w:i w:val="0"/>
                <w:sz w:val="19"/>
              </w:rPr>
              <w:t>页面当前为缺省状态；操作日志详情页与角色权限配置页在页面清单中尚未提供，跳转目标待业务方确认</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4.6.5　数据关系</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474"/>
            <w:shd w:val="clear" w:color="auto" w:fill="DCE6F1"/>
          </w:tcPr>
          <w:p>
            <w:pPr>
              <w:spacing w:before="40" w:after="40" w:line="276" w:lineRule="auto"/>
              <w:jc w:val="center"/>
            </w:pPr>
            <w:r/>
            <w:r>
              <w:rPr>
                <w:rFonts w:ascii="Times New Roman" w:hAnsi="Times New Roman" w:eastAsia="黑体"/>
                <w:b/>
                <w:i w:val="0"/>
                <w:sz w:val="21"/>
              </w:rPr>
              <w:t>业务对象</w:t>
            </w:r>
          </w:p>
        </w:tc>
        <w:tc>
          <w:tcPr>
            <w:tcW w:type="dxa" w:w="4195"/>
            <w:shd w:val="clear" w:color="auto" w:fill="DCE6F1"/>
          </w:tcPr>
          <w:p>
            <w:pPr>
              <w:spacing w:before="40" w:after="40" w:line="276" w:lineRule="auto"/>
              <w:jc w:val="center"/>
            </w:pPr>
            <w:r/>
            <w:r>
              <w:rPr>
                <w:rFonts w:ascii="Times New Roman" w:hAnsi="Times New Roman" w:eastAsia="黑体"/>
                <w:b/>
                <w:i w:val="0"/>
                <w:sz w:val="21"/>
              </w:rPr>
              <w:t>关键字段与口径</w:t>
            </w:r>
          </w:p>
        </w:tc>
        <w:tc>
          <w:tcPr>
            <w:tcW w:type="dxa" w:w="3402"/>
            <w:shd w:val="clear" w:color="auto" w:fill="DCE6F1"/>
          </w:tcPr>
          <w:p>
            <w:pPr>
              <w:spacing w:before="40" w:after="40" w:line="276" w:lineRule="auto"/>
              <w:jc w:val="center"/>
            </w:pPr>
            <w:r/>
            <w:r>
              <w:rPr>
                <w:rFonts w:ascii="Times New Roman" w:hAnsi="Times New Roman" w:eastAsia="黑体"/>
                <w:b/>
                <w:i w:val="0"/>
                <w:sz w:val="21"/>
              </w:rPr>
              <w:t>与其他对象的关系</w:t>
            </w:r>
          </w:p>
        </w:tc>
      </w:tr>
      <w:tr>
        <w:tc>
          <w:tcPr>
            <w:tcW w:type="dxa" w:w="1474"/>
          </w:tcPr>
          <w:p>
            <w:pPr>
              <w:spacing w:before="20" w:after="20" w:line="276" w:lineRule="auto"/>
              <w:ind w:firstLine="0"/>
            </w:pPr>
            <w:r/>
            <w:r>
              <w:rPr>
                <w:rFonts w:ascii="Times New Roman" w:hAnsi="Times New Roman" w:eastAsia="宋体"/>
                <w:b w:val="0"/>
                <w:i w:val="0"/>
                <w:sz w:val="21"/>
              </w:rPr>
              <w:t>企业账号</w:t>
            </w:r>
          </w:p>
        </w:tc>
        <w:tc>
          <w:tcPr>
            <w:tcW w:type="dxa" w:w="4195"/>
          </w:tcPr>
          <w:p>
            <w:pPr>
              <w:spacing w:before="20" w:after="20" w:line="276" w:lineRule="auto"/>
              <w:ind w:firstLine="0"/>
            </w:pPr>
            <w:r/>
            <w:r>
              <w:rPr>
                <w:rFonts w:ascii="Times New Roman" w:hAnsi="Times New Roman" w:eastAsia="宋体"/>
                <w:b w:val="0"/>
                <w:i w:val="0"/>
                <w:sz w:val="21"/>
              </w:rPr>
              <w:t>账号 ID：系统自动生成</w:t>
            </w:r>
            <w:r>
              <w:br/>
            </w:r>
            <w:r>
              <w:rPr>
                <w:rFonts w:ascii="Times New Roman" w:hAnsi="Times New Roman" w:eastAsia="宋体"/>
                <w:b w:val="0"/>
                <w:i w:val="0"/>
                <w:sz w:val="21"/>
              </w:rPr>
              <w:t>员工姓名：真实姓名</w:t>
            </w:r>
            <w:r>
              <w:br/>
            </w:r>
            <w:r>
              <w:rPr>
                <w:rFonts w:ascii="Times New Roman" w:hAnsi="Times New Roman" w:eastAsia="宋体"/>
                <w:b w:val="0"/>
                <w:i w:val="0"/>
                <w:sz w:val="21"/>
              </w:rPr>
              <w:t>登录手机号</w:t>
            </w:r>
            <w:r>
              <w:br/>
            </w:r>
            <w:r>
              <w:rPr>
                <w:rFonts w:ascii="Times New Roman" w:hAnsi="Times New Roman" w:eastAsia="宋体"/>
                <w:b w:val="0"/>
                <w:i w:val="0"/>
                <w:sz w:val="21"/>
              </w:rPr>
              <w:t>所属部门：业务部、风控部、财务部、总经理办公室</w:t>
            </w:r>
            <w:r>
              <w:br/>
            </w:r>
            <w:r>
              <w:rPr>
                <w:rFonts w:ascii="Times New Roman" w:hAnsi="Times New Roman" w:eastAsia="宋体"/>
                <w:b w:val="0"/>
                <w:i w:val="0"/>
                <w:sz w:val="21"/>
              </w:rPr>
              <w:t>角色：客户管理员、业务操作员、风控审核员、财务操作员、系统管理员</w:t>
            </w:r>
            <w:r>
              <w:br/>
            </w:r>
            <w:r>
              <w:rPr>
                <w:rFonts w:ascii="Times New Roman" w:hAnsi="Times New Roman" w:eastAsia="宋体"/>
                <w:b w:val="0"/>
                <w:i w:val="0"/>
                <w:sz w:val="21"/>
              </w:rPr>
              <w:t>状态：启用、禁用</w:t>
            </w:r>
            <w:r>
              <w:br/>
            </w:r>
            <w:r>
              <w:rPr>
                <w:rFonts w:ascii="Times New Roman" w:hAnsi="Times New Roman" w:eastAsia="宋体"/>
                <w:b w:val="0"/>
                <w:i w:val="0"/>
                <w:sz w:val="21"/>
              </w:rPr>
              <w:t>创建时间：yyyy-MM-dd HH:mm:ss</w:t>
            </w:r>
            <w:r>
              <w:br/>
            </w:r>
            <w:r>
              <w:rPr>
                <w:rFonts w:ascii="Times New Roman" w:hAnsi="Times New Roman" w:eastAsia="宋体"/>
                <w:b w:val="0"/>
                <w:i w:val="0"/>
                <w:sz w:val="21"/>
              </w:rPr>
              <w:t>最后登录时间：yyyy-MM-dd HH:mm:ss</w:t>
            </w:r>
          </w:p>
        </w:tc>
        <w:tc>
          <w:tcPr>
            <w:tcW w:type="dxa" w:w="3402"/>
          </w:tcPr>
          <w:p>
            <w:pPr>
              <w:spacing w:before="20" w:after="20" w:line="276" w:lineRule="auto"/>
              <w:ind w:firstLine="0"/>
            </w:pPr>
            <w:r/>
            <w:r>
              <w:rPr>
                <w:rFonts w:ascii="Times New Roman" w:hAnsi="Times New Roman" w:eastAsia="宋体"/>
                <w:b w:val="0"/>
                <w:i w:val="0"/>
                <w:sz w:val="21"/>
              </w:rPr>
              <w:t>隶属于企业主数据，与操作日志、角色分配、认证状态关联</w:t>
            </w:r>
          </w:p>
        </w:tc>
      </w:tr>
      <w:tr>
        <w:tc>
          <w:tcPr>
            <w:tcW w:type="dxa" w:w="1474"/>
          </w:tcPr>
          <w:p>
            <w:pPr>
              <w:spacing w:before="20" w:after="20" w:line="276" w:lineRule="auto"/>
              <w:ind w:firstLine="0"/>
            </w:pPr>
            <w:r/>
            <w:r>
              <w:rPr>
                <w:rFonts w:ascii="Times New Roman" w:hAnsi="Times New Roman" w:eastAsia="宋体"/>
                <w:b w:val="0"/>
                <w:i w:val="0"/>
                <w:sz w:val="21"/>
              </w:rPr>
              <w:t>企业基础信息</w:t>
            </w:r>
          </w:p>
        </w:tc>
        <w:tc>
          <w:tcPr>
            <w:tcW w:type="dxa" w:w="4195"/>
          </w:tcPr>
          <w:p>
            <w:pPr>
              <w:spacing w:before="20" w:after="20" w:line="276" w:lineRule="auto"/>
              <w:ind w:firstLine="0"/>
            </w:pPr>
            <w:r/>
            <w:r>
              <w:rPr>
                <w:rFonts w:ascii="Times New Roman" w:hAnsi="Times New Roman" w:eastAsia="宋体"/>
                <w:b w:val="0"/>
                <w:i w:val="0"/>
                <w:sz w:val="21"/>
              </w:rPr>
              <w:t>企业名称</w:t>
            </w:r>
            <w:r>
              <w:br/>
            </w:r>
            <w:r>
              <w:rPr>
                <w:rFonts w:ascii="Times New Roman" w:hAnsi="Times New Roman" w:eastAsia="宋体"/>
                <w:b w:val="0"/>
                <w:i w:val="0"/>
                <w:sz w:val="21"/>
              </w:rPr>
              <w:t>统一社会信用代码</w:t>
            </w:r>
            <w:r>
              <w:br/>
            </w:r>
            <w:r>
              <w:rPr>
                <w:rFonts w:ascii="Times New Roman" w:hAnsi="Times New Roman" w:eastAsia="宋体"/>
                <w:b w:val="0"/>
                <w:i w:val="0"/>
                <w:sz w:val="21"/>
              </w:rPr>
              <w:t>法定代表人</w:t>
            </w:r>
            <w:r>
              <w:br/>
            </w:r>
            <w:r>
              <w:rPr>
                <w:rFonts w:ascii="Times New Roman" w:hAnsi="Times New Roman" w:eastAsia="宋体"/>
                <w:b w:val="0"/>
                <w:i w:val="0"/>
                <w:sz w:val="21"/>
              </w:rPr>
              <w:t>注册资本</w:t>
            </w:r>
          </w:p>
        </w:tc>
        <w:tc>
          <w:tcPr>
            <w:tcW w:type="dxa" w:w="3402"/>
          </w:tcPr>
          <w:p>
            <w:pPr>
              <w:spacing w:before="20" w:after="20" w:line="276" w:lineRule="auto"/>
              <w:ind w:firstLine="0"/>
            </w:pPr>
            <w:r/>
            <w:r>
              <w:rPr>
                <w:rFonts w:ascii="Times New Roman" w:hAnsi="Times New Roman" w:eastAsia="宋体"/>
                <w:b w:val="0"/>
                <w:i w:val="0"/>
                <w:sz w:val="21"/>
              </w:rPr>
              <w:t>是企业账号的归属主体，也是企业认证状态的判定依据之一</w:t>
            </w:r>
          </w:p>
        </w:tc>
      </w:tr>
      <w:tr>
        <w:tc>
          <w:tcPr>
            <w:tcW w:type="dxa" w:w="1474"/>
          </w:tcPr>
          <w:p>
            <w:pPr>
              <w:spacing w:before="20" w:after="20" w:line="276" w:lineRule="auto"/>
              <w:ind w:firstLine="0"/>
            </w:pPr>
            <w:r/>
            <w:r>
              <w:rPr>
                <w:rFonts w:ascii="Times New Roman" w:hAnsi="Times New Roman" w:eastAsia="宋体"/>
                <w:b w:val="0"/>
                <w:i w:val="0"/>
                <w:sz w:val="21"/>
              </w:rPr>
              <w:t>企业资质证书</w:t>
            </w:r>
          </w:p>
        </w:tc>
        <w:tc>
          <w:tcPr>
            <w:tcW w:type="dxa" w:w="4195"/>
          </w:tcPr>
          <w:p>
            <w:pPr>
              <w:spacing w:before="20" w:after="20" w:line="276" w:lineRule="auto"/>
              <w:ind w:firstLine="0"/>
            </w:pPr>
            <w:r/>
            <w:r>
              <w:rPr>
                <w:rFonts w:ascii="Times New Roman" w:hAnsi="Times New Roman" w:eastAsia="宋体"/>
                <w:b w:val="0"/>
                <w:i w:val="0"/>
                <w:sz w:val="21"/>
              </w:rPr>
              <w:t>证书类型：营业执照、开户许可证、行业资质、其他证明文件</w:t>
            </w:r>
            <w:r>
              <w:br/>
            </w:r>
            <w:r>
              <w:rPr>
                <w:rFonts w:ascii="Times New Roman" w:hAnsi="Times New Roman" w:eastAsia="宋体"/>
                <w:b w:val="0"/>
                <w:i w:val="0"/>
                <w:sz w:val="21"/>
              </w:rPr>
              <w:t>有效期</w:t>
            </w:r>
            <w:r>
              <w:br/>
            </w:r>
            <w:r>
              <w:rPr>
                <w:rFonts w:ascii="Times New Roman" w:hAnsi="Times New Roman" w:eastAsia="宋体"/>
                <w:b w:val="0"/>
                <w:i w:val="0"/>
                <w:sz w:val="21"/>
              </w:rPr>
              <w:t>提醒节点：到期前 30 天、7 天、1 天</w:t>
            </w:r>
          </w:p>
        </w:tc>
        <w:tc>
          <w:tcPr>
            <w:tcW w:type="dxa" w:w="3402"/>
          </w:tcPr>
          <w:p>
            <w:pPr>
              <w:spacing w:before="20" w:after="20" w:line="276" w:lineRule="auto"/>
              <w:ind w:firstLine="0"/>
            </w:pPr>
            <w:r/>
            <w:r>
              <w:rPr>
                <w:rFonts w:ascii="Times New Roman" w:hAnsi="Times New Roman" w:eastAsia="宋体"/>
                <w:b w:val="0"/>
                <w:i w:val="0"/>
                <w:sz w:val="21"/>
              </w:rPr>
              <w:t>支撑企业认证状态，证书到期会带动认证状态变化</w:t>
            </w:r>
          </w:p>
        </w:tc>
      </w:tr>
      <w:tr>
        <w:tc>
          <w:tcPr>
            <w:tcW w:type="dxa" w:w="1474"/>
          </w:tcPr>
          <w:p>
            <w:pPr>
              <w:spacing w:before="20" w:after="20" w:line="276" w:lineRule="auto"/>
              <w:ind w:firstLine="0"/>
            </w:pPr>
            <w:r/>
            <w:r>
              <w:rPr>
                <w:rFonts w:ascii="Times New Roman" w:hAnsi="Times New Roman" w:eastAsia="宋体"/>
                <w:b w:val="0"/>
                <w:i w:val="0"/>
                <w:sz w:val="21"/>
              </w:rPr>
              <w:t>企业认证状态</w:t>
            </w:r>
          </w:p>
        </w:tc>
        <w:tc>
          <w:tcPr>
            <w:tcW w:type="dxa" w:w="4195"/>
          </w:tcPr>
          <w:p>
            <w:pPr>
              <w:spacing w:before="20" w:after="20" w:line="276" w:lineRule="auto"/>
              <w:ind w:firstLine="0"/>
            </w:pPr>
            <w:r/>
            <w:r>
              <w:rPr>
                <w:rFonts w:ascii="Times New Roman" w:hAnsi="Times New Roman" w:eastAsia="宋体"/>
                <w:b w:val="0"/>
                <w:i w:val="0"/>
                <w:sz w:val="21"/>
              </w:rPr>
              <w:t>状态：待认证、已认证、已过期</w:t>
            </w:r>
          </w:p>
        </w:tc>
        <w:tc>
          <w:tcPr>
            <w:tcW w:type="dxa" w:w="3402"/>
          </w:tcPr>
          <w:p>
            <w:pPr>
              <w:spacing w:before="20" w:after="20" w:line="276" w:lineRule="auto"/>
              <w:ind w:firstLine="0"/>
            </w:pPr>
            <w:r/>
            <w:r>
              <w:rPr>
                <w:rFonts w:ascii="Times New Roman" w:hAnsi="Times New Roman" w:eastAsia="宋体"/>
                <w:b w:val="0"/>
                <w:i w:val="0"/>
                <w:sz w:val="21"/>
              </w:rPr>
              <w:t>由基础信息与资质证书的完备性共同决定，状态变更实时跟踪</w:t>
            </w:r>
          </w:p>
        </w:tc>
      </w:tr>
      <w:tr>
        <w:tc>
          <w:tcPr>
            <w:tcW w:type="dxa" w:w="1474"/>
          </w:tcPr>
          <w:p>
            <w:pPr>
              <w:spacing w:before="20" w:after="20" w:line="276" w:lineRule="auto"/>
              <w:ind w:firstLine="0"/>
            </w:pPr>
            <w:r/>
            <w:r>
              <w:rPr>
                <w:rFonts w:ascii="Times New Roman" w:hAnsi="Times New Roman" w:eastAsia="宋体"/>
                <w:b w:val="0"/>
                <w:i w:val="0"/>
                <w:sz w:val="21"/>
              </w:rPr>
              <w:t>企业操作日志</w:t>
            </w:r>
          </w:p>
        </w:tc>
        <w:tc>
          <w:tcPr>
            <w:tcW w:type="dxa" w:w="4195"/>
          </w:tcPr>
          <w:p>
            <w:pPr>
              <w:spacing w:before="20" w:after="20" w:line="276" w:lineRule="auto"/>
              <w:ind w:firstLine="0"/>
            </w:pPr>
            <w:r/>
            <w:r>
              <w:rPr>
                <w:rFonts w:ascii="Times New Roman" w:hAnsi="Times New Roman" w:eastAsia="宋体"/>
                <w:b w:val="0"/>
                <w:i w:val="0"/>
                <w:sz w:val="21"/>
              </w:rPr>
              <w:t>动作类型：修改、上传、删除</w:t>
            </w:r>
            <w:r>
              <w:br/>
            </w:r>
            <w:r>
              <w:rPr>
                <w:rFonts w:ascii="Times New Roman" w:hAnsi="Times New Roman" w:eastAsia="宋体"/>
                <w:b w:val="0"/>
                <w:i w:val="0"/>
                <w:sz w:val="21"/>
              </w:rPr>
              <w:t>记录条数：单次最多展示 50 条，超出滚动加载</w:t>
            </w:r>
          </w:p>
        </w:tc>
        <w:tc>
          <w:tcPr>
            <w:tcW w:type="dxa" w:w="3402"/>
          </w:tcPr>
          <w:p>
            <w:pPr>
              <w:spacing w:before="20" w:after="20" w:line="276" w:lineRule="auto"/>
              <w:ind w:firstLine="0"/>
            </w:pPr>
            <w:r/>
            <w:r>
              <w:rPr>
                <w:rFonts w:ascii="Times New Roman" w:hAnsi="Times New Roman" w:eastAsia="宋体"/>
                <w:b w:val="0"/>
                <w:i w:val="0"/>
                <w:sz w:val="21"/>
              </w:rPr>
              <w:t>记录企业账号与资质的全部管理动作，供平台管理员审计</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4.6.6　角色权限与数据权限</w:t>
      </w:r>
    </w:p>
    <w:p>
      <w:pPr>
        <w:spacing w:before="0" w:after="120" w:line="360" w:lineRule="auto"/>
      </w:pPr>
      <w:r>
        <w:rPr>
          <w:rFonts w:ascii="Times New Roman" w:hAnsi="Times New Roman" w:eastAsia="宋体"/>
          <w:b w:val="0"/>
          <w:i w:val="0"/>
          <w:sz w:val="24"/>
        </w:rPr>
        <w:t>本期为系统全量权限（业务方裁决 D17）；下表角色为典型使用角色，非权限分级。企业管理面向企业管理员视角，仅维护本企业数据；权限不足时按钮置灰并提示「无权限」，账号被禁用后该账号无法登录。</w:t>
      </w:r>
    </w:p>
    <w:p>
      <w:pPr>
        <w:spacing w:before="0" w:after="80" w:line="360" w:lineRule="auto"/>
      </w:pPr>
      <w:r>
        <w:rPr>
          <w:rFonts w:ascii="Times New Roman" w:hAnsi="Times New Roman" w:eastAsia="宋体"/>
          <w:b w:val="0"/>
          <w:i w:val="0"/>
          <w:sz w:val="24"/>
        </w:rPr>
        <w:t>数据可见性：按单据归属与业务筛选查看；手机号、统一社会信用代码等敏感字段默认打码，手动点击查看完整值且查看行为留痕。</w:t>
      </w:r>
    </w:p>
    <w:p>
      <w:pPr>
        <w:pStyle w:val="Heading3"/>
        <w:keepNext/>
        <w:spacing w:before="160" w:after="80" w:line="312" w:lineRule="auto"/>
        <w:ind w:firstLine="0"/>
      </w:pPr>
      <w:r>
        <w:rPr>
          <w:rFonts w:ascii="Times New Roman" w:hAnsi="Times New Roman" w:eastAsia="黑体"/>
          <w:b/>
          <w:i w:val="0"/>
          <w:sz w:val="24"/>
        </w:rPr>
        <w:t>4.6.7　业务流程与页面</w:t>
      </w:r>
    </w:p>
    <w:p>
      <w:pPr>
        <w:spacing w:before="120" w:after="60"/>
        <w:ind w:firstLine="0"/>
        <w:jc w:val="center"/>
      </w:pPr>
      <w:r>
        <w:drawing>
          <wp:inline xmlns:a="http://schemas.openxmlformats.org/drawingml/2006/main" xmlns:pic="http://schemas.openxmlformats.org/drawingml/2006/picture">
            <wp:extent cx="5616000" cy="3453517"/>
            <wp:docPr id="11" name="Picture 11"/>
            <wp:cNvGraphicFramePr>
              <a:graphicFrameLocks noChangeAspect="1"/>
            </wp:cNvGraphicFramePr>
            <a:graphic>
              <a:graphicData uri="http://schemas.openxmlformats.org/drawingml/2006/picture">
                <pic:pic>
                  <pic:nvPicPr>
                    <pic:cNvPr id="0" name="mermaid-account-company.png"/>
                    <pic:cNvPicPr/>
                  </pic:nvPicPr>
                  <pic:blipFill>
                    <a:blip r:embed="rId21"/>
                    <a:stretch>
                      <a:fillRect/>
                    </a:stretch>
                  </pic:blipFill>
                  <pic:spPr>
                    <a:xfrm>
                      <a:off x="0" y="0"/>
                      <a:ext cx="5616000" cy="3453517"/>
                    </a:xfrm>
                    <a:prstGeom prst="rect"/>
                  </pic:spPr>
                </pic:pic>
              </a:graphicData>
            </a:graphic>
          </wp:inline>
        </w:drawing>
      </w:r>
    </w:p>
    <w:p>
      <w:pPr>
        <w:spacing w:before="0" w:after="200" w:line="240" w:lineRule="auto"/>
        <w:ind w:firstLine="0"/>
        <w:jc w:val="center"/>
      </w:pPr>
      <w:r>
        <w:rPr>
          <w:rFonts w:ascii="Times New Roman" w:hAnsi="Times New Roman" w:eastAsia="宋体"/>
          <w:b w:val="0"/>
          <w:i w:val="0"/>
          <w:sz w:val="21"/>
        </w:rPr>
        <w:t>图 4-6-1　企业管理 主业务流程</w:t>
      </w:r>
    </w:p>
    <w:p>
      <w:pPr>
        <w:spacing w:before="0" w:after="60" w:line="360" w:lineRule="auto"/>
      </w:pPr>
      <w:r>
        <w:rPr>
          <w:rFonts w:ascii="Times New Roman" w:hAnsi="Times New Roman" w:eastAsia="宋体"/>
          <w:b/>
          <w:i w:val="0"/>
          <w:sz w:val="24"/>
        </w:rPr>
        <w:t>主流程步骤：</w:t>
      </w:r>
    </w:p>
    <w:p>
      <w:pPr>
        <w:spacing w:before="0" w:after="60" w:line="336" w:lineRule="auto"/>
        <w:ind w:left="510" w:hanging="510"/>
      </w:pPr>
      <w:r>
        <w:rPr>
          <w:rFonts w:ascii="Times New Roman" w:hAnsi="Times New Roman" w:eastAsia="宋体"/>
          <w:b w:val="0"/>
          <w:i w:val="0"/>
          <w:sz w:val="24"/>
        </w:rPr>
        <w:t>1. 企业管理员从准入管理新增客户或系统设置进入企业管理</w:t>
      </w:r>
    </w:p>
    <w:p>
      <w:pPr>
        <w:spacing w:before="0" w:after="60" w:line="336" w:lineRule="auto"/>
        <w:ind w:left="510" w:hanging="510"/>
      </w:pPr>
      <w:r>
        <w:rPr>
          <w:rFonts w:ascii="Times New Roman" w:hAnsi="Times New Roman" w:eastAsia="宋体"/>
          <w:b w:val="0"/>
          <w:i w:val="0"/>
          <w:sz w:val="24"/>
        </w:rPr>
        <w:t>2. 页面展示企业基础信息并支持维护企业名称、统一社会信用代码、法定代表人与注册资本</w:t>
      </w:r>
    </w:p>
    <w:p>
      <w:pPr>
        <w:spacing w:before="0" w:after="60" w:line="336" w:lineRule="auto"/>
        <w:ind w:left="510" w:hanging="510"/>
      </w:pPr>
      <w:r>
        <w:rPr>
          <w:rFonts w:ascii="Times New Roman" w:hAnsi="Times New Roman" w:eastAsia="宋体"/>
          <w:b w:val="0"/>
          <w:i w:val="0"/>
          <w:sz w:val="24"/>
        </w:rPr>
        <w:t>3. 管理员上传营业执照、开户许可证、行业资质等资质证书</w:t>
      </w:r>
    </w:p>
    <w:p>
      <w:pPr>
        <w:spacing w:before="0" w:after="60" w:line="336" w:lineRule="auto"/>
        <w:ind w:left="510" w:hanging="510"/>
      </w:pPr>
      <w:r>
        <w:rPr>
          <w:rFonts w:ascii="Times New Roman" w:hAnsi="Times New Roman" w:eastAsia="宋体"/>
          <w:b w:val="0"/>
          <w:i w:val="0"/>
          <w:sz w:val="24"/>
        </w:rPr>
        <w:t>4. 系统按证书有效期在到期前 30 天、7 天、1 天自动发出提醒</w:t>
      </w:r>
    </w:p>
    <w:p>
      <w:pPr>
        <w:spacing w:before="0" w:after="60" w:line="336" w:lineRule="auto"/>
        <w:ind w:left="510" w:hanging="510"/>
      </w:pPr>
      <w:r>
        <w:rPr>
          <w:rFonts w:ascii="Times New Roman" w:hAnsi="Times New Roman" w:eastAsia="宋体"/>
          <w:b w:val="0"/>
          <w:i w:val="0"/>
          <w:sz w:val="24"/>
        </w:rPr>
        <w:t>5. 企业认证状态在待认证、已认证、已过期三态之间实时跟踪</w:t>
      </w:r>
    </w:p>
    <w:p>
      <w:pPr>
        <w:spacing w:before="0" w:after="60" w:line="336" w:lineRule="auto"/>
        <w:ind w:left="510" w:hanging="510"/>
      </w:pPr>
      <w:r>
        <w:rPr>
          <w:rFonts w:ascii="Times New Roman" w:hAnsi="Times New Roman" w:eastAsia="宋体"/>
          <w:b w:val="0"/>
          <w:i w:val="0"/>
          <w:sz w:val="24"/>
        </w:rPr>
        <w:t>6. 管理员为本企业员工创建账号并分配所属部门与角色</w:t>
      </w:r>
    </w:p>
    <w:p>
      <w:pPr>
        <w:spacing w:before="0" w:after="60" w:line="336" w:lineRule="auto"/>
        <w:ind w:left="510" w:hanging="510"/>
      </w:pPr>
      <w:r>
        <w:rPr>
          <w:rFonts w:ascii="Times New Roman" w:hAnsi="Times New Roman" w:eastAsia="宋体"/>
          <w:b w:val="0"/>
          <w:i w:val="0"/>
          <w:sz w:val="24"/>
        </w:rPr>
        <w:t>7. 员工账号被禁用后登录被拦截并提示联系管理员</w:t>
      </w:r>
    </w:p>
    <w:p>
      <w:pPr>
        <w:spacing w:before="0" w:after="60" w:line="336" w:lineRule="auto"/>
        <w:ind w:left="510" w:hanging="510"/>
      </w:pPr>
      <w:r>
        <w:rPr>
          <w:rFonts w:ascii="Times New Roman" w:hAnsi="Times New Roman" w:eastAsia="宋体"/>
          <w:b w:val="0"/>
          <w:i w:val="0"/>
          <w:sz w:val="24"/>
        </w:rPr>
        <w:t>8. 管理员在操作日志中追溯全部修改、上传与删除留痕</w:t>
      </w:r>
    </w:p>
    <w:p>
      <w:pPr>
        <w:spacing w:before="120" w:after="60" w:line="360" w:lineRule="auto"/>
      </w:pPr>
      <w:r>
        <w:rPr>
          <w:rFonts w:ascii="Times New Roman" w:hAnsi="Times New Roman" w:eastAsia="宋体"/>
          <w:b/>
          <w:i w:val="0"/>
          <w:sz w:val="24"/>
        </w:rPr>
        <w:t>异常分支：</w:t>
      </w:r>
    </w:p>
    <w:tbl>
      <w:tblPr>
        <w:tblStyle w:val="TableGrid"/>
        <w:tblW w:type="auto" w:w="0"/>
        <w:jc w:val="center"/>
        <w:tblLayout w:type="fixed"/>
        <w:tblLook w:firstColumn="1" w:firstRow="1" w:lastColumn="0" w:lastRow="0" w:noHBand="0" w:noVBand="1" w:val="04A0"/>
      </w:tblPr>
      <w:tblGrid>
        <w:gridCol w:w="4479"/>
        <w:gridCol w:w="4479"/>
      </w:tblGrid>
      <w:tr>
        <w:trPr>
          <w:tblHeader w:val="true"/>
        </w:trPr>
        <w:tc>
          <w:tcPr>
            <w:tcW w:type="dxa" w:w="2835"/>
            <w:shd w:val="clear" w:color="auto" w:fill="DCE6F1"/>
          </w:tcPr>
          <w:p>
            <w:pPr>
              <w:spacing w:before="40" w:after="40" w:line="276" w:lineRule="auto"/>
              <w:jc w:val="center"/>
            </w:pPr>
            <w:r/>
            <w:r>
              <w:rPr>
                <w:rFonts w:ascii="Times New Roman" w:hAnsi="Times New Roman" w:eastAsia="黑体"/>
                <w:b/>
                <w:i w:val="0"/>
                <w:sz w:val="21"/>
              </w:rPr>
              <w:t>异常场景</w:t>
            </w:r>
          </w:p>
        </w:tc>
        <w:tc>
          <w:tcPr>
            <w:tcW w:type="dxa" w:w="6236"/>
            <w:shd w:val="clear" w:color="auto" w:fill="DCE6F1"/>
          </w:tcPr>
          <w:p>
            <w:pPr>
              <w:spacing w:before="40" w:after="40" w:line="276" w:lineRule="auto"/>
              <w:jc w:val="center"/>
            </w:pPr>
            <w:r/>
            <w:r>
              <w:rPr>
                <w:rFonts w:ascii="Times New Roman" w:hAnsi="Times New Roman" w:eastAsia="黑体"/>
                <w:b/>
                <w:i w:val="0"/>
                <w:sz w:val="21"/>
              </w:rPr>
              <w:t>系统处理</w:t>
            </w:r>
          </w:p>
        </w:tc>
      </w:tr>
      <w:tr>
        <w:tc>
          <w:tcPr>
            <w:tcW w:type="dxa" w:w="2835"/>
          </w:tcPr>
          <w:p>
            <w:pPr>
              <w:spacing w:before="20" w:after="20" w:line="276" w:lineRule="auto"/>
              <w:ind w:firstLine="0"/>
            </w:pPr>
            <w:r/>
            <w:r>
              <w:rPr>
                <w:rFonts w:ascii="Times New Roman" w:hAnsi="Times New Roman" w:eastAsia="宋体"/>
                <w:b w:val="0"/>
                <w:i w:val="0"/>
                <w:sz w:val="21"/>
              </w:rPr>
              <w:t>无权限访问</w:t>
            </w:r>
          </w:p>
        </w:tc>
        <w:tc>
          <w:tcPr>
            <w:tcW w:type="dxa" w:w="6236"/>
          </w:tcPr>
          <w:p>
            <w:pPr>
              <w:spacing w:before="20" w:after="20" w:line="276" w:lineRule="auto"/>
              <w:ind w:firstLine="0"/>
            </w:pPr>
            <w:r/>
            <w:r>
              <w:rPr>
                <w:rFonts w:ascii="Times New Roman" w:hAnsi="Times New Roman" w:eastAsia="宋体"/>
                <w:b w:val="0"/>
                <w:i w:val="0"/>
                <w:sz w:val="21"/>
              </w:rPr>
              <w:t>权限不足时按钮置灰并悬浮提示「无权限」；企业管理的数据范围限定为本企业</w:t>
            </w:r>
          </w:p>
        </w:tc>
      </w:tr>
      <w:tr>
        <w:tc>
          <w:tcPr>
            <w:tcW w:type="dxa" w:w="2835"/>
          </w:tcPr>
          <w:p>
            <w:pPr>
              <w:spacing w:before="20" w:after="20" w:line="276" w:lineRule="auto"/>
              <w:ind w:firstLine="0"/>
            </w:pPr>
            <w:r/>
            <w:r>
              <w:rPr>
                <w:rFonts w:ascii="Times New Roman" w:hAnsi="Times New Roman" w:eastAsia="宋体"/>
                <w:b w:val="0"/>
                <w:i w:val="0"/>
                <w:sz w:val="21"/>
              </w:rPr>
              <w:t>空数据</w:t>
            </w:r>
          </w:p>
        </w:tc>
        <w:tc>
          <w:tcPr>
            <w:tcW w:type="dxa" w:w="6236"/>
          </w:tcPr>
          <w:p>
            <w:pPr>
              <w:spacing w:before="20" w:after="20" w:line="276" w:lineRule="auto"/>
              <w:ind w:firstLine="0"/>
            </w:pPr>
            <w:r/>
            <w:r>
              <w:rPr>
                <w:rFonts w:ascii="Times New Roman" w:hAnsi="Times New Roman" w:eastAsia="宋体"/>
                <w:b w:val="0"/>
                <w:i w:val="0"/>
                <w:sz w:val="21"/>
              </w:rPr>
              <w:t>操作日志无记录时展示空状态；资质证书列表为空时提示先上传资质文件；本企业尚无员工账号时账号列表展示空态并引导新增</w:t>
            </w:r>
          </w:p>
        </w:tc>
      </w:tr>
      <w:tr>
        <w:tc>
          <w:tcPr>
            <w:tcW w:type="dxa" w:w="2835"/>
          </w:tcPr>
          <w:p>
            <w:pPr>
              <w:spacing w:before="20" w:after="20" w:line="276" w:lineRule="auto"/>
              <w:ind w:firstLine="0"/>
            </w:pPr>
            <w:r/>
            <w:r>
              <w:rPr>
                <w:rFonts w:ascii="Times New Roman" w:hAnsi="Times New Roman" w:eastAsia="宋体"/>
                <w:b w:val="0"/>
                <w:i w:val="0"/>
                <w:sz w:val="21"/>
              </w:rPr>
              <w:t>重复提交</w:t>
            </w:r>
          </w:p>
        </w:tc>
        <w:tc>
          <w:tcPr>
            <w:tcW w:type="dxa" w:w="6236"/>
          </w:tcPr>
          <w:p>
            <w:pPr>
              <w:spacing w:before="20" w:after="20" w:line="276" w:lineRule="auto"/>
              <w:ind w:firstLine="0"/>
            </w:pPr>
            <w:r/>
            <w:r>
              <w:rPr>
                <w:rFonts w:ascii="Times New Roman" w:hAnsi="Times New Roman" w:eastAsia="宋体"/>
                <w:b w:val="0"/>
                <w:i w:val="0"/>
                <w:sz w:val="21"/>
              </w:rPr>
              <w:t>所有保存动作在提交进行中按钮置为加载态并禁用，避免重复提交造成重复创建账号；账号 ID 由系统自动生成，不接受手工指定</w:t>
            </w:r>
          </w:p>
        </w:tc>
      </w:tr>
      <w:tr>
        <w:tc>
          <w:tcPr>
            <w:tcW w:type="dxa" w:w="2835"/>
          </w:tcPr>
          <w:p>
            <w:pPr>
              <w:spacing w:before="20" w:after="20" w:line="276" w:lineRule="auto"/>
              <w:ind w:firstLine="0"/>
            </w:pPr>
            <w:r/>
            <w:r>
              <w:rPr>
                <w:rFonts w:ascii="Times New Roman" w:hAnsi="Times New Roman" w:eastAsia="宋体"/>
                <w:b w:val="0"/>
                <w:i w:val="0"/>
                <w:sz w:val="21"/>
              </w:rPr>
              <w:t>接口失败</w:t>
            </w:r>
          </w:p>
        </w:tc>
        <w:tc>
          <w:tcPr>
            <w:tcW w:type="dxa" w:w="6236"/>
          </w:tcPr>
          <w:p>
            <w:pPr>
              <w:spacing w:before="20" w:after="20" w:line="276" w:lineRule="auto"/>
              <w:ind w:firstLine="0"/>
            </w:pPr>
            <w:r/>
            <w:r>
              <w:rPr>
                <w:rFonts w:ascii="Times New Roman" w:hAnsi="Times New Roman" w:eastAsia="宋体"/>
                <w:b w:val="0"/>
                <w:i w:val="0"/>
                <w:sz w:val="21"/>
              </w:rPr>
              <w:t>保存或上传失败时顶部红色提示并保留用户已填内容，按钮恢复可点；附件上传中断时提示「上传失败，请重新上传」</w:t>
            </w:r>
          </w:p>
        </w:tc>
      </w:tr>
      <w:tr>
        <w:tc>
          <w:tcPr>
            <w:tcW w:type="dxa" w:w="2835"/>
          </w:tcPr>
          <w:p>
            <w:pPr>
              <w:spacing w:before="20" w:after="20" w:line="276" w:lineRule="auto"/>
              <w:ind w:firstLine="0"/>
            </w:pPr>
            <w:r/>
            <w:r>
              <w:rPr>
                <w:rFonts w:ascii="Times New Roman" w:hAnsi="Times New Roman" w:eastAsia="宋体"/>
                <w:b w:val="0"/>
                <w:i w:val="0"/>
                <w:sz w:val="21"/>
              </w:rPr>
              <w:t>状态冲突</w:t>
            </w:r>
          </w:p>
        </w:tc>
        <w:tc>
          <w:tcPr>
            <w:tcW w:type="dxa" w:w="6236"/>
          </w:tcPr>
          <w:p>
            <w:pPr>
              <w:spacing w:before="20" w:after="20" w:line="276" w:lineRule="auto"/>
              <w:ind w:firstLine="0"/>
            </w:pPr>
            <w:r/>
            <w:r>
              <w:rPr>
                <w:rFonts w:ascii="Times New Roman" w:hAnsi="Times New Roman" w:eastAsia="宋体"/>
                <w:b w:val="0"/>
                <w:i w:val="0"/>
                <w:sz w:val="21"/>
              </w:rPr>
              <w:t>账号状态为禁用时不可分配角色与执行管理操作；账号被禁用后登录被拦截并提示「该账号已禁用，请联系管理员」；企业认证状态为已过期时须重新提交认证材料才能回到已认证</w:t>
            </w:r>
          </w:p>
        </w:tc>
      </w:tr>
      <w:tr>
        <w:tc>
          <w:tcPr>
            <w:tcW w:type="dxa" w:w="2835"/>
          </w:tcPr>
          <w:p>
            <w:pPr>
              <w:spacing w:before="20" w:after="20" w:line="276" w:lineRule="auto"/>
              <w:ind w:firstLine="0"/>
            </w:pPr>
            <w:r/>
            <w:r>
              <w:rPr>
                <w:rFonts w:ascii="Times New Roman" w:hAnsi="Times New Roman" w:eastAsia="宋体"/>
                <w:b w:val="0"/>
                <w:i w:val="0"/>
                <w:sz w:val="21"/>
              </w:rPr>
              <w:t>超限</w:t>
            </w:r>
          </w:p>
        </w:tc>
        <w:tc>
          <w:tcPr>
            <w:tcW w:type="dxa" w:w="6236"/>
          </w:tcPr>
          <w:p>
            <w:pPr>
              <w:spacing w:before="20" w:after="20" w:line="276" w:lineRule="auto"/>
              <w:ind w:firstLine="0"/>
            </w:pPr>
            <w:r/>
            <w:r>
              <w:rPr>
                <w:rFonts w:ascii="Times New Roman" w:hAnsi="Times New Roman" w:eastAsia="宋体"/>
                <w:b w:val="0"/>
                <w:i w:val="0"/>
                <w:sz w:val="21"/>
              </w:rPr>
              <w:t>操作日志单次最多展示 50 条，超出部分滚动加载；证书到期提醒节点固定为 30 天、7 天、1 天，不额外增加提醒频次</w:t>
            </w:r>
          </w:p>
        </w:tc>
      </w:tr>
    </w:tbl>
    <w:p>
      <w:pPr>
        <w:spacing w:before="0" w:after="0" w:line="240" w:lineRule="auto"/>
      </w:pPr>
    </w:p>
    <w:p>
      <w:pPr>
        <w:spacing w:before="120" w:after="60"/>
        <w:ind w:firstLine="0"/>
        <w:jc w:val="center"/>
      </w:pPr>
      <w:r>
        <w:drawing>
          <wp:inline xmlns:a="http://schemas.openxmlformats.org/drawingml/2006/main" xmlns:pic="http://schemas.openxmlformats.org/drawingml/2006/picture">
            <wp:extent cx="5616000" cy="3334500"/>
            <wp:docPr id="12" name="Picture 12"/>
            <wp:cNvGraphicFramePr>
              <a:graphicFrameLocks noChangeAspect="1"/>
            </wp:cNvGraphicFramePr>
            <a:graphic>
              <a:graphicData uri="http://schemas.openxmlformats.org/drawingml/2006/picture">
                <pic:pic>
                  <pic:nvPicPr>
                    <pic:cNvPr id="0" name="account-company.png"/>
                    <pic:cNvPicPr/>
                  </pic:nvPicPr>
                  <pic:blipFill>
                    <a:blip r:embed="rId22"/>
                    <a:stretch>
                      <a:fillRect/>
                    </a:stretch>
                  </pic:blipFill>
                  <pic:spPr>
                    <a:xfrm>
                      <a:off x="0" y="0"/>
                      <a:ext cx="5616000" cy="3334500"/>
                    </a:xfrm>
                    <a:prstGeom prst="rect"/>
                  </pic:spPr>
                </pic:pic>
              </a:graphicData>
            </a:graphic>
          </wp:inline>
        </w:drawing>
      </w:r>
    </w:p>
    <w:p>
      <w:pPr>
        <w:spacing w:before="0" w:after="200" w:line="240" w:lineRule="auto"/>
        <w:ind w:firstLine="0"/>
        <w:jc w:val="center"/>
      </w:pPr>
      <w:r>
        <w:rPr>
          <w:rFonts w:ascii="Times New Roman" w:hAnsi="Times New Roman" w:eastAsia="宋体"/>
          <w:b w:val="0"/>
          <w:i w:val="0"/>
          <w:sz w:val="21"/>
        </w:rPr>
        <w:t>图 4-6-2　企业管理 原型页面</w:t>
      </w:r>
    </w:p>
    <w:p>
      <w:pPr>
        <w:spacing w:before="80" w:after="60" w:line="360" w:lineRule="auto"/>
      </w:pPr>
      <w:r>
        <w:rPr>
          <w:rFonts w:ascii="Times New Roman" w:hAnsi="Times New Roman" w:eastAsia="宋体"/>
          <w:b/>
          <w:i w:val="0"/>
          <w:sz w:val="24"/>
        </w:rPr>
        <w:t>页面级说明：</w:t>
      </w: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tblGrid>
      <w:tr>
        <w:trPr>
          <w:tblHeader w:val="true"/>
        </w:trPr>
        <w:tc>
          <w:tcPr>
            <w:tcW w:type="dxa" w:w="1178"/>
            <w:shd w:val="clear" w:color="auto" w:fill="DCE6F1"/>
          </w:tcPr>
          <w:p>
            <w:pPr>
              <w:spacing w:before="40" w:after="40" w:line="276" w:lineRule="auto"/>
              <w:jc w:val="center"/>
            </w:pPr>
            <w:r/>
            <w:r>
              <w:rPr>
                <w:rFonts w:ascii="Times New Roman" w:hAnsi="Times New Roman" w:eastAsia="黑体"/>
                <w:b/>
                <w:i w:val="0"/>
                <w:sz w:val="19"/>
              </w:rPr>
              <w:t>页面</w:t>
            </w:r>
          </w:p>
        </w:tc>
        <w:tc>
          <w:tcPr>
            <w:tcW w:type="dxa" w:w="1531"/>
            <w:shd w:val="clear" w:color="auto" w:fill="DCE6F1"/>
          </w:tcPr>
          <w:p>
            <w:pPr>
              <w:spacing w:before="40" w:after="40" w:line="276" w:lineRule="auto"/>
              <w:jc w:val="center"/>
            </w:pPr>
            <w:r/>
            <w:r>
              <w:rPr>
                <w:rFonts w:ascii="Times New Roman" w:hAnsi="Times New Roman" w:eastAsia="黑体"/>
                <w:b/>
                <w:i w:val="0"/>
                <w:sz w:val="19"/>
              </w:rPr>
              <w:t>原型文件</w:t>
            </w:r>
          </w:p>
        </w:tc>
        <w:tc>
          <w:tcPr>
            <w:tcW w:type="dxa" w:w="1119"/>
            <w:shd w:val="clear" w:color="auto" w:fill="DCE6F1"/>
          </w:tcPr>
          <w:p>
            <w:pPr>
              <w:spacing w:before="40" w:after="40" w:line="276" w:lineRule="auto"/>
              <w:jc w:val="center"/>
            </w:pPr>
            <w:r/>
            <w:r>
              <w:rPr>
                <w:rFonts w:ascii="Times New Roman" w:hAnsi="Times New Roman" w:eastAsia="黑体"/>
                <w:b/>
                <w:i w:val="0"/>
                <w:sz w:val="19"/>
              </w:rPr>
              <w:t>进入方式</w:t>
            </w:r>
          </w:p>
        </w:tc>
        <w:tc>
          <w:tcPr>
            <w:tcW w:type="dxa" w:w="2062"/>
            <w:shd w:val="clear" w:color="auto" w:fill="DCE6F1"/>
          </w:tcPr>
          <w:p>
            <w:pPr>
              <w:spacing w:before="40" w:after="40" w:line="276" w:lineRule="auto"/>
              <w:jc w:val="center"/>
            </w:pPr>
            <w:r/>
            <w:r>
              <w:rPr>
                <w:rFonts w:ascii="Times New Roman" w:hAnsi="Times New Roman" w:eastAsia="黑体"/>
                <w:b/>
                <w:i w:val="0"/>
                <w:sz w:val="19"/>
              </w:rPr>
              <w:t>关键区块</w:t>
            </w:r>
          </w:p>
        </w:tc>
        <w:tc>
          <w:tcPr>
            <w:tcW w:type="dxa" w:w="1767"/>
            <w:shd w:val="clear" w:color="auto" w:fill="DCE6F1"/>
          </w:tcPr>
          <w:p>
            <w:pPr>
              <w:spacing w:before="40" w:after="40" w:line="276" w:lineRule="auto"/>
              <w:jc w:val="center"/>
            </w:pPr>
            <w:r/>
            <w:r>
              <w:rPr>
                <w:rFonts w:ascii="Times New Roman" w:hAnsi="Times New Roman" w:eastAsia="黑体"/>
                <w:b/>
                <w:i w:val="0"/>
                <w:sz w:val="19"/>
              </w:rPr>
              <w:t>主要按钮与行为</w:t>
            </w:r>
          </w:p>
        </w:tc>
        <w:tc>
          <w:tcPr>
            <w:tcW w:type="dxa" w:w="1414"/>
            <w:shd w:val="clear" w:color="auto" w:fill="DCE6F1"/>
          </w:tcPr>
          <w:p>
            <w:pPr>
              <w:spacing w:before="40" w:after="40" w:line="276" w:lineRule="auto"/>
              <w:jc w:val="center"/>
            </w:pPr>
            <w:r/>
            <w:r>
              <w:rPr>
                <w:rFonts w:ascii="Times New Roman" w:hAnsi="Times New Roman" w:eastAsia="黑体"/>
                <w:b/>
                <w:i w:val="0"/>
                <w:sz w:val="19"/>
              </w:rPr>
              <w:t>跳转去向</w:t>
            </w:r>
          </w:p>
        </w:tc>
      </w:tr>
      <w:tr>
        <w:tc>
          <w:tcPr>
            <w:tcW w:type="dxa" w:w="1178"/>
          </w:tcPr>
          <w:p>
            <w:pPr>
              <w:spacing w:before="20" w:after="20" w:line="276" w:lineRule="auto"/>
              <w:ind w:firstLine="0"/>
            </w:pPr>
            <w:r/>
            <w:r>
              <w:rPr>
                <w:rFonts w:ascii="Times New Roman" w:hAnsi="Times New Roman" w:eastAsia="宋体"/>
                <w:b w:val="0"/>
                <w:i w:val="0"/>
                <w:sz w:val="19"/>
              </w:rPr>
              <w:t>企业管理页</w:t>
            </w:r>
          </w:p>
        </w:tc>
        <w:tc>
          <w:tcPr>
            <w:tcW w:type="dxa" w:w="1531"/>
          </w:tcPr>
          <w:p>
            <w:pPr>
              <w:spacing w:before="20" w:after="20" w:line="276" w:lineRule="auto"/>
              <w:ind w:firstLine="0"/>
            </w:pPr>
            <w:r/>
            <w:r>
              <w:rPr>
                <w:rFonts w:ascii="Times New Roman" w:hAnsi="Times New Roman" w:eastAsia="宋体"/>
                <w:b w:val="0"/>
                <w:i w:val="0"/>
                <w:sz w:val="19"/>
              </w:rPr>
              <w:t>account-company.html</w:t>
            </w:r>
          </w:p>
        </w:tc>
        <w:tc>
          <w:tcPr>
            <w:tcW w:type="dxa" w:w="1119"/>
          </w:tcPr>
          <w:p>
            <w:pPr>
              <w:spacing w:before="20" w:after="20" w:line="276" w:lineRule="auto"/>
              <w:ind w:firstLine="0"/>
            </w:pPr>
            <w:r/>
            <w:r>
              <w:rPr>
                <w:rFonts w:ascii="Times New Roman" w:hAnsi="Times New Roman" w:eastAsia="宋体"/>
                <w:b w:val="0"/>
                <w:i w:val="0"/>
                <w:sz w:val="19"/>
              </w:rPr>
              <w:t>准入管理新增客户 → 创建管理员账号；或系统设置 → 角色权限配置</w:t>
            </w:r>
          </w:p>
        </w:tc>
        <w:tc>
          <w:tcPr>
            <w:tcW w:type="dxa" w:w="2062"/>
          </w:tcPr>
          <w:p>
            <w:pPr>
              <w:spacing w:before="20" w:after="20" w:line="276" w:lineRule="auto"/>
              <w:ind w:firstLine="0"/>
            </w:pPr>
            <w:r/>
            <w:r>
              <w:rPr>
                <w:rFonts w:ascii="Times New Roman" w:hAnsi="Times New Roman" w:eastAsia="宋体"/>
                <w:b w:val="0"/>
                <w:i w:val="0"/>
                <w:sz w:val="19"/>
              </w:rPr>
              <w:t>面包屑（账户中心 / 企业账户 / 企业中心）、标题区与「新增企业中心」主操作、功能建设中的缺省区块（企业基础信息维护、资质证书上传管理、证书到期自动提醒、企业认证状态跟踪、操作日志与变更记录 5 项预期能力）</w:t>
            </w:r>
          </w:p>
        </w:tc>
        <w:tc>
          <w:tcPr>
            <w:tcW w:type="dxa" w:w="1767"/>
          </w:tcPr>
          <w:p>
            <w:pPr>
              <w:spacing w:before="20" w:after="20" w:line="276" w:lineRule="auto"/>
              <w:ind w:firstLine="0"/>
            </w:pPr>
            <w:r/>
            <w:r>
              <w:rPr>
                <w:rFonts w:ascii="Times New Roman" w:hAnsi="Times New Roman" w:eastAsia="宋体"/>
                <w:b w:val="0"/>
                <w:i w:val="0"/>
                <w:sz w:val="19"/>
              </w:rPr>
              <w:t>新增企业中心；缺省区块列出 5 项预期能力，页面结构与线上功能保持一致</w:t>
            </w:r>
          </w:p>
        </w:tc>
        <w:tc>
          <w:tcPr>
            <w:tcW w:type="dxa" w:w="1414"/>
          </w:tcPr>
          <w:p>
            <w:pPr>
              <w:spacing w:before="20" w:after="20" w:line="276" w:lineRule="auto"/>
              <w:ind w:firstLine="0"/>
            </w:pPr>
            <w:r/>
            <w:r>
              <w:rPr>
                <w:rFonts w:ascii="Times New Roman" w:hAnsi="Times New Roman" w:eastAsia="宋体"/>
                <w:b w:val="0"/>
                <w:i w:val="0"/>
                <w:sz w:val="19"/>
              </w:rPr>
              <w:t>页面当前为缺省状态；操作日志详情页与角色权限配置页在页面清单中尚未提供，跳转目标待业务方确认</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4.6.8　验收标准与待确认项</w:t>
      </w:r>
    </w:p>
    <w:tbl>
      <w:tblPr>
        <w:tblStyle w:val="TableGrid"/>
        <w:tblW w:type="auto" w:w="0"/>
        <w:jc w:val="center"/>
        <w:tblLayout w:type="fixed"/>
        <w:tblLook w:firstColumn="1" w:firstRow="1" w:lastColumn="0" w:lastRow="0" w:noHBand="0" w:noVBand="1" w:val="04A0"/>
      </w:tblPr>
      <w:tblGrid>
        <w:gridCol w:w="4479"/>
        <w:gridCol w:w="4479"/>
      </w:tblGrid>
      <w:tr>
        <w:trPr>
          <w:tblHeader w:val="true"/>
        </w:trPr>
        <w:tc>
          <w:tcPr>
            <w:tcW w:type="dxa" w:w="1701"/>
            <w:shd w:val="clear" w:color="auto" w:fill="DCE6F1"/>
          </w:tcPr>
          <w:p>
            <w:pPr>
              <w:spacing w:before="40" w:after="40" w:line="276" w:lineRule="auto"/>
              <w:jc w:val="center"/>
            </w:pPr>
            <w:r/>
            <w:r>
              <w:rPr>
                <w:rFonts w:ascii="Times New Roman" w:hAnsi="Times New Roman" w:eastAsia="黑体"/>
                <w:b/>
                <w:i w:val="0"/>
                <w:sz w:val="21"/>
              </w:rPr>
              <w:t>功能</w:t>
            </w:r>
          </w:p>
        </w:tc>
        <w:tc>
          <w:tcPr>
            <w:tcW w:type="dxa" w:w="7370"/>
            <w:shd w:val="clear" w:color="auto" w:fill="DCE6F1"/>
          </w:tcPr>
          <w:p>
            <w:pPr>
              <w:spacing w:before="40" w:after="40" w:line="276" w:lineRule="auto"/>
              <w:jc w:val="center"/>
            </w:pPr>
            <w:r/>
            <w:r>
              <w:rPr>
                <w:rFonts w:ascii="Times New Roman" w:hAnsi="Times New Roman" w:eastAsia="黑体"/>
                <w:b/>
                <w:i w:val="0"/>
                <w:sz w:val="21"/>
              </w:rPr>
              <w:t>验收要点（由关键规则转写）</w:t>
            </w:r>
          </w:p>
        </w:tc>
      </w:tr>
      <w:tr>
        <w:tc>
          <w:tcPr>
            <w:tcW w:type="dxa" w:w="1701"/>
          </w:tcPr>
          <w:p>
            <w:pPr>
              <w:spacing w:before="20" w:after="20" w:line="276" w:lineRule="auto"/>
              <w:ind w:firstLine="0"/>
            </w:pPr>
            <w:r/>
            <w:r>
              <w:rPr>
                <w:rFonts w:ascii="Times New Roman" w:hAnsi="Times New Roman" w:eastAsia="宋体"/>
                <w:b w:val="0"/>
                <w:i w:val="0"/>
                <w:sz w:val="21"/>
              </w:rPr>
              <w:t>企业基础信息维护</w:t>
            </w:r>
          </w:p>
        </w:tc>
        <w:tc>
          <w:tcPr>
            <w:tcW w:type="dxa" w:w="7370"/>
          </w:tcPr>
          <w:p>
            <w:pPr>
              <w:spacing w:before="20" w:after="20" w:line="276" w:lineRule="auto"/>
              <w:ind w:firstLine="0"/>
            </w:pPr>
            <w:r/>
            <w:r>
              <w:rPr>
                <w:rFonts w:ascii="Times New Roman" w:hAnsi="Times New Roman" w:eastAsia="宋体"/>
                <w:b w:val="0"/>
                <w:i w:val="0"/>
                <w:sz w:val="21"/>
              </w:rPr>
              <w:t>企业主体信息应与营业执照一致；账号 ID 由系统自动生成；员工账号的状态仅取启用与禁用两态；账号被禁用后登录被拦截。</w:t>
            </w:r>
          </w:p>
        </w:tc>
      </w:tr>
      <w:tr>
        <w:tc>
          <w:tcPr>
            <w:tcW w:type="dxa" w:w="1701"/>
          </w:tcPr>
          <w:p>
            <w:pPr>
              <w:spacing w:before="20" w:after="20" w:line="276" w:lineRule="auto"/>
              <w:ind w:firstLine="0"/>
            </w:pPr>
            <w:r/>
            <w:r>
              <w:rPr>
                <w:rFonts w:ascii="Times New Roman" w:hAnsi="Times New Roman" w:eastAsia="宋体"/>
                <w:b w:val="0"/>
                <w:i w:val="0"/>
                <w:sz w:val="21"/>
              </w:rPr>
              <w:t>员工账号与角色分配</w:t>
            </w:r>
          </w:p>
        </w:tc>
        <w:tc>
          <w:tcPr>
            <w:tcW w:type="dxa" w:w="7370"/>
          </w:tcPr>
          <w:p>
            <w:pPr>
              <w:spacing w:before="20" w:after="20" w:line="276" w:lineRule="auto"/>
              <w:ind w:firstLine="0"/>
            </w:pPr>
            <w:r/>
            <w:r>
              <w:rPr>
                <w:rFonts w:ascii="Times New Roman" w:hAnsi="Times New Roman" w:eastAsia="宋体"/>
                <w:b w:val="0"/>
                <w:i w:val="0"/>
                <w:sz w:val="21"/>
              </w:rPr>
              <w:t>所属部门取值为业务部、风控部、财务部、总经理办公室；角色取值为客户管理员、业务操作员、风控审核员、财务操作员、系统管理员；账号状态为禁用时不可分配角色与执行管理操作；保存动作进行中按钮置为加载态并禁用。</w:t>
            </w:r>
          </w:p>
        </w:tc>
      </w:tr>
      <w:tr>
        <w:tc>
          <w:tcPr>
            <w:tcW w:type="dxa" w:w="1701"/>
          </w:tcPr>
          <w:p>
            <w:pPr>
              <w:spacing w:before="20" w:after="20" w:line="276" w:lineRule="auto"/>
              <w:ind w:firstLine="0"/>
            </w:pPr>
            <w:r/>
            <w:r>
              <w:rPr>
                <w:rFonts w:ascii="Times New Roman" w:hAnsi="Times New Roman" w:eastAsia="宋体"/>
                <w:b w:val="0"/>
                <w:i w:val="0"/>
                <w:sz w:val="21"/>
              </w:rPr>
              <w:t>资质证书上传管理</w:t>
            </w:r>
          </w:p>
        </w:tc>
        <w:tc>
          <w:tcPr>
            <w:tcW w:type="dxa" w:w="7370"/>
          </w:tcPr>
          <w:p>
            <w:pPr>
              <w:spacing w:before="20" w:after="20" w:line="276" w:lineRule="auto"/>
              <w:ind w:firstLine="0"/>
            </w:pPr>
            <w:r/>
            <w:r>
              <w:rPr>
                <w:rFonts w:ascii="Times New Roman" w:hAnsi="Times New Roman" w:eastAsia="宋体"/>
                <w:b w:val="0"/>
                <w:i w:val="0"/>
                <w:sz w:val="21"/>
              </w:rPr>
              <w:t>证书类型固定为营业执照、开户许可证、行业资质、其他证明文件四类；系统按证书有效期在到期前 30 天、7 天、1 天自动发出提醒；上传失败时保留已填内容并提示重传。</w:t>
            </w:r>
          </w:p>
        </w:tc>
      </w:tr>
      <w:tr>
        <w:tc>
          <w:tcPr>
            <w:tcW w:type="dxa" w:w="1701"/>
          </w:tcPr>
          <w:p>
            <w:pPr>
              <w:spacing w:before="20" w:after="20" w:line="276" w:lineRule="auto"/>
              <w:ind w:firstLine="0"/>
            </w:pPr>
            <w:r/>
            <w:r>
              <w:rPr>
                <w:rFonts w:ascii="Times New Roman" w:hAnsi="Times New Roman" w:eastAsia="宋体"/>
                <w:b w:val="0"/>
                <w:i w:val="0"/>
                <w:sz w:val="21"/>
              </w:rPr>
              <w:t>证书到期自动提醒</w:t>
            </w:r>
          </w:p>
        </w:tc>
        <w:tc>
          <w:tcPr>
            <w:tcW w:type="dxa" w:w="7370"/>
          </w:tcPr>
          <w:p>
            <w:pPr>
              <w:spacing w:before="20" w:after="20" w:line="276" w:lineRule="auto"/>
              <w:ind w:firstLine="0"/>
            </w:pPr>
            <w:r/>
            <w:r>
              <w:rPr>
                <w:rFonts w:ascii="Times New Roman" w:hAnsi="Times New Roman" w:eastAsia="宋体"/>
                <w:b w:val="0"/>
                <w:i w:val="0"/>
                <w:sz w:val="21"/>
              </w:rPr>
              <w:t>提醒节点固定为到期前 30 天、7 天、1 天三个；提醒仅对已上传且有有效期的证书生成；证书到期后企业认证状态随之变为已过期。</w:t>
            </w:r>
          </w:p>
        </w:tc>
      </w:tr>
      <w:tr>
        <w:tc>
          <w:tcPr>
            <w:tcW w:type="dxa" w:w="1701"/>
          </w:tcPr>
          <w:p>
            <w:pPr>
              <w:spacing w:before="20" w:after="20" w:line="276" w:lineRule="auto"/>
              <w:ind w:firstLine="0"/>
            </w:pPr>
            <w:r/>
            <w:r>
              <w:rPr>
                <w:rFonts w:ascii="Times New Roman" w:hAnsi="Times New Roman" w:eastAsia="宋体"/>
                <w:b w:val="0"/>
                <w:i w:val="0"/>
                <w:sz w:val="21"/>
              </w:rPr>
              <w:t>企业认证状态跟踪</w:t>
            </w:r>
          </w:p>
        </w:tc>
        <w:tc>
          <w:tcPr>
            <w:tcW w:type="dxa" w:w="7370"/>
          </w:tcPr>
          <w:p>
            <w:pPr>
              <w:spacing w:before="20" w:after="20" w:line="276" w:lineRule="auto"/>
              <w:ind w:firstLine="0"/>
            </w:pPr>
            <w:r/>
            <w:r>
              <w:rPr>
                <w:rFonts w:ascii="Times New Roman" w:hAnsi="Times New Roman" w:eastAsia="宋体"/>
                <w:b w:val="0"/>
                <w:i w:val="0"/>
                <w:sz w:val="21"/>
              </w:rPr>
              <w:t>认证状态固定为待认证、已认证、已过期三态；状态为已过期时需重新提交认证材料才能回到已认证；状态变更实时更新。</w:t>
            </w:r>
          </w:p>
        </w:tc>
      </w:tr>
      <w:tr>
        <w:tc>
          <w:tcPr>
            <w:tcW w:type="dxa" w:w="1701"/>
          </w:tcPr>
          <w:p>
            <w:pPr>
              <w:spacing w:before="20" w:after="20" w:line="276" w:lineRule="auto"/>
              <w:ind w:firstLine="0"/>
            </w:pPr>
            <w:r/>
            <w:r>
              <w:rPr>
                <w:rFonts w:ascii="Times New Roman" w:hAnsi="Times New Roman" w:eastAsia="宋体"/>
                <w:b w:val="0"/>
                <w:i w:val="0"/>
                <w:sz w:val="21"/>
              </w:rPr>
              <w:t>操作日志与变更记录</w:t>
            </w:r>
          </w:p>
        </w:tc>
        <w:tc>
          <w:tcPr>
            <w:tcW w:type="dxa" w:w="7370"/>
          </w:tcPr>
          <w:p>
            <w:pPr>
              <w:spacing w:before="20" w:after="20" w:line="276" w:lineRule="auto"/>
              <w:ind w:firstLine="0"/>
            </w:pPr>
            <w:r/>
            <w:r>
              <w:rPr>
                <w:rFonts w:ascii="Times New Roman" w:hAnsi="Times New Roman" w:eastAsia="宋体"/>
                <w:b w:val="0"/>
                <w:i w:val="0"/>
                <w:sz w:val="21"/>
              </w:rPr>
              <w:t>日志需覆盖修改、上传、删除三类动作；单次最多展示 50 条，超出部分滚动加载；账号被禁用时登录拦截并提示「该账号已禁用，请联系管理员」。</w:t>
            </w:r>
          </w:p>
        </w:tc>
      </w:tr>
    </w:tbl>
    <w:p>
      <w:pPr>
        <w:spacing w:before="0" w:after="0" w:line="240" w:lineRule="auto"/>
      </w:pPr>
    </w:p>
    <w:p>
      <w:pPr>
        <w:spacing w:before="120" w:after="60" w:line="360" w:lineRule="auto"/>
      </w:pPr>
      <w:r>
        <w:rPr>
          <w:rFonts w:ascii="Times New Roman" w:hAnsi="Times New Roman" w:eastAsia="宋体"/>
          <w:b/>
          <w:i w:val="0"/>
          <w:sz w:val="24"/>
        </w:rPr>
        <w:t>待业务方确认：</w:t>
      </w:r>
    </w:p>
    <w:p>
      <w:pPr>
        <w:spacing w:before="0" w:after="60" w:line="336" w:lineRule="auto"/>
        <w:ind w:left="340" w:firstLine="0"/>
      </w:pPr>
      <w:r>
        <w:rPr>
          <w:rFonts w:ascii="Times New Roman" w:hAnsi="Times New Roman" w:eastAsia="宋体"/>
          <w:b w:val="0"/>
          <w:i w:val="0"/>
          <w:sz w:val="24"/>
        </w:rPr>
        <w:t>· 待业务方确认：企业管理本期交付的功能点与页面结构，当前页面为功能建设中的缺省状态，仅列出 5 项预期能力</w:t>
      </w:r>
    </w:p>
    <w:p>
      <w:pPr>
        <w:spacing w:before="0" w:after="60" w:line="336" w:lineRule="auto"/>
        <w:ind w:left="340" w:firstLine="0"/>
      </w:pPr>
      <w:r>
        <w:rPr>
          <w:rFonts w:ascii="Times New Roman" w:hAnsi="Times New Roman" w:eastAsia="宋体"/>
          <w:b w:val="0"/>
          <w:i w:val="0"/>
          <w:sz w:val="24"/>
        </w:rPr>
        <w:t>· 待业务方确认：员工账号的角色枚举与权限分配的最终取值，现有取值来自线上系统口径，原型尚未实施</w:t>
      </w:r>
    </w:p>
    <w:p>
      <w:pPr>
        <w:spacing w:before="0" w:after="60" w:line="336" w:lineRule="auto"/>
        <w:ind w:left="340" w:firstLine="0"/>
      </w:pPr>
      <w:r>
        <w:rPr>
          <w:rFonts w:ascii="Times New Roman" w:hAnsi="Times New Roman" w:eastAsia="宋体"/>
          <w:b w:val="0"/>
          <w:i w:val="0"/>
          <w:sz w:val="24"/>
        </w:rPr>
        <w:t>· 待业务方确认：页面标题与面包屑的最终命名，文档口径为「企业账户管理」，原型页面为「企业中心」</w:t>
      </w:r>
    </w:p>
    <w:p>
      <w:pPr>
        <w:spacing w:before="0" w:after="60" w:line="336" w:lineRule="auto"/>
        <w:ind w:left="340" w:firstLine="0"/>
      </w:pPr>
      <w:r>
        <w:rPr>
          <w:rFonts w:ascii="Times New Roman" w:hAnsi="Times New Roman" w:eastAsia="宋体"/>
          <w:b w:val="0"/>
          <w:i w:val="0"/>
          <w:sz w:val="24"/>
        </w:rPr>
        <w:t>· 待业务方确认：操作日志详情页是否纳入本期交付范围，文档记为后续迭代，页面清单中尚无该页</w:t>
      </w:r>
    </w:p>
    <w:p>
      <w:pPr>
        <w:spacing w:before="0" w:after="60" w:line="336" w:lineRule="auto"/>
        <w:ind w:left="340" w:firstLine="0"/>
      </w:pPr>
      <w:r>
        <w:rPr>
          <w:rFonts w:ascii="Times New Roman" w:hAnsi="Times New Roman" w:eastAsia="宋体"/>
          <w:b w:val="0"/>
          <w:i w:val="0"/>
          <w:sz w:val="24"/>
        </w:rPr>
        <w:t>· 待业务方确认：员工账号的创建入口是否仅在准入管理新增客户时触发，还是在企业管理页独立提供</w:t>
      </w:r>
    </w:p>
    <w:p>
      <w:r>
        <w:br w:type="page"/>
      </w:r>
    </w:p>
    <w:p>
      <w:pPr>
        <w:pStyle w:val="Heading2"/>
        <w:keepNext/>
        <w:spacing w:before="240" w:after="120" w:line="312" w:lineRule="auto"/>
        <w:ind w:firstLine="0"/>
      </w:pPr>
      <w:r>
        <w:rPr>
          <w:rFonts w:ascii="Times New Roman" w:hAnsi="Times New Roman" w:eastAsia="黑体"/>
          <w:b/>
          <w:i w:val="0"/>
          <w:sz w:val="28"/>
        </w:rPr>
        <w:t>4.7　合同管理</w:t>
      </w:r>
    </w:p>
    <w:p>
      <w:pPr>
        <w:spacing w:before="0" w:after="160" w:line="360" w:lineRule="auto"/>
      </w:pPr>
      <w:r>
        <w:rPr>
          <w:rFonts w:ascii="Times New Roman" w:hAnsi="Times New Roman" w:eastAsia="宋体"/>
          <w:b w:val="0"/>
          <w:i w:val="0"/>
          <w:color w:val="595959"/>
          <w:sz w:val="21"/>
        </w:rPr>
        <w:t>菜单路径：数字供应链 / 合同管理</w:t>
      </w:r>
    </w:p>
    <w:p>
      <w:pPr>
        <w:pStyle w:val="Heading3"/>
        <w:keepNext/>
        <w:spacing w:before="160" w:after="80" w:line="312" w:lineRule="auto"/>
        <w:ind w:firstLine="0"/>
      </w:pPr>
      <w:r>
        <w:rPr>
          <w:rFonts w:ascii="Times New Roman" w:hAnsi="Times New Roman" w:eastAsia="黑体"/>
          <w:b/>
          <w:i w:val="0"/>
          <w:sz w:val="24"/>
        </w:rPr>
        <w:t>4.7.1　一页结论</w:t>
      </w:r>
    </w:p>
    <w:p>
      <w:pPr>
        <w:spacing w:before="0" w:after="120" w:line="360" w:lineRule="auto"/>
      </w:pPr>
      <w:r>
        <w:rPr>
          <w:rFonts w:ascii="Times New Roman" w:hAnsi="Times New Roman" w:eastAsia="宋体"/>
          <w:b w:val="0"/>
          <w:i w:val="0"/>
          <w:sz w:val="24"/>
        </w:rPr>
        <w:t>承载采购、销售、运输三类合同与补充协议的全生命周期，把线下用印流程线上化登记，成为下游单据的统一关联主线。</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928"/>
            <w:shd w:val="clear" w:color="auto" w:fill="DCE6F1"/>
          </w:tcPr>
          <w:p>
            <w:pPr>
              <w:spacing w:before="40" w:after="40" w:line="276" w:lineRule="auto"/>
              <w:jc w:val="center"/>
            </w:pPr>
            <w:r/>
            <w:r>
              <w:rPr>
                <w:rFonts w:ascii="Times New Roman" w:hAnsi="Times New Roman" w:eastAsia="黑体"/>
                <w:b/>
                <w:i w:val="0"/>
                <w:sz w:val="21"/>
              </w:rPr>
              <w:t>问题</w:t>
            </w:r>
          </w:p>
        </w:tc>
        <w:tc>
          <w:tcPr>
            <w:tcW w:type="dxa" w:w="3572"/>
            <w:shd w:val="clear" w:color="auto" w:fill="DCE6F1"/>
          </w:tcPr>
          <w:p>
            <w:pPr>
              <w:spacing w:before="40" w:after="40" w:line="276" w:lineRule="auto"/>
              <w:jc w:val="center"/>
            </w:pPr>
            <w:r/>
            <w:r>
              <w:rPr>
                <w:rFonts w:ascii="Times New Roman" w:hAnsi="Times New Roman" w:eastAsia="黑体"/>
                <w:b/>
                <w:i w:val="0"/>
                <w:sz w:val="21"/>
              </w:rPr>
              <w:t>当前做法</w:t>
            </w:r>
          </w:p>
        </w:tc>
        <w:tc>
          <w:tcPr>
            <w:tcW w:type="dxa" w:w="3572"/>
            <w:shd w:val="clear" w:color="auto" w:fill="DCE6F1"/>
          </w:tcPr>
          <w:p>
            <w:pPr>
              <w:spacing w:before="40" w:after="40" w:line="276" w:lineRule="auto"/>
              <w:jc w:val="center"/>
            </w:pPr>
            <w:r/>
            <w:r>
              <w:rPr>
                <w:rFonts w:ascii="Times New Roman" w:hAnsi="Times New Roman" w:eastAsia="黑体"/>
                <w:b/>
                <w:i w:val="0"/>
                <w:sz w:val="21"/>
              </w:rPr>
              <w:t>本模块解法</w:t>
            </w:r>
          </w:p>
        </w:tc>
      </w:tr>
      <w:tr>
        <w:tc>
          <w:tcPr>
            <w:tcW w:type="dxa" w:w="1928"/>
          </w:tcPr>
          <w:p>
            <w:pPr>
              <w:spacing w:before="20" w:after="20" w:line="276" w:lineRule="auto"/>
              <w:ind w:firstLine="0"/>
            </w:pPr>
            <w:r/>
            <w:r>
              <w:rPr>
                <w:rFonts w:ascii="Times New Roman" w:hAnsi="Times New Roman" w:eastAsia="宋体"/>
                <w:b w:val="0"/>
                <w:i w:val="0"/>
                <w:sz w:val="21"/>
              </w:rPr>
              <w:t>合同用印在线下流转，签没签、签到谁、卡在哪个审批环节全靠人工追问</w:t>
            </w:r>
          </w:p>
        </w:tc>
        <w:tc>
          <w:tcPr>
            <w:tcW w:type="dxa" w:w="3572"/>
          </w:tcPr>
          <w:p>
            <w:pPr>
              <w:spacing w:before="20" w:after="20" w:line="276" w:lineRule="auto"/>
              <w:ind w:firstLine="0"/>
            </w:pPr>
            <w:r/>
            <w:r>
              <w:rPr>
                <w:rFonts w:ascii="Times New Roman" w:hAnsi="Times New Roman" w:eastAsia="宋体"/>
                <w:b w:val="0"/>
                <w:i w:val="0"/>
                <w:sz w:val="21"/>
              </w:rPr>
              <w:t>合同用纸质或扫描件线下流转，审批与用印进度没有线上留痕</w:t>
            </w:r>
          </w:p>
        </w:tc>
        <w:tc>
          <w:tcPr>
            <w:tcW w:type="dxa" w:w="3572"/>
          </w:tcPr>
          <w:p>
            <w:pPr>
              <w:spacing w:before="20" w:after="20" w:line="276" w:lineRule="auto"/>
              <w:ind w:firstLine="0"/>
            </w:pPr>
            <w:r/>
            <w:r>
              <w:rPr>
                <w:rFonts w:ascii="Times New Roman" w:hAnsi="Times New Roman" w:eastAsia="宋体"/>
                <w:b w:val="0"/>
                <w:i w:val="0"/>
                <w:sz w:val="21"/>
              </w:rPr>
              <w:t>以 7 态合同状态机 + 串行审批链记录流转，审批通过后按签署状态分流，用印结果通过双签扫描件上传登记</w:t>
            </w:r>
          </w:p>
        </w:tc>
      </w:tr>
      <w:tr>
        <w:tc>
          <w:tcPr>
            <w:tcW w:type="dxa" w:w="1928"/>
          </w:tcPr>
          <w:p>
            <w:pPr>
              <w:spacing w:before="20" w:after="20" w:line="276" w:lineRule="auto"/>
              <w:ind w:firstLine="0"/>
            </w:pPr>
            <w:r/>
            <w:r>
              <w:rPr>
                <w:rFonts w:ascii="Times New Roman" w:hAnsi="Times New Roman" w:eastAsia="宋体"/>
                <w:b w:val="0"/>
                <w:i w:val="0"/>
                <w:sz w:val="21"/>
              </w:rPr>
              <w:t>一份合同与下游多类单据的关联依赖人工台账</w:t>
            </w:r>
          </w:p>
        </w:tc>
        <w:tc>
          <w:tcPr>
            <w:tcW w:type="dxa" w:w="3572"/>
          </w:tcPr>
          <w:p>
            <w:pPr>
              <w:spacing w:before="20" w:after="20" w:line="276" w:lineRule="auto"/>
              <w:ind w:firstLine="0"/>
            </w:pPr>
            <w:r/>
            <w:r>
              <w:rPr>
                <w:rFonts w:ascii="Times New Roman" w:hAnsi="Times New Roman" w:eastAsia="宋体"/>
                <w:b w:val="0"/>
                <w:i w:val="0"/>
                <w:sz w:val="21"/>
              </w:rPr>
              <w:t>收发货、货转、付款、结算、发票各自建账，跨模块对账靠导出表格人工核对</w:t>
            </w:r>
          </w:p>
        </w:tc>
        <w:tc>
          <w:tcPr>
            <w:tcW w:type="dxa" w:w="3572"/>
          </w:tcPr>
          <w:p>
            <w:pPr>
              <w:spacing w:before="20" w:after="20" w:line="276" w:lineRule="auto"/>
              <w:ind w:firstLine="0"/>
            </w:pPr>
            <w:r/>
            <w:r>
              <w:rPr>
                <w:rFonts w:ascii="Times New Roman" w:hAnsi="Times New Roman" w:eastAsia="宋体"/>
                <w:b w:val="0"/>
                <w:i w:val="0"/>
                <w:sz w:val="21"/>
              </w:rPr>
              <w:t>合同 ID 作为唯一关联主线，执行中合同才能被下游单据引用，并在合同详情页反向汇总货物、付款、结算三项进度</w:t>
            </w:r>
          </w:p>
        </w:tc>
      </w:tr>
      <w:tr>
        <w:tc>
          <w:tcPr>
            <w:tcW w:type="dxa" w:w="1928"/>
          </w:tcPr>
          <w:p>
            <w:pPr>
              <w:spacing w:before="20" w:after="20" w:line="276" w:lineRule="auto"/>
              <w:ind w:firstLine="0"/>
            </w:pPr>
            <w:r/>
            <w:r>
              <w:rPr>
                <w:rFonts w:ascii="Times New Roman" w:hAnsi="Times New Roman" w:eastAsia="宋体"/>
                <w:b w:val="0"/>
                <w:i w:val="0"/>
                <w:sz w:val="21"/>
              </w:rPr>
              <w:t>合同执行过程中的价格与条款变更没有规范载体</w:t>
            </w:r>
          </w:p>
        </w:tc>
        <w:tc>
          <w:tcPr>
            <w:tcW w:type="dxa" w:w="3572"/>
          </w:tcPr>
          <w:p>
            <w:pPr>
              <w:spacing w:before="20" w:after="20" w:line="276" w:lineRule="auto"/>
              <w:ind w:firstLine="0"/>
            </w:pPr>
            <w:r/>
            <w:r>
              <w:rPr>
                <w:rFonts w:ascii="Times New Roman" w:hAnsi="Times New Roman" w:eastAsia="宋体"/>
                <w:b w:val="0"/>
                <w:i w:val="0"/>
                <w:sz w:val="21"/>
              </w:rPr>
              <w:t>变更靠补充说明或在原合同上直接改，改动过程不留痕</w:t>
            </w:r>
          </w:p>
        </w:tc>
        <w:tc>
          <w:tcPr>
            <w:tcW w:type="dxa" w:w="3572"/>
          </w:tcPr>
          <w:p>
            <w:pPr>
              <w:spacing w:before="20" w:after="20" w:line="276" w:lineRule="auto"/>
              <w:ind w:firstLine="0"/>
            </w:pPr>
            <w:r/>
            <w:r>
              <w:rPr>
                <w:rFonts w:ascii="Times New Roman" w:hAnsi="Times New Roman" w:eastAsia="宋体"/>
                <w:b w:val="0"/>
                <w:i w:val="0"/>
                <w:sz w:val="21"/>
              </w:rPr>
              <w:t>设补充协议子类型，调价走补充协议并通过父合同 ID 关联原合同，补充协议经审批生效后影响合同单价</w:t>
            </w:r>
          </w:p>
        </w:tc>
      </w:tr>
      <w:tr>
        <w:tc>
          <w:tcPr>
            <w:tcW w:type="dxa" w:w="1928"/>
          </w:tcPr>
          <w:p>
            <w:pPr>
              <w:spacing w:before="20" w:after="20" w:line="276" w:lineRule="auto"/>
              <w:ind w:firstLine="0"/>
            </w:pPr>
            <w:r/>
            <w:r>
              <w:rPr>
                <w:rFonts w:ascii="Times New Roman" w:hAnsi="Times New Roman" w:eastAsia="宋体"/>
                <w:b w:val="0"/>
                <w:i w:val="0"/>
                <w:sz w:val="21"/>
              </w:rPr>
              <w:t>上下游合同无法成对查看从采购到销售的全链路</w:t>
            </w:r>
          </w:p>
        </w:tc>
        <w:tc>
          <w:tcPr>
            <w:tcW w:type="dxa" w:w="3572"/>
          </w:tcPr>
          <w:p>
            <w:pPr>
              <w:spacing w:before="20" w:after="20" w:line="276" w:lineRule="auto"/>
              <w:ind w:firstLine="0"/>
            </w:pPr>
            <w:r/>
            <w:r>
              <w:rPr>
                <w:rFonts w:ascii="Times New Roman" w:hAnsi="Times New Roman" w:eastAsia="宋体"/>
                <w:b w:val="0"/>
                <w:i w:val="0"/>
                <w:sz w:val="21"/>
              </w:rPr>
              <w:t>采购合同与销售合同分属不同环节，业务人员无法看到一笔业务的完整链路</w:t>
            </w:r>
          </w:p>
        </w:tc>
        <w:tc>
          <w:tcPr>
            <w:tcW w:type="dxa" w:w="3572"/>
          </w:tcPr>
          <w:p>
            <w:pPr>
              <w:spacing w:before="20" w:after="20" w:line="276" w:lineRule="auto"/>
              <w:ind w:firstLine="0"/>
            </w:pPr>
            <w:r/>
            <w:r>
              <w:rPr>
                <w:rFonts w:ascii="Times New Roman" w:hAnsi="Times New Roman" w:eastAsia="宋体"/>
                <w:b w:val="0"/>
                <w:i w:val="0"/>
                <w:sz w:val="21"/>
              </w:rPr>
              <w:t>提供采购/销售双向关联页，关联成功后自动建立业务线，把上下游合同与执行单据串成一条链路</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4.7.2　背景与目标</w:t>
      </w:r>
    </w:p>
    <w:tbl>
      <w:tblPr>
        <w:tblStyle w:val="TableGrid"/>
        <w:tblW w:type="auto" w:w="0"/>
        <w:jc w:val="center"/>
        <w:tblLayout w:type="fixed"/>
        <w:tblLook w:firstColumn="1" w:firstRow="1" w:lastColumn="0" w:lastRow="0" w:noHBand="0" w:noVBand="1" w:val="04A0"/>
      </w:tblPr>
      <w:tblGrid>
        <w:gridCol w:w="8958"/>
      </w:tblGrid>
      <w:tr>
        <w:trPr>
          <w:tblHeader w:val="true"/>
        </w:trPr>
        <w:tc>
          <w:tcPr>
            <w:tcW w:type="dxa" w:w="9071"/>
            <w:shd w:val="clear" w:color="auto" w:fill="DCE6F1"/>
          </w:tcPr>
          <w:p>
            <w:pPr>
              <w:spacing w:before="40" w:after="40" w:line="276" w:lineRule="auto"/>
              <w:jc w:val="center"/>
            </w:pPr>
            <w:r/>
            <w:r>
              <w:rPr>
                <w:rFonts w:ascii="Times New Roman" w:hAnsi="Times New Roman" w:eastAsia="黑体"/>
                <w:b/>
                <w:i w:val="0"/>
                <w:sz w:val="21"/>
              </w:rPr>
              <w:t>目标 / 衡量口径</w:t>
            </w:r>
          </w:p>
        </w:tc>
      </w:tr>
      <w:tr>
        <w:tc>
          <w:tcPr>
            <w:tcW w:type="dxa" w:w="9071"/>
          </w:tcPr>
          <w:p>
            <w:pPr>
              <w:spacing w:before="20" w:after="20" w:line="276" w:lineRule="auto"/>
              <w:ind w:firstLine="0"/>
            </w:pPr>
            <w:r/>
            <w:r>
              <w:rPr>
                <w:rFonts w:ascii="Times New Roman" w:hAnsi="Times New Roman" w:eastAsia="宋体"/>
                <w:b w:val="0"/>
                <w:i w:val="0"/>
                <w:sz w:val="21"/>
              </w:rPr>
              <w:t>合同全生命周期在系统内可追踪：状态、当前审批节点、用印附件、金额口径均可在线查询与导出，导出结果以系统运行报表为准</w:t>
            </w:r>
          </w:p>
        </w:tc>
      </w:tr>
      <w:tr>
        <w:tc>
          <w:tcPr>
            <w:tcW w:type="dxa" w:w="9071"/>
          </w:tcPr>
          <w:p>
            <w:pPr>
              <w:spacing w:before="20" w:after="20" w:line="276" w:lineRule="auto"/>
              <w:ind w:firstLine="0"/>
            </w:pPr>
            <w:r/>
            <w:r>
              <w:rPr>
                <w:rFonts w:ascii="Times New Roman" w:hAnsi="Times New Roman" w:eastAsia="宋体"/>
                <w:b w:val="0"/>
                <w:i w:val="0"/>
                <w:sz w:val="21"/>
              </w:rPr>
              <w:t>合同状态口径全平台统一为 7 态（待提交 / 审批中 / 待上传双签合同 / 执行中 / 已完结 / 审批驳回 / 已作废），列表 Tab、接口传参与详情页展示一致</w:t>
            </w:r>
          </w:p>
        </w:tc>
      </w:tr>
      <w:tr>
        <w:tc>
          <w:tcPr>
            <w:tcW w:type="dxa" w:w="9071"/>
          </w:tcPr>
          <w:p>
            <w:pPr>
              <w:spacing w:before="20" w:after="20" w:line="276" w:lineRule="auto"/>
              <w:ind w:firstLine="0"/>
            </w:pPr>
            <w:r/>
            <w:r>
              <w:rPr>
                <w:rFonts w:ascii="Times New Roman" w:hAnsi="Times New Roman" w:eastAsia="宋体"/>
                <w:b w:val="0"/>
                <w:i w:val="0"/>
                <w:sz w:val="21"/>
              </w:rPr>
              <w:t>执行中合同的货物、付款、结算三项进度可在合同详情页查看，分别取自货转管理的下游货转数据、资金管理的对应合同付款总和、结算单管理的对应合同结算总金额</w:t>
            </w:r>
          </w:p>
        </w:tc>
      </w:tr>
      <w:tr>
        <w:tc>
          <w:tcPr>
            <w:tcW w:type="dxa" w:w="9071"/>
          </w:tcPr>
          <w:p>
            <w:pPr>
              <w:spacing w:before="20" w:after="20" w:line="276" w:lineRule="auto"/>
              <w:ind w:firstLine="0"/>
            </w:pPr>
            <w:r/>
            <w:r>
              <w:rPr>
                <w:rFonts w:ascii="Times New Roman" w:hAnsi="Times New Roman" w:eastAsia="宋体"/>
                <w:b w:val="0"/>
                <w:i w:val="0"/>
                <w:sz w:val="21"/>
              </w:rPr>
              <w:t>审批链支持最多 7 级串行配置，审批停留超过 2 小时自动催办，减少人工盯办</w:t>
            </w:r>
          </w:p>
        </w:tc>
      </w:tr>
    </w:tbl>
    <w:p>
      <w:pPr>
        <w:spacing w:before="0" w:after="0" w:line="240" w:lineRule="auto"/>
      </w:pPr>
    </w:p>
    <w:p>
      <w:pPr>
        <w:spacing w:before="80" w:after="120" w:line="360" w:lineRule="auto"/>
      </w:pPr>
      <w:r>
        <w:rPr>
          <w:rFonts w:ascii="Times New Roman" w:hAnsi="Times New Roman" w:eastAsia="宋体"/>
          <w:b w:val="0"/>
          <w:i w:val="0"/>
          <w:color w:val="595959"/>
          <w:sz w:val="21"/>
        </w:rPr>
        <w:t>说明：文中口径以业务方已确认结论为准；未确认项集中列于本章末与第 5 章。</w:t>
      </w:r>
    </w:p>
    <w:p>
      <w:pPr>
        <w:pStyle w:val="Heading3"/>
        <w:keepNext/>
        <w:spacing w:before="160" w:after="80" w:line="312" w:lineRule="auto"/>
        <w:ind w:firstLine="0"/>
      </w:pPr>
      <w:r>
        <w:rPr>
          <w:rFonts w:ascii="Times New Roman" w:hAnsi="Times New Roman" w:eastAsia="黑体"/>
          <w:b/>
          <w:i w:val="0"/>
          <w:sz w:val="24"/>
        </w:rPr>
        <w:t>4.7.3　角色与用户需求</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361"/>
            <w:shd w:val="clear" w:color="auto" w:fill="DCE6F1"/>
          </w:tcPr>
          <w:p>
            <w:pPr>
              <w:spacing w:before="40" w:after="40" w:line="276" w:lineRule="auto"/>
              <w:jc w:val="center"/>
            </w:pPr>
            <w:r/>
            <w:r>
              <w:rPr>
                <w:rFonts w:ascii="Times New Roman" w:hAnsi="Times New Roman" w:eastAsia="黑体"/>
                <w:b/>
                <w:i w:val="0"/>
                <w:sz w:val="21"/>
              </w:rPr>
              <w:t>角色</w:t>
            </w:r>
          </w:p>
        </w:tc>
        <w:tc>
          <w:tcPr>
            <w:tcW w:type="dxa" w:w="1247"/>
            <w:shd w:val="clear" w:color="auto" w:fill="DCE6F1"/>
          </w:tcPr>
          <w:p>
            <w:pPr>
              <w:spacing w:before="40" w:after="40" w:line="276" w:lineRule="auto"/>
              <w:jc w:val="center"/>
            </w:pPr>
            <w:r/>
            <w:r>
              <w:rPr>
                <w:rFonts w:ascii="Times New Roman" w:hAnsi="Times New Roman" w:eastAsia="黑体"/>
                <w:b/>
                <w:i w:val="0"/>
                <w:sz w:val="21"/>
              </w:rPr>
              <w:t>所属部门</w:t>
            </w:r>
          </w:p>
        </w:tc>
        <w:tc>
          <w:tcPr>
            <w:tcW w:type="dxa" w:w="6463"/>
            <w:shd w:val="clear" w:color="auto" w:fill="DCE6F1"/>
          </w:tcPr>
          <w:p>
            <w:pPr>
              <w:spacing w:before="40" w:after="40" w:line="276" w:lineRule="auto"/>
              <w:jc w:val="center"/>
            </w:pPr>
            <w:r/>
            <w:r>
              <w:rPr>
                <w:rFonts w:ascii="Times New Roman" w:hAnsi="Times New Roman" w:eastAsia="黑体"/>
                <w:b/>
                <w:i w:val="0"/>
                <w:sz w:val="21"/>
              </w:rPr>
              <w:t>用户需求（我要…以便…）</w:t>
            </w:r>
          </w:p>
        </w:tc>
      </w:tr>
      <w:tr>
        <w:tc>
          <w:tcPr>
            <w:tcW w:type="dxa" w:w="1361"/>
          </w:tcPr>
          <w:p>
            <w:pPr>
              <w:spacing w:before="20" w:after="20" w:line="276" w:lineRule="auto"/>
              <w:ind w:firstLine="0"/>
            </w:pPr>
            <w:r/>
            <w:r>
              <w:rPr>
                <w:rFonts w:ascii="Times New Roman" w:hAnsi="Times New Roman" w:eastAsia="宋体"/>
                <w:b w:val="0"/>
                <w:i w:val="0"/>
                <w:sz w:val="21"/>
              </w:rPr>
              <w:t>业务员（合同发起人）</w:t>
            </w:r>
          </w:p>
        </w:tc>
        <w:tc>
          <w:tcPr>
            <w:tcW w:type="dxa" w:w="1247"/>
          </w:tcPr>
          <w:p>
            <w:pPr>
              <w:spacing w:before="20" w:after="20" w:line="276" w:lineRule="auto"/>
              <w:ind w:firstLine="0"/>
            </w:pPr>
            <w:r/>
            <w:r>
              <w:rPr>
                <w:rFonts w:ascii="Times New Roman" w:hAnsi="Times New Roman" w:eastAsia="宋体"/>
                <w:b w:val="0"/>
                <w:i w:val="0"/>
                <w:sz w:val="21"/>
              </w:rPr>
              <w:t>业务部</w:t>
            </w:r>
          </w:p>
        </w:tc>
        <w:tc>
          <w:tcPr>
            <w:tcW w:type="dxa" w:w="6463"/>
          </w:tcPr>
          <w:p>
            <w:pPr>
              <w:spacing w:before="20" w:after="20" w:line="276" w:lineRule="auto"/>
              <w:ind w:firstLine="0"/>
            </w:pPr>
            <w:r/>
            <w:r>
              <w:rPr>
                <w:rFonts w:ascii="Times New Roman" w:hAnsi="Times New Roman" w:eastAsia="宋体"/>
                <w:b w:val="0"/>
                <w:i w:val="0"/>
                <w:sz w:val="21"/>
              </w:rPr>
              <w:t>我要创建、编辑并提交合同，以便合同进入审批并驱动下游单据开单</w:t>
            </w:r>
          </w:p>
        </w:tc>
      </w:tr>
      <w:tr>
        <w:tc>
          <w:tcPr>
            <w:tcW w:type="dxa" w:w="1361"/>
          </w:tcPr>
          <w:p>
            <w:pPr>
              <w:spacing w:before="20" w:after="20" w:line="276" w:lineRule="auto"/>
              <w:ind w:firstLine="0"/>
            </w:pPr>
            <w:r/>
            <w:r>
              <w:rPr>
                <w:rFonts w:ascii="Times New Roman" w:hAnsi="Times New Roman" w:eastAsia="宋体"/>
                <w:b w:val="0"/>
                <w:i w:val="0"/>
                <w:sz w:val="21"/>
              </w:rPr>
              <w:t>风控部审批人</w:t>
            </w:r>
          </w:p>
        </w:tc>
        <w:tc>
          <w:tcPr>
            <w:tcW w:type="dxa" w:w="1247"/>
          </w:tcPr>
          <w:p>
            <w:pPr>
              <w:spacing w:before="20" w:after="20" w:line="276" w:lineRule="auto"/>
              <w:ind w:firstLine="0"/>
            </w:pPr>
            <w:r/>
            <w:r>
              <w:rPr>
                <w:rFonts w:ascii="Times New Roman" w:hAnsi="Times New Roman" w:eastAsia="宋体"/>
                <w:b w:val="0"/>
                <w:i w:val="0"/>
                <w:sz w:val="21"/>
              </w:rPr>
              <w:t>风控部</w:t>
            </w:r>
          </w:p>
        </w:tc>
        <w:tc>
          <w:tcPr>
            <w:tcW w:type="dxa" w:w="6463"/>
          </w:tcPr>
          <w:p>
            <w:pPr>
              <w:spacing w:before="20" w:after="20" w:line="276" w:lineRule="auto"/>
              <w:ind w:firstLine="0"/>
            </w:pPr>
            <w:r/>
            <w:r>
              <w:rPr>
                <w:rFonts w:ascii="Times New Roman" w:hAnsi="Times New Roman" w:eastAsia="宋体"/>
                <w:b w:val="0"/>
                <w:i w:val="0"/>
                <w:sz w:val="21"/>
              </w:rPr>
              <w:t>我要在审批链上逐级审核合同风险，以便放行前拦截不可控业务</w:t>
            </w:r>
          </w:p>
        </w:tc>
      </w:tr>
      <w:tr>
        <w:tc>
          <w:tcPr>
            <w:tcW w:type="dxa" w:w="1361"/>
          </w:tcPr>
          <w:p>
            <w:pPr>
              <w:spacing w:before="20" w:after="20" w:line="276" w:lineRule="auto"/>
              <w:ind w:firstLine="0"/>
            </w:pPr>
            <w:r/>
            <w:r>
              <w:rPr>
                <w:rFonts w:ascii="Times New Roman" w:hAnsi="Times New Roman" w:eastAsia="宋体"/>
                <w:b w:val="0"/>
                <w:i w:val="0"/>
                <w:sz w:val="21"/>
              </w:rPr>
              <w:t>财务部审批人</w:t>
            </w:r>
          </w:p>
        </w:tc>
        <w:tc>
          <w:tcPr>
            <w:tcW w:type="dxa" w:w="1247"/>
          </w:tcPr>
          <w:p>
            <w:pPr>
              <w:spacing w:before="20" w:after="20" w:line="276" w:lineRule="auto"/>
              <w:ind w:firstLine="0"/>
            </w:pPr>
            <w:r/>
            <w:r>
              <w:rPr>
                <w:rFonts w:ascii="Times New Roman" w:hAnsi="Times New Roman" w:eastAsia="宋体"/>
                <w:b w:val="0"/>
                <w:i w:val="0"/>
                <w:sz w:val="21"/>
              </w:rPr>
              <w:t>财务部</w:t>
            </w:r>
          </w:p>
        </w:tc>
        <w:tc>
          <w:tcPr>
            <w:tcW w:type="dxa" w:w="6463"/>
          </w:tcPr>
          <w:p>
            <w:pPr>
              <w:spacing w:before="20" w:after="20" w:line="276" w:lineRule="auto"/>
              <w:ind w:firstLine="0"/>
            </w:pPr>
            <w:r/>
            <w:r>
              <w:rPr>
                <w:rFonts w:ascii="Times New Roman" w:hAnsi="Times New Roman" w:eastAsia="宋体"/>
                <w:b w:val="0"/>
                <w:i w:val="0"/>
                <w:sz w:val="21"/>
              </w:rPr>
              <w:t>我要审批合同并核对金额口径，以便确认合同可执行</w:t>
            </w:r>
          </w:p>
        </w:tc>
      </w:tr>
      <w:tr>
        <w:tc>
          <w:tcPr>
            <w:tcW w:type="dxa" w:w="1361"/>
          </w:tcPr>
          <w:p>
            <w:pPr>
              <w:spacing w:before="20" w:after="20" w:line="276" w:lineRule="auto"/>
              <w:ind w:firstLine="0"/>
            </w:pPr>
            <w:r/>
            <w:r>
              <w:rPr>
                <w:rFonts w:ascii="Times New Roman" w:hAnsi="Times New Roman" w:eastAsia="宋体"/>
                <w:b w:val="0"/>
                <w:i w:val="0"/>
                <w:sz w:val="21"/>
              </w:rPr>
              <w:t>总经办审批人</w:t>
            </w:r>
          </w:p>
        </w:tc>
        <w:tc>
          <w:tcPr>
            <w:tcW w:type="dxa" w:w="1247"/>
          </w:tcPr>
          <w:p>
            <w:pPr>
              <w:spacing w:before="20" w:after="20" w:line="276" w:lineRule="auto"/>
              <w:ind w:firstLine="0"/>
            </w:pPr>
            <w:r/>
            <w:r>
              <w:rPr>
                <w:rFonts w:ascii="Times New Roman" w:hAnsi="Times New Roman" w:eastAsia="宋体"/>
                <w:b w:val="0"/>
                <w:i w:val="0"/>
                <w:sz w:val="21"/>
              </w:rPr>
              <w:t>总经办</w:t>
            </w:r>
          </w:p>
        </w:tc>
        <w:tc>
          <w:tcPr>
            <w:tcW w:type="dxa" w:w="6463"/>
          </w:tcPr>
          <w:p>
            <w:pPr>
              <w:spacing w:before="20" w:after="20" w:line="276" w:lineRule="auto"/>
              <w:ind w:firstLine="0"/>
            </w:pPr>
            <w:r/>
            <w:r>
              <w:rPr>
                <w:rFonts w:ascii="Times New Roman" w:hAnsi="Times New Roman" w:eastAsia="宋体"/>
                <w:b w:val="0"/>
                <w:i w:val="0"/>
                <w:sz w:val="21"/>
              </w:rPr>
              <w:t>我要完成最后一级审批，以便合同进入执行阶段</w:t>
            </w:r>
          </w:p>
        </w:tc>
      </w:tr>
      <w:tr>
        <w:tc>
          <w:tcPr>
            <w:tcW w:type="dxa" w:w="1361"/>
          </w:tcPr>
          <w:p>
            <w:pPr>
              <w:spacing w:before="20" w:after="20" w:line="276" w:lineRule="auto"/>
              <w:ind w:firstLine="0"/>
            </w:pPr>
            <w:r/>
            <w:r>
              <w:rPr>
                <w:rFonts w:ascii="Times New Roman" w:hAnsi="Times New Roman" w:eastAsia="宋体"/>
                <w:b w:val="0"/>
                <w:i w:val="0"/>
                <w:sz w:val="21"/>
              </w:rPr>
              <w:t>合同台账查询岗</w:t>
            </w:r>
          </w:p>
        </w:tc>
        <w:tc>
          <w:tcPr>
            <w:tcW w:type="dxa" w:w="1247"/>
          </w:tcPr>
          <w:p>
            <w:pPr>
              <w:spacing w:before="20" w:after="20" w:line="276" w:lineRule="auto"/>
              <w:ind w:firstLine="0"/>
            </w:pPr>
            <w:r/>
            <w:r>
              <w:rPr>
                <w:rFonts w:ascii="Times New Roman" w:hAnsi="Times New Roman" w:eastAsia="宋体"/>
                <w:b w:val="0"/>
                <w:i w:val="0"/>
                <w:sz w:val="21"/>
              </w:rPr>
              <w:t>业务管理岗</w:t>
            </w:r>
          </w:p>
        </w:tc>
        <w:tc>
          <w:tcPr>
            <w:tcW w:type="dxa" w:w="6463"/>
          </w:tcPr>
          <w:p>
            <w:pPr>
              <w:spacing w:before="20" w:after="20" w:line="276" w:lineRule="auto"/>
              <w:ind w:firstLine="0"/>
            </w:pPr>
            <w:r/>
            <w:r>
              <w:rPr>
                <w:rFonts w:ascii="Times New Roman" w:hAnsi="Times New Roman" w:eastAsia="宋体"/>
                <w:b w:val="0"/>
                <w:i w:val="0"/>
                <w:sz w:val="21"/>
              </w:rPr>
              <w:t>我要按状态查询和导出合同清单，以便掌握合同整体执行情况</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4.7.4　功能结构与范围</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474"/>
            <w:shd w:val="clear" w:color="auto" w:fill="DCE6F1"/>
          </w:tcPr>
          <w:p>
            <w:pPr>
              <w:spacing w:before="40" w:after="40" w:line="276" w:lineRule="auto"/>
              <w:jc w:val="center"/>
            </w:pPr>
            <w:r/>
            <w:r>
              <w:rPr>
                <w:rFonts w:ascii="Times New Roman" w:hAnsi="Times New Roman" w:eastAsia="黑体"/>
                <w:b/>
                <w:i w:val="0"/>
                <w:sz w:val="21"/>
              </w:rPr>
              <w:t>功能</w:t>
            </w:r>
          </w:p>
        </w:tc>
        <w:tc>
          <w:tcPr>
            <w:tcW w:type="dxa" w:w="3175"/>
            <w:shd w:val="clear" w:color="auto" w:fill="DCE6F1"/>
          </w:tcPr>
          <w:p>
            <w:pPr>
              <w:spacing w:before="40" w:after="40" w:line="276" w:lineRule="auto"/>
              <w:jc w:val="center"/>
            </w:pPr>
            <w:r/>
            <w:r>
              <w:rPr>
                <w:rFonts w:ascii="Times New Roman" w:hAnsi="Times New Roman" w:eastAsia="黑体"/>
                <w:b/>
                <w:i w:val="0"/>
                <w:sz w:val="21"/>
              </w:rPr>
              <w:t>功能说明</w:t>
            </w:r>
          </w:p>
        </w:tc>
        <w:tc>
          <w:tcPr>
            <w:tcW w:type="dxa" w:w="4422"/>
            <w:shd w:val="clear" w:color="auto" w:fill="DCE6F1"/>
          </w:tcPr>
          <w:p>
            <w:pPr>
              <w:spacing w:before="40" w:after="40" w:line="276" w:lineRule="auto"/>
              <w:jc w:val="center"/>
            </w:pPr>
            <w:r/>
            <w:r>
              <w:rPr>
                <w:rFonts w:ascii="Times New Roman" w:hAnsi="Times New Roman" w:eastAsia="黑体"/>
                <w:b/>
                <w:i w:val="0"/>
                <w:sz w:val="21"/>
              </w:rPr>
              <w:t>关键规则</w:t>
            </w:r>
          </w:p>
        </w:tc>
      </w:tr>
      <w:tr>
        <w:tc>
          <w:tcPr>
            <w:tcW w:type="dxa" w:w="1474"/>
          </w:tcPr>
          <w:p>
            <w:pPr>
              <w:spacing w:before="20" w:after="20" w:line="276" w:lineRule="auto"/>
              <w:ind w:firstLine="0"/>
            </w:pPr>
            <w:r/>
            <w:r>
              <w:rPr>
                <w:rFonts w:ascii="Times New Roman" w:hAnsi="Times New Roman" w:eastAsia="宋体"/>
                <w:b w:val="0"/>
                <w:i w:val="0"/>
                <w:sz w:val="21"/>
              </w:rPr>
              <w:t>四子菜单合同分类管理</w:t>
            </w:r>
          </w:p>
        </w:tc>
        <w:tc>
          <w:tcPr>
            <w:tcW w:type="dxa" w:w="3175"/>
          </w:tcPr>
          <w:p>
            <w:pPr>
              <w:spacing w:before="20" w:after="20" w:line="276" w:lineRule="auto"/>
              <w:ind w:firstLine="0"/>
            </w:pPr>
            <w:r/>
            <w:r>
              <w:rPr>
                <w:rFonts w:ascii="Times New Roman" w:hAnsi="Times New Roman" w:eastAsia="宋体"/>
                <w:b w:val="0"/>
                <w:i w:val="0"/>
                <w:sz w:val="21"/>
              </w:rPr>
              <w:t>按采购合同、销售合同、运输合同、补充协议四个子菜单组织合同；方向取值为采购 / 销售 / 运输，合同子类型取值为框架合同 / 订单单批次合同 / 补充协议</w:t>
            </w:r>
          </w:p>
        </w:tc>
        <w:tc>
          <w:tcPr>
            <w:tcW w:type="dxa" w:w="4422"/>
          </w:tcPr>
          <w:p>
            <w:pPr>
              <w:spacing w:before="20" w:after="20" w:line="276" w:lineRule="auto"/>
              <w:ind w:firstLine="0"/>
            </w:pPr>
            <w:r/>
            <w:r>
              <w:rPr>
                <w:rFonts w:ascii="Times New Roman" w:hAnsi="Times New Roman" w:eastAsia="宋体"/>
                <w:b w:val="0"/>
                <w:i w:val="0"/>
                <w:sz w:val="21"/>
              </w:rPr>
              <w:t>补充协议通过合同子类型标识，不新增独立方向值；运输合同仅方向取值与采销合同不同，审批链、状态机与签章流程完全复用采销合同口径</w:t>
            </w:r>
          </w:p>
        </w:tc>
      </w:tr>
      <w:tr>
        <w:tc>
          <w:tcPr>
            <w:tcW w:type="dxa" w:w="1474"/>
          </w:tcPr>
          <w:p>
            <w:pPr>
              <w:spacing w:before="20" w:after="20" w:line="276" w:lineRule="auto"/>
              <w:ind w:firstLine="0"/>
            </w:pPr>
            <w:r/>
            <w:r>
              <w:rPr>
                <w:rFonts w:ascii="Times New Roman" w:hAnsi="Times New Roman" w:eastAsia="宋体"/>
                <w:b w:val="0"/>
                <w:i w:val="0"/>
                <w:sz w:val="21"/>
              </w:rPr>
              <w:t>五种合同创建方式</w:t>
            </w:r>
          </w:p>
        </w:tc>
        <w:tc>
          <w:tcPr>
            <w:tcW w:type="dxa" w:w="3175"/>
          </w:tcPr>
          <w:p>
            <w:pPr>
              <w:spacing w:before="20" w:after="20" w:line="276" w:lineRule="auto"/>
              <w:ind w:firstLine="0"/>
            </w:pPr>
            <w:r/>
            <w:r>
              <w:rPr>
                <w:rFonts w:ascii="Times New Roman" w:hAnsi="Times New Roman" w:eastAsia="宋体"/>
                <w:b w:val="0"/>
                <w:i w:val="0"/>
                <w:sz w:val="21"/>
              </w:rPr>
              <w:t>支持模板生成、历史复制、空白创建、文本上传、业务线联动五种方式创建合同</w:t>
            </w:r>
          </w:p>
        </w:tc>
        <w:tc>
          <w:tcPr>
            <w:tcW w:type="dxa" w:w="4422"/>
          </w:tcPr>
          <w:p>
            <w:pPr>
              <w:spacing w:before="20" w:after="20" w:line="276" w:lineRule="auto"/>
              <w:ind w:firstLine="0"/>
            </w:pPr>
            <w:r/>
            <w:r>
              <w:rPr>
                <w:rFonts w:ascii="Times New Roman" w:hAnsi="Times New Roman" w:eastAsia="宋体"/>
                <w:b w:val="0"/>
                <w:i w:val="0"/>
                <w:sz w:val="21"/>
              </w:rPr>
              <w:t>模板生成需先选合同类型与品类并自动匹配模板；历史复制复制基础信息与条款；文本上传走 OCR 识别关键字段，识别失败时降级为手动填写且不阻断提交</w:t>
            </w:r>
          </w:p>
        </w:tc>
      </w:tr>
      <w:tr>
        <w:tc>
          <w:tcPr>
            <w:tcW w:type="dxa" w:w="1474"/>
          </w:tcPr>
          <w:p>
            <w:pPr>
              <w:spacing w:before="20" w:after="20" w:line="276" w:lineRule="auto"/>
              <w:ind w:firstLine="0"/>
            </w:pPr>
            <w:r/>
            <w:r>
              <w:rPr>
                <w:rFonts w:ascii="Times New Roman" w:hAnsi="Times New Roman" w:eastAsia="宋体"/>
                <w:b w:val="0"/>
                <w:i w:val="0"/>
                <w:sz w:val="21"/>
              </w:rPr>
              <w:t>串行审批链</w:t>
            </w:r>
          </w:p>
        </w:tc>
        <w:tc>
          <w:tcPr>
            <w:tcW w:type="dxa" w:w="3175"/>
          </w:tcPr>
          <w:p>
            <w:pPr>
              <w:spacing w:before="20" w:after="20" w:line="276" w:lineRule="auto"/>
              <w:ind w:firstLine="0"/>
            </w:pPr>
            <w:r/>
            <w:r>
              <w:rPr>
                <w:rFonts w:ascii="Times New Roman" w:hAnsi="Times New Roman" w:eastAsia="宋体"/>
                <w:b w:val="0"/>
                <w:i w:val="0"/>
                <w:sz w:val="21"/>
              </w:rPr>
              <w:t>合同提交后进入串行审批链逐级审批，当前配置实例为业务部 → 风控部 → 财务部 → 总经办</w:t>
            </w:r>
          </w:p>
        </w:tc>
        <w:tc>
          <w:tcPr>
            <w:tcW w:type="dxa" w:w="4422"/>
          </w:tcPr>
          <w:p>
            <w:pPr>
              <w:spacing w:before="20" w:after="20" w:line="276" w:lineRule="auto"/>
              <w:ind w:firstLine="0"/>
            </w:pPr>
            <w:r/>
            <w:r>
              <w:rPr>
                <w:rFonts w:ascii="Times New Roman" w:hAnsi="Times New Roman" w:eastAsia="宋体"/>
                <w:b w:val="0"/>
                <w:i w:val="0"/>
                <w:sz w:val="21"/>
              </w:rPr>
              <w:t>审批链最长 7 级且可配置；链上每一级为单签串行，不做会签；任一节点驳回时分为退回编辑（回到待提交）与终止（进入审批驳回）两条路径</w:t>
            </w:r>
          </w:p>
        </w:tc>
      </w:tr>
      <w:tr>
        <w:tc>
          <w:tcPr>
            <w:tcW w:type="dxa" w:w="1474"/>
          </w:tcPr>
          <w:p>
            <w:pPr>
              <w:spacing w:before="20" w:after="20" w:line="276" w:lineRule="auto"/>
              <w:ind w:firstLine="0"/>
            </w:pPr>
            <w:r/>
            <w:r>
              <w:rPr>
                <w:rFonts w:ascii="Times New Roman" w:hAnsi="Times New Roman" w:eastAsia="宋体"/>
                <w:b w:val="0"/>
                <w:i w:val="0"/>
                <w:sz w:val="21"/>
              </w:rPr>
              <w:t>签署状态决定审批后去向</w:t>
            </w:r>
          </w:p>
        </w:tc>
        <w:tc>
          <w:tcPr>
            <w:tcW w:type="dxa" w:w="3175"/>
          </w:tcPr>
          <w:p>
            <w:pPr>
              <w:spacing w:before="20" w:after="20" w:line="276" w:lineRule="auto"/>
              <w:ind w:firstLine="0"/>
            </w:pPr>
            <w:r/>
            <w:r>
              <w:rPr>
                <w:rFonts w:ascii="Times New Roman" w:hAnsi="Times New Roman" w:eastAsia="宋体"/>
                <w:b w:val="0"/>
                <w:i w:val="0"/>
                <w:sz w:val="21"/>
              </w:rPr>
              <w:t>合同签署状态在提交时选定，取值为待盖章（业务方称单签）与已双签（业务方称双签）两项</w:t>
            </w:r>
          </w:p>
        </w:tc>
        <w:tc>
          <w:tcPr>
            <w:tcW w:type="dxa" w:w="4422"/>
          </w:tcPr>
          <w:p>
            <w:pPr>
              <w:spacing w:before="20" w:after="20" w:line="276" w:lineRule="auto"/>
              <w:ind w:firstLine="0"/>
            </w:pPr>
            <w:r/>
            <w:r>
              <w:rPr>
                <w:rFonts w:ascii="Times New Roman" w:hAnsi="Times New Roman" w:eastAsia="宋体"/>
                <w:b w:val="0"/>
                <w:i w:val="0"/>
                <w:sz w:val="21"/>
              </w:rPr>
              <w:t>签署状态为已双签时，审批链最后一级通过后合同状态直接为执行中；签署状态为待盖章时，审批通过后合同状态仍为待上传双签合同，需手动上传双签合同后才转为执行中</w:t>
            </w:r>
          </w:p>
        </w:tc>
      </w:tr>
      <w:tr>
        <w:tc>
          <w:tcPr>
            <w:tcW w:type="dxa" w:w="1474"/>
          </w:tcPr>
          <w:p>
            <w:pPr>
              <w:spacing w:before="20" w:after="20" w:line="276" w:lineRule="auto"/>
              <w:ind w:firstLine="0"/>
            </w:pPr>
            <w:r/>
            <w:r>
              <w:rPr>
                <w:rFonts w:ascii="Times New Roman" w:hAnsi="Times New Roman" w:eastAsia="宋体"/>
                <w:b w:val="0"/>
                <w:i w:val="0"/>
                <w:sz w:val="21"/>
              </w:rPr>
              <w:t>线下用印与双签扫描件登记</w:t>
            </w:r>
          </w:p>
        </w:tc>
        <w:tc>
          <w:tcPr>
            <w:tcW w:type="dxa" w:w="3175"/>
          </w:tcPr>
          <w:p>
            <w:pPr>
              <w:spacing w:before="20" w:after="20" w:line="276" w:lineRule="auto"/>
              <w:ind w:firstLine="0"/>
            </w:pPr>
            <w:r/>
            <w:r>
              <w:rPr>
                <w:rFonts w:ascii="Times New Roman" w:hAnsi="Times New Roman" w:eastAsia="宋体"/>
                <w:b w:val="0"/>
                <w:i w:val="0"/>
                <w:sz w:val="21"/>
              </w:rPr>
              <w:t>待盖章场景下系统生成合同 PDF 并通知下载，业务员线下送签、双方盖章后上传双签扫描件，系统校验签章完整性后推进状态</w:t>
            </w:r>
          </w:p>
        </w:tc>
        <w:tc>
          <w:tcPr>
            <w:tcW w:type="dxa" w:w="4422"/>
          </w:tcPr>
          <w:p>
            <w:pPr>
              <w:spacing w:before="20" w:after="20" w:line="276" w:lineRule="auto"/>
              <w:ind w:firstLine="0"/>
            </w:pPr>
            <w:r/>
            <w:r>
              <w:rPr>
                <w:rFonts w:ascii="Times New Roman" w:hAnsi="Times New Roman" w:eastAsia="宋体"/>
                <w:b w:val="0"/>
                <w:i w:val="0"/>
                <w:sz w:val="21"/>
              </w:rPr>
              <w:t>双签扫描件仅支持 pdf / png / jpg 格式且单文件不超过 20MB；扫描件签章方与系统记录不匹配时红色提示并转人工审核；待上传双签合同状态停留超过 30 天自动作废</w:t>
            </w:r>
          </w:p>
        </w:tc>
      </w:tr>
      <w:tr>
        <w:tc>
          <w:tcPr>
            <w:tcW w:type="dxa" w:w="1474"/>
          </w:tcPr>
          <w:p>
            <w:pPr>
              <w:spacing w:before="20" w:after="20" w:line="276" w:lineRule="auto"/>
              <w:ind w:firstLine="0"/>
            </w:pPr>
            <w:r/>
            <w:r>
              <w:rPr>
                <w:rFonts w:ascii="Times New Roman" w:hAnsi="Times New Roman" w:eastAsia="宋体"/>
                <w:b w:val="0"/>
                <w:i w:val="0"/>
                <w:sz w:val="21"/>
              </w:rPr>
              <w:t>合同作废与不可逆终态</w:t>
            </w:r>
          </w:p>
        </w:tc>
        <w:tc>
          <w:tcPr>
            <w:tcW w:type="dxa" w:w="3175"/>
          </w:tcPr>
          <w:p>
            <w:pPr>
              <w:spacing w:before="20" w:after="20" w:line="276" w:lineRule="auto"/>
              <w:ind w:firstLine="0"/>
            </w:pPr>
            <w:r/>
            <w:r>
              <w:rPr>
                <w:rFonts w:ascii="Times New Roman" w:hAnsi="Times New Roman" w:eastAsia="宋体"/>
                <w:b w:val="0"/>
                <w:i w:val="0"/>
                <w:sz w:val="21"/>
              </w:rPr>
              <w:t>业务员可在待上传双签合同或审批驳回状态下执行合同作废，也可由超期 30 天未上传双签扫描件自动作废</w:t>
            </w:r>
          </w:p>
        </w:tc>
        <w:tc>
          <w:tcPr>
            <w:tcW w:type="dxa" w:w="4422"/>
          </w:tcPr>
          <w:p>
            <w:pPr>
              <w:spacing w:before="20" w:after="20" w:line="276" w:lineRule="auto"/>
              <w:ind w:firstLine="0"/>
            </w:pPr>
            <w:r/>
            <w:r>
              <w:rPr>
                <w:rFonts w:ascii="Times New Roman" w:hAnsi="Times New Roman" w:eastAsia="宋体"/>
                <w:b w:val="0"/>
                <w:i w:val="0"/>
                <w:sz w:val="21"/>
              </w:rPr>
              <w:t>已作废为不可逆终态，系统不提供恢复入口，超期自动作废与人工作废两种来源同样不可恢复</w:t>
            </w:r>
          </w:p>
        </w:tc>
      </w:tr>
      <w:tr>
        <w:tc>
          <w:tcPr>
            <w:tcW w:type="dxa" w:w="1474"/>
          </w:tcPr>
          <w:p>
            <w:pPr>
              <w:spacing w:before="20" w:after="20" w:line="276" w:lineRule="auto"/>
              <w:ind w:firstLine="0"/>
            </w:pPr>
            <w:r/>
            <w:r>
              <w:rPr>
                <w:rFonts w:ascii="Times New Roman" w:hAnsi="Times New Roman" w:eastAsia="宋体"/>
                <w:b w:val="0"/>
                <w:i w:val="0"/>
                <w:sz w:val="21"/>
              </w:rPr>
              <w:t>执行中合同的下游业务触发</w:t>
            </w:r>
          </w:p>
        </w:tc>
        <w:tc>
          <w:tcPr>
            <w:tcW w:type="dxa" w:w="3175"/>
          </w:tcPr>
          <w:p>
            <w:pPr>
              <w:spacing w:before="20" w:after="20" w:line="276" w:lineRule="auto"/>
              <w:ind w:firstLine="0"/>
            </w:pPr>
            <w:r/>
            <w:r>
              <w:rPr>
                <w:rFonts w:ascii="Times New Roman" w:hAnsi="Times New Roman" w:eastAsia="宋体"/>
                <w:b w:val="0"/>
                <w:i w:val="0"/>
                <w:sz w:val="21"/>
              </w:rPr>
              <w:t>合同进入执行中后，可发起付款申请、发货申请、销售侧上传发票、采购侧开票申请，并可新增补充协议</w:t>
            </w:r>
          </w:p>
        </w:tc>
        <w:tc>
          <w:tcPr>
            <w:tcW w:type="dxa" w:w="4422"/>
          </w:tcPr>
          <w:p>
            <w:pPr>
              <w:spacing w:before="20" w:after="20" w:line="276" w:lineRule="auto"/>
              <w:ind w:firstLine="0"/>
            </w:pPr>
            <w:r/>
            <w:r>
              <w:rPr>
                <w:rFonts w:ascii="Times New Roman" w:hAnsi="Times New Roman" w:eastAsia="宋体"/>
                <w:b w:val="0"/>
                <w:i w:val="0"/>
                <w:sz w:val="21"/>
              </w:rPr>
              <w:t>下游单据只能关联执行中状态的合同；销售合同执行中按钮名为上传发票，采购合同执行中按钮名为开票申请，两个方向不混用</w:t>
            </w:r>
          </w:p>
        </w:tc>
      </w:tr>
      <w:tr>
        <w:tc>
          <w:tcPr>
            <w:tcW w:type="dxa" w:w="1474"/>
          </w:tcPr>
          <w:p>
            <w:pPr>
              <w:spacing w:before="20" w:after="20" w:line="276" w:lineRule="auto"/>
              <w:ind w:firstLine="0"/>
            </w:pPr>
            <w:r/>
            <w:r>
              <w:rPr>
                <w:rFonts w:ascii="Times New Roman" w:hAnsi="Times New Roman" w:eastAsia="宋体"/>
                <w:b w:val="0"/>
                <w:i w:val="0"/>
                <w:sz w:val="21"/>
              </w:rPr>
              <w:t>合同详情四项进度仪表盘</w:t>
            </w:r>
          </w:p>
        </w:tc>
        <w:tc>
          <w:tcPr>
            <w:tcW w:type="dxa" w:w="3175"/>
          </w:tcPr>
          <w:p>
            <w:pPr>
              <w:spacing w:before="20" w:after="20" w:line="276" w:lineRule="auto"/>
              <w:ind w:firstLine="0"/>
            </w:pPr>
            <w:r/>
            <w:r>
              <w:rPr>
                <w:rFonts w:ascii="Times New Roman" w:hAnsi="Times New Roman" w:eastAsia="宋体"/>
                <w:b w:val="0"/>
                <w:i w:val="0"/>
                <w:sz w:val="21"/>
              </w:rPr>
              <w:t>合同详情页展示货物进度、付款进度、结算进度、开票进度四项进度仪表盘</w:t>
            </w:r>
          </w:p>
        </w:tc>
        <w:tc>
          <w:tcPr>
            <w:tcW w:type="dxa" w:w="4422"/>
          </w:tcPr>
          <w:p>
            <w:pPr>
              <w:spacing w:before="20" w:after="20" w:line="276" w:lineRule="auto"/>
              <w:ind w:firstLine="0"/>
            </w:pPr>
            <w:r/>
            <w:r>
              <w:rPr>
                <w:rFonts w:ascii="Times New Roman" w:hAnsi="Times New Roman" w:eastAsia="宋体"/>
                <w:b w:val="0"/>
                <w:i w:val="0"/>
                <w:sz w:val="21"/>
              </w:rPr>
              <w:t>货物进度 = 销售合同量与下游货转量之比，数据源为货转管理的下游货转数据；付款进度 = 资金管理中对应合同的付款总和；结算进度 = 结算单管理中对应此合同的结算总金额；开票进度取数口径尚未确定</w:t>
            </w:r>
          </w:p>
        </w:tc>
      </w:tr>
      <w:tr>
        <w:tc>
          <w:tcPr>
            <w:tcW w:type="dxa" w:w="1474"/>
          </w:tcPr>
          <w:p>
            <w:pPr>
              <w:spacing w:before="20" w:after="20" w:line="276" w:lineRule="auto"/>
              <w:ind w:firstLine="0"/>
            </w:pPr>
            <w:r/>
            <w:r>
              <w:rPr>
                <w:rFonts w:ascii="Times New Roman" w:hAnsi="Times New Roman" w:eastAsia="宋体"/>
                <w:b w:val="0"/>
                <w:i w:val="0"/>
                <w:sz w:val="21"/>
              </w:rPr>
              <w:t>合同完结与作废发起</w:t>
            </w:r>
          </w:p>
        </w:tc>
        <w:tc>
          <w:tcPr>
            <w:tcW w:type="dxa" w:w="3175"/>
          </w:tcPr>
          <w:p>
            <w:pPr>
              <w:spacing w:before="20" w:after="20" w:line="276" w:lineRule="auto"/>
              <w:ind w:firstLine="0"/>
            </w:pPr>
            <w:r/>
            <w:r>
              <w:rPr>
                <w:rFonts w:ascii="Times New Roman" w:hAnsi="Times New Roman" w:eastAsia="宋体"/>
                <w:b w:val="0"/>
                <w:i w:val="0"/>
                <w:sz w:val="21"/>
              </w:rPr>
              <w:t>执行中的合同在全部执行完成后由业务员发起合同完结，未完成项会阻断完结</w:t>
            </w:r>
          </w:p>
        </w:tc>
        <w:tc>
          <w:tcPr>
            <w:tcW w:type="dxa" w:w="4422"/>
          </w:tcPr>
          <w:p>
            <w:pPr>
              <w:spacing w:before="20" w:after="20" w:line="276" w:lineRule="auto"/>
              <w:ind w:firstLine="0"/>
            </w:pPr>
            <w:r/>
            <w:r>
              <w:rPr>
                <w:rFonts w:ascii="Times New Roman" w:hAnsi="Times New Roman" w:eastAsia="宋体"/>
                <w:b w:val="0"/>
                <w:i w:val="0"/>
                <w:sz w:val="21"/>
              </w:rPr>
              <w:t>发起完结时对合同各项执行情况逐项校验，全部通过才转为已完结，任一项未通过时阻断并列出未完成项；执行中合同发生变更须走补充协议，已完结合同不可再变更</w:t>
            </w:r>
          </w:p>
        </w:tc>
      </w:tr>
      <w:tr>
        <w:tc>
          <w:tcPr>
            <w:tcW w:type="dxa" w:w="1474"/>
          </w:tcPr>
          <w:p>
            <w:pPr>
              <w:spacing w:before="20" w:after="20" w:line="276" w:lineRule="auto"/>
              <w:ind w:firstLine="0"/>
            </w:pPr>
            <w:r/>
            <w:r>
              <w:rPr>
                <w:rFonts w:ascii="Times New Roman" w:hAnsi="Times New Roman" w:eastAsia="宋体"/>
                <w:b w:val="0"/>
                <w:i w:val="0"/>
                <w:sz w:val="21"/>
              </w:rPr>
              <w:t>上下游合同关联与业务线建立</w:t>
            </w:r>
          </w:p>
        </w:tc>
        <w:tc>
          <w:tcPr>
            <w:tcW w:type="dxa" w:w="3175"/>
          </w:tcPr>
          <w:p>
            <w:pPr>
              <w:spacing w:before="20" w:after="20" w:line="276" w:lineRule="auto"/>
              <w:ind w:firstLine="0"/>
            </w:pPr>
            <w:r/>
            <w:r>
              <w:rPr>
                <w:rFonts w:ascii="Times New Roman" w:hAnsi="Times New Roman" w:eastAsia="宋体"/>
                <w:b w:val="0"/>
                <w:i w:val="0"/>
                <w:sz w:val="21"/>
              </w:rPr>
              <w:t>采购合同详情可选择销售合同建立关联，关联成功后自动建立业务线并同步业务线台账</w:t>
            </w:r>
          </w:p>
        </w:tc>
        <w:tc>
          <w:tcPr>
            <w:tcW w:type="dxa" w:w="4422"/>
          </w:tcPr>
          <w:p>
            <w:pPr>
              <w:spacing w:before="20" w:after="20" w:line="276" w:lineRule="auto"/>
              <w:ind w:firstLine="0"/>
            </w:pPr>
            <w:r/>
            <w:r>
              <w:rPr>
                <w:rFonts w:ascii="Times New Roman" w:hAnsi="Times New Roman" w:eastAsia="宋体"/>
                <w:b w:val="0"/>
                <w:i w:val="0"/>
                <w:sz w:val="21"/>
              </w:rPr>
              <w:t>仅可选择执行中状态的合同；一份合同已关联其他业务线时不允许重复关联；解除关联后合同的业务线字段清空，业务线无任何合同时同步释放</w:t>
            </w:r>
          </w:p>
        </w:tc>
      </w:tr>
    </w:tbl>
    <w:p>
      <w:pPr>
        <w:spacing w:before="0" w:after="0" w:line="240" w:lineRule="auto"/>
      </w:pP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tblGrid>
      <w:tr>
        <w:trPr>
          <w:tblHeader w:val="true"/>
        </w:trPr>
        <w:tc>
          <w:tcPr>
            <w:tcW w:type="dxa" w:w="1247"/>
            <w:shd w:val="clear" w:color="auto" w:fill="DCE6F1"/>
          </w:tcPr>
          <w:p>
            <w:pPr>
              <w:spacing w:before="40" w:after="40" w:line="276" w:lineRule="auto"/>
              <w:jc w:val="center"/>
            </w:pPr>
            <w:r/>
            <w:r>
              <w:rPr>
                <w:rFonts w:ascii="Times New Roman" w:hAnsi="Times New Roman" w:eastAsia="黑体"/>
                <w:b/>
                <w:i w:val="0"/>
                <w:sz w:val="19"/>
              </w:rPr>
              <w:t>页面</w:t>
            </w:r>
          </w:p>
        </w:tc>
        <w:tc>
          <w:tcPr>
            <w:tcW w:type="dxa" w:w="1474"/>
            <w:shd w:val="clear" w:color="auto" w:fill="DCE6F1"/>
          </w:tcPr>
          <w:p>
            <w:pPr>
              <w:spacing w:before="40" w:after="40" w:line="276" w:lineRule="auto"/>
              <w:jc w:val="center"/>
            </w:pPr>
            <w:r/>
            <w:r>
              <w:rPr>
                <w:rFonts w:ascii="Times New Roman" w:hAnsi="Times New Roman" w:eastAsia="黑体"/>
                <w:b/>
                <w:i w:val="0"/>
                <w:sz w:val="19"/>
              </w:rPr>
              <w:t>文件</w:t>
            </w:r>
          </w:p>
        </w:tc>
        <w:tc>
          <w:tcPr>
            <w:tcW w:type="dxa" w:w="1134"/>
            <w:shd w:val="clear" w:color="auto" w:fill="DCE6F1"/>
          </w:tcPr>
          <w:p>
            <w:pPr>
              <w:spacing w:before="40" w:after="40" w:line="276" w:lineRule="auto"/>
              <w:jc w:val="center"/>
            </w:pPr>
            <w:r/>
            <w:r>
              <w:rPr>
                <w:rFonts w:ascii="Times New Roman" w:hAnsi="Times New Roman" w:eastAsia="黑体"/>
                <w:b/>
                <w:i w:val="0"/>
                <w:sz w:val="19"/>
              </w:rPr>
              <w:t>入口</w:t>
            </w:r>
          </w:p>
        </w:tc>
        <w:tc>
          <w:tcPr>
            <w:tcW w:type="dxa" w:w="2041"/>
            <w:shd w:val="clear" w:color="auto" w:fill="DCE6F1"/>
          </w:tcPr>
          <w:p>
            <w:pPr>
              <w:spacing w:before="40" w:after="40" w:line="276" w:lineRule="auto"/>
              <w:jc w:val="center"/>
            </w:pPr>
            <w:r/>
            <w:r>
              <w:rPr>
                <w:rFonts w:ascii="Times New Roman" w:hAnsi="Times New Roman" w:eastAsia="黑体"/>
                <w:b/>
                <w:i w:val="0"/>
                <w:sz w:val="19"/>
              </w:rPr>
              <w:t>主要区块</w:t>
            </w:r>
          </w:p>
        </w:tc>
        <w:tc>
          <w:tcPr>
            <w:tcW w:type="dxa" w:w="1701"/>
            <w:shd w:val="clear" w:color="auto" w:fill="DCE6F1"/>
          </w:tcPr>
          <w:p>
            <w:pPr>
              <w:spacing w:before="40" w:after="40" w:line="276" w:lineRule="auto"/>
              <w:jc w:val="center"/>
            </w:pPr>
            <w:r/>
            <w:r>
              <w:rPr>
                <w:rFonts w:ascii="Times New Roman" w:hAnsi="Times New Roman" w:eastAsia="黑体"/>
                <w:b/>
                <w:i w:val="0"/>
                <w:sz w:val="19"/>
              </w:rPr>
              <w:t>主要操作</w:t>
            </w:r>
          </w:p>
        </w:tc>
        <w:tc>
          <w:tcPr>
            <w:tcW w:type="dxa" w:w="1474"/>
            <w:shd w:val="clear" w:color="auto" w:fill="DCE6F1"/>
          </w:tcPr>
          <w:p>
            <w:pPr>
              <w:spacing w:before="40" w:after="40" w:line="276" w:lineRule="auto"/>
              <w:jc w:val="center"/>
            </w:pPr>
            <w:r/>
            <w:r>
              <w:rPr>
                <w:rFonts w:ascii="Times New Roman" w:hAnsi="Times New Roman" w:eastAsia="黑体"/>
                <w:b/>
                <w:i w:val="0"/>
                <w:sz w:val="19"/>
              </w:rPr>
              <w:t>跳转</w:t>
            </w:r>
          </w:p>
        </w:tc>
      </w:tr>
      <w:tr>
        <w:tc>
          <w:tcPr>
            <w:tcW w:type="dxa" w:w="1247"/>
          </w:tcPr>
          <w:p>
            <w:pPr>
              <w:spacing w:before="20" w:after="20" w:line="276" w:lineRule="auto"/>
              <w:ind w:firstLine="0"/>
            </w:pPr>
            <w:r/>
            <w:r>
              <w:rPr>
                <w:rFonts w:ascii="Times New Roman" w:hAnsi="Times New Roman" w:eastAsia="宋体"/>
                <w:b w:val="0"/>
                <w:i w:val="0"/>
                <w:sz w:val="19"/>
              </w:rPr>
              <w:t>采购合同列表</w:t>
            </w:r>
          </w:p>
        </w:tc>
        <w:tc>
          <w:tcPr>
            <w:tcW w:type="dxa" w:w="1474"/>
          </w:tcPr>
          <w:p>
            <w:pPr>
              <w:spacing w:before="20" w:after="20" w:line="276" w:lineRule="auto"/>
              <w:ind w:firstLine="0"/>
            </w:pPr>
            <w:r/>
            <w:r>
              <w:rPr>
                <w:rFonts w:ascii="Times New Roman" w:hAnsi="Times New Roman" w:eastAsia="宋体"/>
                <w:b w:val="0"/>
                <w:i w:val="0"/>
                <w:sz w:val="19"/>
              </w:rPr>
              <w:t>contract-purchase.html</w:t>
            </w:r>
          </w:p>
        </w:tc>
        <w:tc>
          <w:tcPr>
            <w:tcW w:type="dxa" w:w="1134"/>
          </w:tcPr>
          <w:p>
            <w:pPr>
              <w:spacing w:before="20" w:after="20" w:line="276" w:lineRule="auto"/>
              <w:ind w:firstLine="0"/>
            </w:pPr>
            <w:r/>
            <w:r>
              <w:rPr>
                <w:rFonts w:ascii="Times New Roman" w:hAnsi="Times New Roman" w:eastAsia="宋体"/>
                <w:b w:val="0"/>
                <w:i w:val="0"/>
                <w:sz w:val="19"/>
              </w:rPr>
              <w:t>数字供应链 → 合同管理 → 采购合同</w:t>
            </w:r>
          </w:p>
        </w:tc>
        <w:tc>
          <w:tcPr>
            <w:tcW w:type="dxa" w:w="2041"/>
          </w:tcPr>
          <w:p>
            <w:pPr>
              <w:spacing w:before="20" w:after="20" w:line="276" w:lineRule="auto"/>
              <w:ind w:firstLine="0"/>
            </w:pPr>
            <w:r/>
            <w:r>
              <w:rPr>
                <w:rFonts w:ascii="Times New Roman" w:hAnsi="Times New Roman" w:eastAsia="宋体"/>
                <w:b w:val="0"/>
                <w:i w:val="0"/>
                <w:sz w:val="19"/>
              </w:rPr>
              <w:t>状态 Tab（全部 / 待提交 / 审批中 / 待上传双签合同 / 执行中 / 已完结 / 审批驳回 / 已作废）、筛选区、合同列表表格、分页</w:t>
            </w:r>
          </w:p>
        </w:tc>
        <w:tc>
          <w:tcPr>
            <w:tcW w:type="dxa" w:w="1701"/>
          </w:tcPr>
          <w:p>
            <w:pPr>
              <w:spacing w:before="20" w:after="20" w:line="276" w:lineRule="auto"/>
              <w:ind w:firstLine="0"/>
            </w:pPr>
            <w:r/>
            <w:r>
              <w:rPr>
                <w:rFonts w:ascii="Times New Roman" w:hAnsi="Times New Roman" w:eastAsia="宋体"/>
                <w:b w:val="0"/>
                <w:i w:val="0"/>
                <w:sz w:val="19"/>
              </w:rPr>
              <w:t>新增合同（弹 5 种创建方式选择）、数据导出（导出 Excel）；行内：合同详情、上传双签合同（仅待上传双签合同状态可见）、付款申请（仅执行中状态可见）、新增补协、发起合同完结、更多（编辑 / 作废 / 驳回 / 复制）</w:t>
            </w:r>
          </w:p>
        </w:tc>
        <w:tc>
          <w:tcPr>
            <w:tcW w:type="dxa" w:w="1474"/>
          </w:tcPr>
          <w:p>
            <w:pPr>
              <w:spacing w:before="20" w:after="20" w:line="276" w:lineRule="auto"/>
              <w:ind w:firstLine="0"/>
            </w:pPr>
            <w:r/>
            <w:r>
              <w:rPr>
                <w:rFonts w:ascii="Times New Roman" w:hAnsi="Times New Roman" w:eastAsia="宋体"/>
                <w:b w:val="0"/>
                <w:i w:val="0"/>
                <w:sz w:val="19"/>
              </w:rPr>
              <w:t>合同详情 → 采购框架合同详情或采购订单合同详情；付款申请 → 付款新建并带入合同 ID；发货申请 → 发货新建；上传双签合同 → 居中上传弹窗</w:t>
            </w:r>
          </w:p>
        </w:tc>
      </w:tr>
      <w:tr>
        <w:tc>
          <w:tcPr>
            <w:tcW w:type="dxa" w:w="1247"/>
          </w:tcPr>
          <w:p>
            <w:pPr>
              <w:spacing w:before="20" w:after="20" w:line="276" w:lineRule="auto"/>
              <w:ind w:firstLine="0"/>
            </w:pPr>
            <w:r/>
            <w:r>
              <w:rPr>
                <w:rFonts w:ascii="Times New Roman" w:hAnsi="Times New Roman" w:eastAsia="宋体"/>
                <w:b w:val="0"/>
                <w:i w:val="0"/>
                <w:sz w:val="19"/>
              </w:rPr>
              <w:t>新增采购合同</w:t>
            </w:r>
          </w:p>
        </w:tc>
        <w:tc>
          <w:tcPr>
            <w:tcW w:type="dxa" w:w="1474"/>
          </w:tcPr>
          <w:p>
            <w:pPr>
              <w:spacing w:before="20" w:after="20" w:line="276" w:lineRule="auto"/>
              <w:ind w:firstLine="0"/>
            </w:pPr>
            <w:r/>
            <w:r>
              <w:rPr>
                <w:rFonts w:ascii="Times New Roman" w:hAnsi="Times New Roman" w:eastAsia="宋体"/>
                <w:b w:val="0"/>
                <w:i w:val="0"/>
                <w:sz w:val="19"/>
              </w:rPr>
              <w:t>contract-purchase-new.html</w:t>
            </w:r>
          </w:p>
        </w:tc>
        <w:tc>
          <w:tcPr>
            <w:tcW w:type="dxa" w:w="1134"/>
          </w:tcPr>
          <w:p>
            <w:pPr>
              <w:spacing w:before="20" w:after="20" w:line="276" w:lineRule="auto"/>
              <w:ind w:firstLine="0"/>
            </w:pPr>
            <w:r/>
            <w:r>
              <w:rPr>
                <w:rFonts w:ascii="Times New Roman" w:hAnsi="Times New Roman" w:eastAsia="宋体"/>
                <w:b w:val="0"/>
                <w:i w:val="0"/>
                <w:sz w:val="19"/>
              </w:rPr>
              <w:t>采购合同列表「新增合同」并选择创建方式</w:t>
            </w:r>
          </w:p>
        </w:tc>
        <w:tc>
          <w:tcPr>
            <w:tcW w:type="dxa" w:w="2041"/>
          </w:tcPr>
          <w:p>
            <w:pPr>
              <w:spacing w:before="20" w:after="20" w:line="276" w:lineRule="auto"/>
              <w:ind w:firstLine="0"/>
            </w:pPr>
            <w:r/>
            <w:r>
              <w:rPr>
                <w:rFonts w:ascii="Times New Roman" w:hAnsi="Times New Roman" w:eastAsia="宋体"/>
                <w:b w:val="0"/>
                <w:i w:val="0"/>
                <w:sz w:val="19"/>
              </w:rPr>
              <w:t>合同信息表单（合同名称、关联项目、客户、品类、业务类型、合同量与浮动比例、计量单位、合同单价、合同金额、合同签署状态、交货期限起止）、附件区（待盖章合同附件 + 其他附件）</w:t>
            </w:r>
          </w:p>
        </w:tc>
        <w:tc>
          <w:tcPr>
            <w:tcW w:type="dxa" w:w="1701"/>
          </w:tcPr>
          <w:p>
            <w:pPr>
              <w:spacing w:before="20" w:after="20" w:line="276" w:lineRule="auto"/>
              <w:ind w:firstLine="0"/>
            </w:pPr>
            <w:r/>
            <w:r>
              <w:rPr>
                <w:rFonts w:ascii="Times New Roman" w:hAnsi="Times New Roman" w:eastAsia="宋体"/>
                <w:b w:val="0"/>
                <w:i w:val="0"/>
                <w:sz w:val="19"/>
              </w:rPr>
              <w:t>取消（返回列表）、保存（存草稿）、提交（走审批）；签署状态下拉切换后联动附件单据类型名称</w:t>
            </w:r>
          </w:p>
        </w:tc>
        <w:tc>
          <w:tcPr>
            <w:tcW w:type="dxa" w:w="1474"/>
          </w:tcPr>
          <w:p>
            <w:pPr>
              <w:spacing w:before="20" w:after="20" w:line="276" w:lineRule="auto"/>
              <w:ind w:firstLine="0"/>
            </w:pPr>
            <w:r/>
            <w:r>
              <w:rPr>
                <w:rFonts w:ascii="Times New Roman" w:hAnsi="Times New Roman" w:eastAsia="宋体"/>
                <w:b w:val="0"/>
                <w:i w:val="0"/>
                <w:sz w:val="19"/>
              </w:rPr>
              <w:t>提交成功 → 返回采购合同列表且状态为待提交；取消 → 返回采购合同列表</w:t>
            </w:r>
          </w:p>
        </w:tc>
      </w:tr>
      <w:tr>
        <w:tc>
          <w:tcPr>
            <w:tcW w:type="dxa" w:w="1247"/>
          </w:tcPr>
          <w:p>
            <w:pPr>
              <w:spacing w:before="20" w:after="20" w:line="276" w:lineRule="auto"/>
              <w:ind w:firstLine="0"/>
            </w:pPr>
            <w:r/>
            <w:r>
              <w:rPr>
                <w:rFonts w:ascii="Times New Roman" w:hAnsi="Times New Roman" w:eastAsia="宋体"/>
                <w:b w:val="0"/>
                <w:i w:val="0"/>
                <w:sz w:val="19"/>
              </w:rPr>
              <w:t>采购订单合同详情</w:t>
            </w:r>
          </w:p>
        </w:tc>
        <w:tc>
          <w:tcPr>
            <w:tcW w:type="dxa" w:w="1474"/>
          </w:tcPr>
          <w:p>
            <w:pPr>
              <w:spacing w:before="20" w:after="20" w:line="276" w:lineRule="auto"/>
              <w:ind w:firstLine="0"/>
            </w:pPr>
            <w:r/>
            <w:r>
              <w:rPr>
                <w:rFonts w:ascii="Times New Roman" w:hAnsi="Times New Roman" w:eastAsia="宋体"/>
                <w:b w:val="0"/>
                <w:i w:val="0"/>
                <w:sz w:val="19"/>
              </w:rPr>
              <w:t>contract-purchase-order-detail.html</w:t>
            </w:r>
          </w:p>
        </w:tc>
        <w:tc>
          <w:tcPr>
            <w:tcW w:type="dxa" w:w="1134"/>
          </w:tcPr>
          <w:p>
            <w:pPr>
              <w:spacing w:before="20" w:after="20" w:line="276" w:lineRule="auto"/>
              <w:ind w:firstLine="0"/>
            </w:pPr>
            <w:r/>
            <w:r>
              <w:rPr>
                <w:rFonts w:ascii="Times New Roman" w:hAnsi="Times New Roman" w:eastAsia="宋体"/>
                <w:b w:val="0"/>
                <w:i w:val="0"/>
                <w:sz w:val="19"/>
              </w:rPr>
              <w:t>采购合同列表行「合同详情」</w:t>
            </w:r>
          </w:p>
        </w:tc>
        <w:tc>
          <w:tcPr>
            <w:tcW w:type="dxa" w:w="2041"/>
          </w:tcPr>
          <w:p>
            <w:pPr>
              <w:spacing w:before="20" w:after="20" w:line="276" w:lineRule="auto"/>
              <w:ind w:firstLine="0"/>
            </w:pPr>
            <w:r/>
            <w:r>
              <w:rPr>
                <w:rFonts w:ascii="Times New Roman" w:hAnsi="Times New Roman" w:eastAsia="宋体"/>
                <w:b w:val="0"/>
                <w:i w:val="0"/>
                <w:sz w:val="19"/>
              </w:rPr>
              <w:t>合同信息、补协信息、审批管理（审批中）或审批记录（其他状态）、货物进度、付款进度、结算进度、开票进度四项仪表盘、操作记录</w:t>
            </w:r>
          </w:p>
        </w:tc>
        <w:tc>
          <w:tcPr>
            <w:tcW w:type="dxa" w:w="1701"/>
          </w:tcPr>
          <w:p>
            <w:pPr>
              <w:spacing w:before="20" w:after="20" w:line="276" w:lineRule="auto"/>
              <w:ind w:firstLine="0"/>
            </w:pPr>
            <w:r/>
            <w:r>
              <w:rPr>
                <w:rFonts w:ascii="Times New Roman" w:hAnsi="Times New Roman" w:eastAsia="宋体"/>
                <w:b w:val="0"/>
                <w:i w:val="0"/>
                <w:sz w:val="19"/>
              </w:rPr>
              <w:t>审批中状态在任意 tab 显示「审批通过」「驳回审批」固定底栏；行内：上传双签合同、付款申请、发货申请、新增补协、发起合同完结</w:t>
            </w:r>
          </w:p>
        </w:tc>
        <w:tc>
          <w:tcPr>
            <w:tcW w:type="dxa" w:w="1474"/>
          </w:tcPr>
          <w:p>
            <w:pPr>
              <w:spacing w:before="20" w:after="20" w:line="276" w:lineRule="auto"/>
              <w:ind w:firstLine="0"/>
            </w:pPr>
            <w:r/>
            <w:r>
              <w:rPr>
                <w:rFonts w:ascii="Times New Roman" w:hAnsi="Times New Roman" w:eastAsia="宋体"/>
                <w:b w:val="0"/>
                <w:i w:val="0"/>
                <w:sz w:val="19"/>
              </w:rPr>
              <w:t>付款申请 → 付款新建；发货申请 → 发货新建；新增补协 → 补充协议新建页</w:t>
            </w:r>
          </w:p>
        </w:tc>
      </w:tr>
      <w:tr>
        <w:tc>
          <w:tcPr>
            <w:tcW w:type="dxa" w:w="1247"/>
          </w:tcPr>
          <w:p>
            <w:pPr>
              <w:spacing w:before="20" w:after="20" w:line="276" w:lineRule="auto"/>
              <w:ind w:firstLine="0"/>
            </w:pPr>
            <w:r/>
            <w:r>
              <w:rPr>
                <w:rFonts w:ascii="Times New Roman" w:hAnsi="Times New Roman" w:eastAsia="宋体"/>
                <w:b w:val="0"/>
                <w:i w:val="0"/>
                <w:sz w:val="19"/>
              </w:rPr>
              <w:t>采购合同关联销售合同</w:t>
            </w:r>
          </w:p>
        </w:tc>
        <w:tc>
          <w:tcPr>
            <w:tcW w:type="dxa" w:w="1474"/>
          </w:tcPr>
          <w:p>
            <w:pPr>
              <w:spacing w:before="20" w:after="20" w:line="276" w:lineRule="auto"/>
              <w:ind w:firstLine="0"/>
            </w:pPr>
            <w:r/>
            <w:r>
              <w:rPr>
                <w:rFonts w:ascii="Times New Roman" w:hAnsi="Times New Roman" w:eastAsia="宋体"/>
                <w:b w:val="0"/>
                <w:i w:val="0"/>
                <w:sz w:val="19"/>
              </w:rPr>
              <w:t>contract-purchase-relate-sales.html</w:t>
            </w:r>
          </w:p>
        </w:tc>
        <w:tc>
          <w:tcPr>
            <w:tcW w:type="dxa" w:w="1134"/>
          </w:tcPr>
          <w:p>
            <w:pPr>
              <w:spacing w:before="20" w:after="20" w:line="276" w:lineRule="auto"/>
              <w:ind w:firstLine="0"/>
            </w:pPr>
            <w:r/>
            <w:r>
              <w:rPr>
                <w:rFonts w:ascii="Times New Roman" w:hAnsi="Times New Roman" w:eastAsia="宋体"/>
                <w:b w:val="0"/>
                <w:i w:val="0"/>
                <w:sz w:val="19"/>
              </w:rPr>
              <w:t>采购合同详情 → 关联销售合同</w:t>
            </w:r>
          </w:p>
        </w:tc>
        <w:tc>
          <w:tcPr>
            <w:tcW w:type="dxa" w:w="2041"/>
          </w:tcPr>
          <w:p>
            <w:pPr>
              <w:spacing w:before="20" w:after="20" w:line="276" w:lineRule="auto"/>
              <w:ind w:firstLine="0"/>
            </w:pPr>
            <w:r/>
            <w:r>
              <w:rPr>
                <w:rFonts w:ascii="Times New Roman" w:hAnsi="Times New Roman" w:eastAsia="宋体"/>
                <w:b w:val="0"/>
                <w:i w:val="0"/>
                <w:sz w:val="19"/>
              </w:rPr>
              <w:t>区块 1 采购合同信息（4 行 3 列只读）、区块 2 已选销售合同信息卡（合同编号 / 卖方 / 买方 / 品名 / 单价 / 数量）、关联说明</w:t>
            </w:r>
          </w:p>
        </w:tc>
        <w:tc>
          <w:tcPr>
            <w:tcW w:type="dxa" w:w="1701"/>
          </w:tcPr>
          <w:p>
            <w:pPr>
              <w:spacing w:before="20" w:after="20" w:line="276" w:lineRule="auto"/>
              <w:ind w:firstLine="0"/>
            </w:pPr>
            <w:r/>
            <w:r>
              <w:rPr>
                <w:rFonts w:ascii="Times New Roman" w:hAnsi="Times New Roman" w:eastAsia="宋体"/>
                <w:b w:val="0"/>
                <w:i w:val="0"/>
                <w:sz w:val="19"/>
              </w:rPr>
              <w:t>选择销售订单（弹窗选销售合同）、更换合同、解除关联、保存（二次确认后建立业务线）、取消</w:t>
            </w:r>
          </w:p>
        </w:tc>
        <w:tc>
          <w:tcPr>
            <w:tcW w:type="dxa" w:w="1474"/>
          </w:tcPr>
          <w:p>
            <w:pPr>
              <w:spacing w:before="20" w:after="20" w:line="276" w:lineRule="auto"/>
              <w:ind w:firstLine="0"/>
            </w:pPr>
            <w:r/>
            <w:r>
              <w:rPr>
                <w:rFonts w:ascii="Times New Roman" w:hAnsi="Times New Roman" w:eastAsia="宋体"/>
                <w:b w:val="0"/>
                <w:i w:val="0"/>
                <w:sz w:val="19"/>
              </w:rPr>
              <w:t>保存成功 → 业务线自动建立且状态为执行中，可进入业务线详情；取消 → 返回采购合同详情</w:t>
            </w:r>
          </w:p>
        </w:tc>
      </w:tr>
      <w:tr>
        <w:tc>
          <w:tcPr>
            <w:tcW w:type="dxa" w:w="1247"/>
          </w:tcPr>
          <w:p>
            <w:pPr>
              <w:spacing w:before="20" w:after="20" w:line="276" w:lineRule="auto"/>
              <w:ind w:firstLine="0"/>
            </w:pPr>
            <w:r/>
            <w:r>
              <w:rPr>
                <w:rFonts w:ascii="Times New Roman" w:hAnsi="Times New Roman" w:eastAsia="宋体"/>
                <w:b w:val="0"/>
                <w:i w:val="0"/>
                <w:sz w:val="19"/>
              </w:rPr>
              <w:t>补充协议列表</w:t>
            </w:r>
          </w:p>
        </w:tc>
        <w:tc>
          <w:tcPr>
            <w:tcW w:type="dxa" w:w="1474"/>
          </w:tcPr>
          <w:p>
            <w:pPr>
              <w:spacing w:before="20" w:after="20" w:line="276" w:lineRule="auto"/>
              <w:ind w:firstLine="0"/>
            </w:pPr>
            <w:r/>
            <w:r>
              <w:rPr>
                <w:rFonts w:ascii="Times New Roman" w:hAnsi="Times New Roman" w:eastAsia="宋体"/>
                <w:b w:val="0"/>
                <w:i w:val="0"/>
                <w:sz w:val="19"/>
              </w:rPr>
              <w:t>contract-supplement.html</w:t>
            </w:r>
          </w:p>
        </w:tc>
        <w:tc>
          <w:tcPr>
            <w:tcW w:type="dxa" w:w="1134"/>
          </w:tcPr>
          <w:p>
            <w:pPr>
              <w:spacing w:before="20" w:after="20" w:line="276" w:lineRule="auto"/>
              <w:ind w:firstLine="0"/>
            </w:pPr>
            <w:r/>
            <w:r>
              <w:rPr>
                <w:rFonts w:ascii="Times New Roman" w:hAnsi="Times New Roman" w:eastAsia="宋体"/>
                <w:b w:val="0"/>
                <w:i w:val="0"/>
                <w:sz w:val="19"/>
              </w:rPr>
              <w:t>数字供应链 → 合同管理 → 补充协议</w:t>
            </w:r>
          </w:p>
        </w:tc>
        <w:tc>
          <w:tcPr>
            <w:tcW w:type="dxa" w:w="2041"/>
          </w:tcPr>
          <w:p>
            <w:pPr>
              <w:spacing w:before="20" w:after="20" w:line="276" w:lineRule="auto"/>
              <w:ind w:firstLine="0"/>
            </w:pPr>
            <w:r/>
            <w:r>
              <w:rPr>
                <w:rFonts w:ascii="Times New Roman" w:hAnsi="Times New Roman" w:eastAsia="宋体"/>
                <w:b w:val="0"/>
                <w:i w:val="0"/>
                <w:sz w:val="19"/>
              </w:rPr>
              <w:t>状态 Tab、筛选区、补充协议列表表格、分页</w:t>
            </w:r>
          </w:p>
        </w:tc>
        <w:tc>
          <w:tcPr>
            <w:tcW w:type="dxa" w:w="1701"/>
          </w:tcPr>
          <w:p>
            <w:pPr>
              <w:spacing w:before="20" w:after="20" w:line="276" w:lineRule="auto"/>
              <w:ind w:firstLine="0"/>
            </w:pPr>
            <w:r/>
            <w:r>
              <w:rPr>
                <w:rFonts w:ascii="Times New Roman" w:hAnsi="Times New Roman" w:eastAsia="宋体"/>
                <w:b w:val="0"/>
                <w:i w:val="0"/>
                <w:sz w:val="19"/>
              </w:rPr>
              <w:t>新增补协（框架合同 / 订单单批次合同）、上传双签合同（仅待上传双签合同状态可见）、合同作废、更多；新增补协时若原合同已存在生效中、审批中、待上传双签或审批驳回状态的补充协议则弹提示阻止</w:t>
            </w:r>
          </w:p>
        </w:tc>
        <w:tc>
          <w:tcPr>
            <w:tcW w:type="dxa" w:w="1474"/>
          </w:tcPr>
          <w:p>
            <w:pPr>
              <w:spacing w:before="20" w:after="20" w:line="276" w:lineRule="auto"/>
              <w:ind w:firstLine="0"/>
            </w:pPr>
            <w:r/>
            <w:r>
              <w:rPr>
                <w:rFonts w:ascii="Times New Roman" w:hAnsi="Times New Roman" w:eastAsia="宋体"/>
                <w:b w:val="0"/>
                <w:i w:val="0"/>
                <w:sz w:val="19"/>
              </w:rPr>
              <w:t>新增补协 → 补充协议新建页；合同详情 → 补协框架详情或补协订单详情</w:t>
            </w:r>
          </w:p>
        </w:tc>
      </w:tr>
      <w:tr>
        <w:tc>
          <w:tcPr>
            <w:tcW w:type="dxa" w:w="1247"/>
          </w:tcPr>
          <w:p>
            <w:pPr>
              <w:spacing w:before="20" w:after="20" w:line="276" w:lineRule="auto"/>
              <w:ind w:firstLine="0"/>
            </w:pPr>
            <w:r/>
            <w:r>
              <w:rPr>
                <w:rFonts w:ascii="Times New Roman" w:hAnsi="Times New Roman" w:eastAsia="宋体"/>
                <w:b w:val="0"/>
                <w:i w:val="0"/>
                <w:sz w:val="19"/>
              </w:rPr>
              <w:t>运输合同</w:t>
            </w:r>
          </w:p>
        </w:tc>
        <w:tc>
          <w:tcPr>
            <w:tcW w:type="dxa" w:w="1474"/>
          </w:tcPr>
          <w:p>
            <w:pPr>
              <w:spacing w:before="20" w:after="20" w:line="276" w:lineRule="auto"/>
              <w:ind w:firstLine="0"/>
            </w:pPr>
            <w:r/>
            <w:r>
              <w:rPr>
                <w:rFonts w:ascii="Times New Roman" w:hAnsi="Times New Roman" w:eastAsia="宋体"/>
                <w:b w:val="0"/>
                <w:i w:val="0"/>
                <w:sz w:val="19"/>
              </w:rPr>
              <w:t>contract-shipping.html</w:t>
            </w:r>
          </w:p>
        </w:tc>
        <w:tc>
          <w:tcPr>
            <w:tcW w:type="dxa" w:w="1134"/>
          </w:tcPr>
          <w:p>
            <w:pPr>
              <w:spacing w:before="20" w:after="20" w:line="276" w:lineRule="auto"/>
              <w:ind w:firstLine="0"/>
            </w:pPr>
            <w:r/>
            <w:r>
              <w:rPr>
                <w:rFonts w:ascii="Times New Roman" w:hAnsi="Times New Roman" w:eastAsia="宋体"/>
                <w:b w:val="0"/>
                <w:i w:val="0"/>
                <w:sz w:val="19"/>
              </w:rPr>
              <w:t>数字供应链 → 合同管理 → 运输合同</w:t>
            </w:r>
          </w:p>
        </w:tc>
        <w:tc>
          <w:tcPr>
            <w:tcW w:type="dxa" w:w="2041"/>
          </w:tcPr>
          <w:p>
            <w:pPr>
              <w:spacing w:before="20" w:after="20" w:line="276" w:lineRule="auto"/>
              <w:ind w:firstLine="0"/>
            </w:pPr>
            <w:r/>
            <w:r>
              <w:rPr>
                <w:rFonts w:ascii="Times New Roman" w:hAnsi="Times New Roman" w:eastAsia="宋体"/>
                <w:b w:val="0"/>
                <w:i w:val="0"/>
                <w:sz w:val="19"/>
              </w:rPr>
              <w:t>运输合同列表（状态 Tab、筛选区、表格、分页）</w:t>
            </w:r>
          </w:p>
        </w:tc>
        <w:tc>
          <w:tcPr>
            <w:tcW w:type="dxa" w:w="1701"/>
          </w:tcPr>
          <w:p>
            <w:pPr>
              <w:spacing w:before="20" w:after="20" w:line="276" w:lineRule="auto"/>
              <w:ind w:firstLine="0"/>
            </w:pPr>
            <w:r/>
            <w:r>
              <w:rPr>
                <w:rFonts w:ascii="Times New Roman" w:hAnsi="Times New Roman" w:eastAsia="宋体"/>
                <w:b w:val="0"/>
                <w:i w:val="0"/>
                <w:sz w:val="19"/>
              </w:rPr>
              <w:t>新增运输合同、合同详情、数据导出</w:t>
            </w:r>
          </w:p>
        </w:tc>
        <w:tc>
          <w:tcPr>
            <w:tcW w:type="dxa" w:w="1474"/>
          </w:tcPr>
          <w:p>
            <w:pPr>
              <w:spacing w:before="20" w:after="20" w:line="276" w:lineRule="auto"/>
              <w:ind w:firstLine="0"/>
            </w:pPr>
            <w:r/>
            <w:r>
              <w:rPr>
                <w:rFonts w:ascii="Times New Roman" w:hAnsi="Times New Roman" w:eastAsia="宋体"/>
                <w:b w:val="0"/>
                <w:i w:val="0"/>
                <w:sz w:val="19"/>
              </w:rPr>
              <w:t>合同详情 → 运输合同详情；审批链、签章与状态流转与采销合同完全一致</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4.7.5　数据关系</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474"/>
            <w:shd w:val="clear" w:color="auto" w:fill="DCE6F1"/>
          </w:tcPr>
          <w:p>
            <w:pPr>
              <w:spacing w:before="40" w:after="40" w:line="276" w:lineRule="auto"/>
              <w:jc w:val="center"/>
            </w:pPr>
            <w:r/>
            <w:r>
              <w:rPr>
                <w:rFonts w:ascii="Times New Roman" w:hAnsi="Times New Roman" w:eastAsia="黑体"/>
                <w:b/>
                <w:i w:val="0"/>
                <w:sz w:val="21"/>
              </w:rPr>
              <w:t>业务对象</w:t>
            </w:r>
          </w:p>
        </w:tc>
        <w:tc>
          <w:tcPr>
            <w:tcW w:type="dxa" w:w="4195"/>
            <w:shd w:val="clear" w:color="auto" w:fill="DCE6F1"/>
          </w:tcPr>
          <w:p>
            <w:pPr>
              <w:spacing w:before="40" w:after="40" w:line="276" w:lineRule="auto"/>
              <w:jc w:val="center"/>
            </w:pPr>
            <w:r/>
            <w:r>
              <w:rPr>
                <w:rFonts w:ascii="Times New Roman" w:hAnsi="Times New Roman" w:eastAsia="黑体"/>
                <w:b/>
                <w:i w:val="0"/>
                <w:sz w:val="21"/>
              </w:rPr>
              <w:t>关键字段与口径</w:t>
            </w:r>
          </w:p>
        </w:tc>
        <w:tc>
          <w:tcPr>
            <w:tcW w:type="dxa" w:w="3402"/>
            <w:shd w:val="clear" w:color="auto" w:fill="DCE6F1"/>
          </w:tcPr>
          <w:p>
            <w:pPr>
              <w:spacing w:before="40" w:after="40" w:line="276" w:lineRule="auto"/>
              <w:jc w:val="center"/>
            </w:pPr>
            <w:r/>
            <w:r>
              <w:rPr>
                <w:rFonts w:ascii="Times New Roman" w:hAnsi="Times New Roman" w:eastAsia="黑体"/>
                <w:b/>
                <w:i w:val="0"/>
                <w:sz w:val="21"/>
              </w:rPr>
              <w:t>与其他对象的关系</w:t>
            </w:r>
          </w:p>
        </w:tc>
      </w:tr>
      <w:tr>
        <w:tc>
          <w:tcPr>
            <w:tcW w:type="dxa" w:w="1474"/>
          </w:tcPr>
          <w:p>
            <w:pPr>
              <w:spacing w:before="20" w:after="20" w:line="276" w:lineRule="auto"/>
              <w:ind w:firstLine="0"/>
            </w:pPr>
            <w:r/>
            <w:r>
              <w:rPr>
                <w:rFonts w:ascii="Times New Roman" w:hAnsi="Times New Roman" w:eastAsia="宋体"/>
                <w:b w:val="0"/>
                <w:i w:val="0"/>
                <w:sz w:val="21"/>
              </w:rPr>
              <w:t>合同主表</w:t>
            </w:r>
          </w:p>
        </w:tc>
        <w:tc>
          <w:tcPr>
            <w:tcW w:type="dxa" w:w="4195"/>
          </w:tcPr>
          <w:p>
            <w:pPr>
              <w:spacing w:before="20" w:after="20" w:line="276" w:lineRule="auto"/>
              <w:ind w:firstLine="0"/>
            </w:pPr>
            <w:r/>
            <w:r>
              <w:rPr>
                <w:rFonts w:ascii="Times New Roman" w:hAnsi="Times New Roman" w:eastAsia="宋体"/>
                <w:b w:val="0"/>
                <w:i w:val="0"/>
                <w:sz w:val="21"/>
              </w:rPr>
              <w:t>合同号：4 段格式，第 3 段随机生成不承载业务含义，第 4 段为 3 位流水</w:t>
            </w:r>
            <w:r>
              <w:br/>
            </w:r>
            <w:r>
              <w:rPr>
                <w:rFonts w:ascii="Times New Roman" w:hAnsi="Times New Roman" w:eastAsia="宋体"/>
                <w:b w:val="0"/>
                <w:i w:val="0"/>
                <w:sz w:val="21"/>
              </w:rPr>
              <w:t>关联项目：来自项目管理，项目完结后才允许创建合同</w:t>
            </w:r>
            <w:r>
              <w:br/>
            </w:r>
            <w:r>
              <w:rPr>
                <w:rFonts w:ascii="Times New Roman" w:hAnsi="Times New Roman" w:eastAsia="宋体"/>
                <w:b w:val="0"/>
                <w:i w:val="0"/>
                <w:sz w:val="21"/>
              </w:rPr>
              <w:t>业务类型：5 选 1，存货业务 / 预付业务 / 账期业务 / 购销业务 / 总代业务</w:t>
            </w:r>
            <w:r>
              <w:br/>
            </w:r>
            <w:r>
              <w:rPr>
                <w:rFonts w:ascii="Times New Roman" w:hAnsi="Times New Roman" w:eastAsia="宋体"/>
                <w:b w:val="0"/>
                <w:i w:val="0"/>
                <w:sz w:val="21"/>
              </w:rPr>
              <w:t>合同方向：采购 / 销售 / 运输</w:t>
            </w:r>
            <w:r>
              <w:br/>
            </w:r>
            <w:r>
              <w:rPr>
                <w:rFonts w:ascii="Times New Roman" w:hAnsi="Times New Roman" w:eastAsia="宋体"/>
                <w:b w:val="0"/>
                <w:i w:val="0"/>
                <w:sz w:val="21"/>
              </w:rPr>
              <w:t>合同子类型：框架合同 / 订单单批次合同 / 补充协议</w:t>
            </w:r>
            <w:r>
              <w:br/>
            </w:r>
            <w:r>
              <w:rPr>
                <w:rFonts w:ascii="Times New Roman" w:hAnsi="Times New Roman" w:eastAsia="宋体"/>
                <w:b w:val="0"/>
                <w:i w:val="0"/>
                <w:sz w:val="21"/>
              </w:rPr>
              <w:t>关联客户：直接引用客户主数据，客户须处于执行中状态</w:t>
            </w:r>
            <w:r>
              <w:br/>
            </w:r>
            <w:r>
              <w:rPr>
                <w:rFonts w:ascii="Times New Roman" w:hAnsi="Times New Roman" w:eastAsia="宋体"/>
                <w:b w:val="0"/>
                <w:i w:val="0"/>
                <w:sz w:val="21"/>
              </w:rPr>
              <w:t>货物品类：全平台统一为淀粉制品 / 糖粉 / 谷物</w:t>
            </w:r>
            <w:r>
              <w:br/>
            </w:r>
            <w:r>
              <w:rPr>
                <w:rFonts w:ascii="Times New Roman" w:hAnsi="Times New Roman" w:eastAsia="宋体"/>
                <w:b w:val="0"/>
                <w:i w:val="0"/>
                <w:sz w:val="21"/>
              </w:rPr>
              <w:t>合同总金额：必填且大于 0</w:t>
            </w:r>
            <w:r>
              <w:br/>
            </w:r>
            <w:r>
              <w:rPr>
                <w:rFonts w:ascii="Times New Roman" w:hAnsi="Times New Roman" w:eastAsia="宋体"/>
                <w:b w:val="0"/>
                <w:i w:val="0"/>
                <w:sz w:val="21"/>
              </w:rPr>
              <w:t>合同量 / 合同单价：4 位小数</w:t>
            </w:r>
            <w:r>
              <w:br/>
            </w:r>
            <w:r>
              <w:rPr>
                <w:rFonts w:ascii="Times New Roman" w:hAnsi="Times New Roman" w:eastAsia="宋体"/>
                <w:b w:val="0"/>
                <w:i w:val="0"/>
                <w:sz w:val="21"/>
              </w:rPr>
              <w:t>合同有效期：生效日期与到期日期均必填，到期日期必须晚于生效日期</w:t>
            </w:r>
            <w:r>
              <w:br/>
            </w:r>
            <w:r>
              <w:rPr>
                <w:rFonts w:ascii="Times New Roman" w:hAnsi="Times New Roman" w:eastAsia="宋体"/>
                <w:b w:val="0"/>
                <w:i w:val="0"/>
                <w:sz w:val="21"/>
              </w:rPr>
              <w:t>状态：7 态枚举，待提交 / 审批中 / 待上传双签合同 / 执行中 / 已完结 / 审批驳回 / 已作废</w:t>
            </w:r>
            <w:r>
              <w:br/>
            </w:r>
            <w:r>
              <w:rPr>
                <w:rFonts w:ascii="Times New Roman" w:hAnsi="Times New Roman" w:eastAsia="宋体"/>
                <w:b w:val="0"/>
                <w:i w:val="0"/>
                <w:sz w:val="21"/>
              </w:rPr>
              <w:t>当前审批节点：1 至 7</w:t>
            </w:r>
            <w:r>
              <w:br/>
            </w:r>
            <w:r>
              <w:rPr>
                <w:rFonts w:ascii="Times New Roman" w:hAnsi="Times New Roman" w:eastAsia="宋体"/>
                <w:b w:val="0"/>
                <w:i w:val="0"/>
                <w:sz w:val="21"/>
              </w:rPr>
              <w:t>合同签署状态：待盖章 / 已双签</w:t>
            </w:r>
          </w:p>
        </w:tc>
        <w:tc>
          <w:tcPr>
            <w:tcW w:type="dxa" w:w="3402"/>
          </w:tcPr>
          <w:p>
            <w:pPr>
              <w:spacing w:before="20" w:after="20" w:line="276" w:lineRule="auto"/>
              <w:ind w:firstLine="0"/>
            </w:pPr>
            <w:r/>
            <w:r>
              <w:rPr>
                <w:rFonts w:ascii="Times New Roman" w:hAnsi="Times New Roman" w:eastAsia="宋体"/>
                <w:b w:val="0"/>
                <w:i w:val="0"/>
                <w:sz w:val="21"/>
              </w:rPr>
              <w:t>作为下游收发货、货转、付款、结算、发票的唯一关联对象；补充协议通过父合同 ID 指向原合同；可在关联页与另一方向的合同配对并建立业务线</w:t>
            </w:r>
          </w:p>
        </w:tc>
      </w:tr>
      <w:tr>
        <w:tc>
          <w:tcPr>
            <w:tcW w:type="dxa" w:w="1474"/>
          </w:tcPr>
          <w:p>
            <w:pPr>
              <w:spacing w:before="20" w:after="20" w:line="276" w:lineRule="auto"/>
              <w:ind w:firstLine="0"/>
            </w:pPr>
            <w:r/>
            <w:r>
              <w:rPr>
                <w:rFonts w:ascii="Times New Roman" w:hAnsi="Times New Roman" w:eastAsia="宋体"/>
                <w:b w:val="0"/>
                <w:i w:val="0"/>
                <w:sz w:val="21"/>
              </w:rPr>
              <w:t>合同签署状态</w:t>
            </w:r>
          </w:p>
        </w:tc>
        <w:tc>
          <w:tcPr>
            <w:tcW w:type="dxa" w:w="4195"/>
          </w:tcPr>
          <w:p>
            <w:pPr>
              <w:spacing w:before="20" w:after="20" w:line="276" w:lineRule="auto"/>
              <w:ind w:firstLine="0"/>
            </w:pPr>
            <w:r/>
            <w:r>
              <w:rPr>
                <w:rFonts w:ascii="Times New Roman" w:hAnsi="Times New Roman" w:eastAsia="宋体"/>
                <w:b w:val="0"/>
                <w:i w:val="0"/>
                <w:sz w:val="21"/>
              </w:rPr>
              <w:t>待盖章：对应业务方口径的单签，合同已生成但尚未双方盖章</w:t>
            </w:r>
            <w:r>
              <w:br/>
            </w:r>
            <w:r>
              <w:rPr>
                <w:rFonts w:ascii="Times New Roman" w:hAnsi="Times New Roman" w:eastAsia="宋体"/>
                <w:b w:val="0"/>
                <w:i w:val="0"/>
                <w:sz w:val="21"/>
              </w:rPr>
              <w:t>已双签：对应业务方口径的双签，双方均已盖章</w:t>
            </w:r>
            <w:r>
              <w:br/>
            </w:r>
            <w:r>
              <w:rPr>
                <w:rFonts w:ascii="Times New Roman" w:hAnsi="Times New Roman" w:eastAsia="宋体"/>
                <w:b w:val="0"/>
                <w:i w:val="0"/>
                <w:sz w:val="21"/>
              </w:rPr>
              <w:t>在新建页为必填下拉，补协新建页为只读且由所选合同带出</w:t>
            </w:r>
          </w:p>
        </w:tc>
        <w:tc>
          <w:tcPr>
            <w:tcW w:type="dxa" w:w="3402"/>
          </w:tcPr>
          <w:p>
            <w:pPr>
              <w:spacing w:before="20" w:after="20" w:line="276" w:lineRule="auto"/>
              <w:ind w:firstLine="0"/>
            </w:pPr>
            <w:r/>
            <w:r>
              <w:rPr>
                <w:rFonts w:ascii="Times New Roman" w:hAnsi="Times New Roman" w:eastAsia="宋体"/>
                <w:b w:val="0"/>
                <w:i w:val="0"/>
                <w:sz w:val="21"/>
              </w:rPr>
              <w:t>与合同流程状态并存的两个维度，不构成独立合同状态；其取值直接决定审批通过后合同落在执行中还是待上传双签合同</w:t>
            </w:r>
          </w:p>
        </w:tc>
      </w:tr>
      <w:tr>
        <w:tc>
          <w:tcPr>
            <w:tcW w:type="dxa" w:w="1474"/>
          </w:tcPr>
          <w:p>
            <w:pPr>
              <w:spacing w:before="20" w:after="20" w:line="276" w:lineRule="auto"/>
              <w:ind w:firstLine="0"/>
            </w:pPr>
            <w:r/>
            <w:r>
              <w:rPr>
                <w:rFonts w:ascii="Times New Roman" w:hAnsi="Times New Roman" w:eastAsia="宋体"/>
                <w:b w:val="0"/>
                <w:i w:val="0"/>
                <w:sz w:val="21"/>
              </w:rPr>
              <w:t>合同审批流记录</w:t>
            </w:r>
          </w:p>
        </w:tc>
        <w:tc>
          <w:tcPr>
            <w:tcW w:type="dxa" w:w="4195"/>
          </w:tcPr>
          <w:p>
            <w:pPr>
              <w:spacing w:before="20" w:after="20" w:line="276" w:lineRule="auto"/>
              <w:ind w:firstLine="0"/>
            </w:pPr>
            <w:r/>
            <w:r>
              <w:rPr>
                <w:rFonts w:ascii="Times New Roman" w:hAnsi="Times New Roman" w:eastAsia="宋体"/>
                <w:b w:val="0"/>
                <w:i w:val="0"/>
                <w:sz w:val="21"/>
              </w:rPr>
              <w:t>审批节点序号</w:t>
            </w:r>
            <w:r>
              <w:br/>
            </w:r>
            <w:r>
              <w:rPr>
                <w:rFonts w:ascii="Times New Roman" w:hAnsi="Times New Roman" w:eastAsia="宋体"/>
                <w:b w:val="0"/>
                <w:i w:val="0"/>
                <w:sz w:val="21"/>
              </w:rPr>
              <w:t>审批人与审批结果</w:t>
            </w:r>
            <w:r>
              <w:br/>
            </w:r>
            <w:r>
              <w:rPr>
                <w:rFonts w:ascii="Times New Roman" w:hAnsi="Times New Roman" w:eastAsia="宋体"/>
                <w:b w:val="0"/>
                <w:i w:val="0"/>
                <w:sz w:val="21"/>
              </w:rPr>
              <w:t>推送方式：消息推送或 OA</w:t>
            </w:r>
            <w:r>
              <w:br/>
            </w:r>
            <w:r>
              <w:rPr>
                <w:rFonts w:ascii="Times New Roman" w:hAnsi="Times New Roman" w:eastAsia="宋体"/>
                <w:b w:val="0"/>
                <w:i w:val="0"/>
                <w:sz w:val="21"/>
              </w:rPr>
              <w:t>催办记录：审批停留超 2 小时触发</w:t>
            </w:r>
          </w:p>
        </w:tc>
        <w:tc>
          <w:tcPr>
            <w:tcW w:type="dxa" w:w="3402"/>
          </w:tcPr>
          <w:p>
            <w:pPr>
              <w:spacing w:before="20" w:after="20" w:line="276" w:lineRule="auto"/>
              <w:ind w:firstLine="0"/>
            </w:pPr>
            <w:r/>
            <w:r>
              <w:rPr>
                <w:rFonts w:ascii="Times New Roman" w:hAnsi="Times New Roman" w:eastAsia="宋体"/>
                <w:b w:val="0"/>
                <w:i w:val="0"/>
                <w:sz w:val="21"/>
              </w:rPr>
              <w:t>挂在合同主记录上，与合同当前审批节点字段一一对应</w:t>
            </w:r>
          </w:p>
        </w:tc>
      </w:tr>
      <w:tr>
        <w:tc>
          <w:tcPr>
            <w:tcW w:type="dxa" w:w="1474"/>
          </w:tcPr>
          <w:p>
            <w:pPr>
              <w:spacing w:before="20" w:after="20" w:line="276" w:lineRule="auto"/>
              <w:ind w:firstLine="0"/>
            </w:pPr>
            <w:r/>
            <w:r>
              <w:rPr>
                <w:rFonts w:ascii="Times New Roman" w:hAnsi="Times New Roman" w:eastAsia="宋体"/>
                <w:b w:val="0"/>
                <w:i w:val="0"/>
                <w:sz w:val="21"/>
              </w:rPr>
              <w:t>双签合同扫描件</w:t>
            </w:r>
          </w:p>
        </w:tc>
        <w:tc>
          <w:tcPr>
            <w:tcW w:type="dxa" w:w="4195"/>
          </w:tcPr>
          <w:p>
            <w:pPr>
              <w:spacing w:before="20" w:after="20" w:line="276" w:lineRule="auto"/>
              <w:ind w:firstLine="0"/>
            </w:pPr>
            <w:r/>
            <w:r>
              <w:rPr>
                <w:rFonts w:ascii="Times New Roman" w:hAnsi="Times New Roman" w:eastAsia="宋体"/>
                <w:b w:val="0"/>
                <w:i w:val="0"/>
                <w:sz w:val="21"/>
              </w:rPr>
              <w:t>关联合同</w:t>
            </w:r>
            <w:r>
              <w:br/>
            </w:r>
            <w:r>
              <w:rPr>
                <w:rFonts w:ascii="Times New Roman" w:hAnsi="Times New Roman" w:eastAsia="宋体"/>
                <w:b w:val="0"/>
                <w:i w:val="0"/>
                <w:sz w:val="21"/>
              </w:rPr>
              <w:t>附件类型</w:t>
            </w:r>
            <w:r>
              <w:br/>
            </w:r>
            <w:r>
              <w:rPr>
                <w:rFonts w:ascii="Times New Roman" w:hAnsi="Times New Roman" w:eastAsia="宋体"/>
                <w:b w:val="0"/>
                <w:i w:val="0"/>
                <w:sz w:val="21"/>
              </w:rPr>
              <w:t>文件与上传人</w:t>
            </w:r>
            <w:r>
              <w:br/>
            </w:r>
            <w:r>
              <w:rPr>
                <w:rFonts w:ascii="Times New Roman" w:hAnsi="Times New Roman" w:eastAsia="宋体"/>
                <w:b w:val="0"/>
                <w:i w:val="0"/>
                <w:sz w:val="21"/>
              </w:rPr>
              <w:t>上传时间：写入合同签章完成时间</w:t>
            </w:r>
          </w:p>
        </w:tc>
        <w:tc>
          <w:tcPr>
            <w:tcW w:type="dxa" w:w="3402"/>
          </w:tcPr>
          <w:p>
            <w:pPr>
              <w:spacing w:before="20" w:after="20" w:line="276" w:lineRule="auto"/>
              <w:ind w:firstLine="0"/>
            </w:pPr>
            <w:r/>
            <w:r>
              <w:rPr>
                <w:rFonts w:ascii="Times New Roman" w:hAnsi="Times New Roman" w:eastAsia="宋体"/>
                <w:b w:val="0"/>
                <w:i w:val="0"/>
                <w:sz w:val="21"/>
              </w:rPr>
              <w:t>上传并校验通过后，合同由待上传双签合同转为执行中</w:t>
            </w:r>
          </w:p>
        </w:tc>
      </w:tr>
      <w:tr>
        <w:tc>
          <w:tcPr>
            <w:tcW w:type="dxa" w:w="1474"/>
          </w:tcPr>
          <w:p>
            <w:pPr>
              <w:spacing w:before="20" w:after="20" w:line="276" w:lineRule="auto"/>
              <w:ind w:firstLine="0"/>
            </w:pPr>
            <w:r/>
            <w:r>
              <w:rPr>
                <w:rFonts w:ascii="Times New Roman" w:hAnsi="Times New Roman" w:eastAsia="宋体"/>
                <w:b w:val="0"/>
                <w:i w:val="0"/>
                <w:sz w:val="21"/>
              </w:rPr>
              <w:t>补充协议</w:t>
            </w:r>
          </w:p>
        </w:tc>
        <w:tc>
          <w:tcPr>
            <w:tcW w:type="dxa" w:w="4195"/>
          </w:tcPr>
          <w:p>
            <w:pPr>
              <w:spacing w:before="20" w:after="20" w:line="276" w:lineRule="auto"/>
              <w:ind w:firstLine="0"/>
            </w:pPr>
            <w:r/>
            <w:r>
              <w:rPr>
                <w:rFonts w:ascii="Times New Roman" w:hAnsi="Times New Roman" w:eastAsia="宋体"/>
                <w:b w:val="0"/>
                <w:i w:val="0"/>
                <w:sz w:val="21"/>
              </w:rPr>
              <w:t>合同子类型：补充协议</w:t>
            </w:r>
            <w:r>
              <w:br/>
            </w:r>
            <w:r>
              <w:rPr>
                <w:rFonts w:ascii="Times New Roman" w:hAnsi="Times New Roman" w:eastAsia="宋体"/>
                <w:b w:val="0"/>
                <w:i w:val="0"/>
                <w:sz w:val="21"/>
              </w:rPr>
              <w:t>父合同 ID：指向被调整的原合同</w:t>
            </w:r>
            <w:r>
              <w:br/>
            </w:r>
            <w:r>
              <w:rPr>
                <w:rFonts w:ascii="Times New Roman" w:hAnsi="Times New Roman" w:eastAsia="宋体"/>
                <w:b w:val="0"/>
                <w:i w:val="0"/>
                <w:sz w:val="21"/>
              </w:rPr>
              <w:t>是否补充协议标记</w:t>
            </w:r>
            <w:r>
              <w:br/>
            </w:r>
            <w:r>
              <w:rPr>
                <w:rFonts w:ascii="Times New Roman" w:hAnsi="Times New Roman" w:eastAsia="宋体"/>
                <w:b w:val="0"/>
                <w:i w:val="0"/>
                <w:sz w:val="21"/>
              </w:rPr>
              <w:t>变更原因与历史版本</w:t>
            </w:r>
          </w:p>
        </w:tc>
        <w:tc>
          <w:tcPr>
            <w:tcW w:type="dxa" w:w="3402"/>
          </w:tcPr>
          <w:p>
            <w:pPr>
              <w:spacing w:before="20" w:after="20" w:line="276" w:lineRule="auto"/>
              <w:ind w:firstLine="0"/>
            </w:pPr>
            <w:r/>
            <w:r>
              <w:rPr>
                <w:rFonts w:ascii="Times New Roman" w:hAnsi="Times New Roman" w:eastAsia="宋体"/>
                <w:b w:val="0"/>
                <w:i w:val="0"/>
                <w:sz w:val="21"/>
              </w:rPr>
              <w:t>以父合同 ID 关联原合同，调价走补充协议并影响合同单价；新增补充协议前需检查原合同是否已存在生效中、审批中、待上传双签或审批驳回状态的补充协议</w:t>
            </w:r>
          </w:p>
        </w:tc>
      </w:tr>
      <w:tr>
        <w:tc>
          <w:tcPr>
            <w:tcW w:type="dxa" w:w="1474"/>
          </w:tcPr>
          <w:p>
            <w:pPr>
              <w:spacing w:before="20" w:after="20" w:line="276" w:lineRule="auto"/>
              <w:ind w:firstLine="0"/>
            </w:pPr>
            <w:r/>
            <w:r>
              <w:rPr>
                <w:rFonts w:ascii="Times New Roman" w:hAnsi="Times New Roman" w:eastAsia="宋体"/>
                <w:b w:val="0"/>
                <w:i w:val="0"/>
                <w:sz w:val="21"/>
              </w:rPr>
              <w:t>合同进度仪表盘数据</w:t>
            </w:r>
          </w:p>
        </w:tc>
        <w:tc>
          <w:tcPr>
            <w:tcW w:type="dxa" w:w="4195"/>
          </w:tcPr>
          <w:p>
            <w:pPr>
              <w:spacing w:before="20" w:after="20" w:line="276" w:lineRule="auto"/>
              <w:ind w:firstLine="0"/>
            </w:pPr>
            <w:r/>
            <w:r>
              <w:rPr>
                <w:rFonts w:ascii="Times New Roman" w:hAnsi="Times New Roman" w:eastAsia="宋体"/>
                <w:b w:val="0"/>
                <w:i w:val="0"/>
                <w:sz w:val="21"/>
              </w:rPr>
              <w:t>货物进度：销售合同量与下游货转量之比，进度条区间 0 至 120%</w:t>
            </w:r>
            <w:r>
              <w:br/>
            </w:r>
            <w:r>
              <w:rPr>
                <w:rFonts w:ascii="Times New Roman" w:hAnsi="Times New Roman" w:eastAsia="宋体"/>
                <w:b w:val="0"/>
                <w:i w:val="0"/>
                <w:sz w:val="21"/>
              </w:rPr>
              <w:t>付款进度：已付款金额</w:t>
            </w:r>
            <w:r>
              <w:br/>
            </w:r>
            <w:r>
              <w:rPr>
                <w:rFonts w:ascii="Times New Roman" w:hAnsi="Times New Roman" w:eastAsia="宋体"/>
                <w:b w:val="0"/>
                <w:i w:val="0"/>
                <w:sz w:val="21"/>
              </w:rPr>
              <w:t>结算进度：已结算数量、已结算金额、拆分到本合同金额</w:t>
            </w:r>
            <w:r>
              <w:br/>
            </w:r>
            <w:r>
              <w:rPr>
                <w:rFonts w:ascii="Times New Roman" w:hAnsi="Times New Roman" w:eastAsia="宋体"/>
                <w:b w:val="0"/>
                <w:i w:val="0"/>
                <w:sz w:val="21"/>
              </w:rPr>
              <w:t>开票进度：发票张数</w:t>
            </w:r>
          </w:p>
        </w:tc>
        <w:tc>
          <w:tcPr>
            <w:tcW w:type="dxa" w:w="3402"/>
          </w:tcPr>
          <w:p>
            <w:pPr>
              <w:spacing w:before="20" w:after="20" w:line="276" w:lineRule="auto"/>
              <w:ind w:firstLine="0"/>
            </w:pPr>
            <w:r/>
            <w:r>
              <w:rPr>
                <w:rFonts w:ascii="Times New Roman" w:hAnsi="Times New Roman" w:eastAsia="宋体"/>
                <w:b w:val="0"/>
                <w:i w:val="0"/>
                <w:sz w:val="21"/>
              </w:rPr>
              <w:t>货物进度取自货转管理的下游货转数据，付款进度取自资金管理，结算进度取自结算单管理，开票进度数据源为发票管理但取数口径尚未确定</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4.7.6　角色权限与数据权限</w:t>
      </w:r>
    </w:p>
    <w:p>
      <w:pPr>
        <w:spacing w:before="0" w:after="120" w:line="360" w:lineRule="auto"/>
      </w:pPr>
      <w:r>
        <w:rPr>
          <w:rFonts w:ascii="Times New Roman" w:hAnsi="Times New Roman" w:eastAsia="宋体"/>
          <w:b w:val="0"/>
          <w:i w:val="0"/>
          <w:sz w:val="24"/>
        </w:rPr>
        <w:t>本期为系统全量权限（业务方裁决 D17 / QA-012）；下表角色为典型使用角色，非权限分级。源文档仍保留按状态的按钮可见性差异（来源：合同管理 02.03 §2.2.1 与 §2.2.4）：仅待上传双签合同状态显示「上传双签合同」，仅执行中状态显示「付款申请」「发货申请」「上传发票」（采购侧为「开票申请」），审批中状态在详情页任意 tab 显示「审批通过 / 驳回审批」固定底栏；审批权按审批链配置落在对应节点角色上。</w:t>
      </w:r>
    </w:p>
    <w:p>
      <w:pPr>
        <w:spacing w:before="0" w:after="80" w:line="360" w:lineRule="auto"/>
      </w:pPr>
      <w:r>
        <w:rPr>
          <w:rFonts w:ascii="Times New Roman" w:hAnsi="Times New Roman" w:eastAsia="宋体"/>
          <w:b w:val="0"/>
          <w:i w:val="0"/>
          <w:sz w:val="24"/>
        </w:rPr>
        <w:t>数据可见性：按单据归属与业务筛选查看；手机号、统一社会信用代码等敏感字段默认打码，手动点击查看完整值且查看行为留痕。</w:t>
      </w:r>
    </w:p>
    <w:p>
      <w:pPr>
        <w:pStyle w:val="Heading3"/>
        <w:keepNext/>
        <w:spacing w:before="160" w:after="80" w:line="312" w:lineRule="auto"/>
        <w:ind w:firstLine="0"/>
      </w:pPr>
      <w:r>
        <w:rPr>
          <w:rFonts w:ascii="Times New Roman" w:hAnsi="Times New Roman" w:eastAsia="黑体"/>
          <w:b/>
          <w:i w:val="0"/>
          <w:sz w:val="24"/>
        </w:rPr>
        <w:t>4.7.7　业务流程与页面</w:t>
      </w:r>
    </w:p>
    <w:p>
      <w:pPr>
        <w:spacing w:before="120" w:after="60"/>
        <w:ind w:firstLine="0"/>
        <w:jc w:val="center"/>
      </w:pPr>
      <w:r>
        <w:drawing>
          <wp:inline xmlns:a="http://schemas.openxmlformats.org/drawingml/2006/main" xmlns:pic="http://schemas.openxmlformats.org/drawingml/2006/picture">
            <wp:extent cx="5616000" cy="2081793"/>
            <wp:docPr id="13" name="Picture 13"/>
            <wp:cNvGraphicFramePr>
              <a:graphicFrameLocks noChangeAspect="1"/>
            </wp:cNvGraphicFramePr>
            <a:graphic>
              <a:graphicData uri="http://schemas.openxmlformats.org/drawingml/2006/picture">
                <pic:pic>
                  <pic:nvPicPr>
                    <pic:cNvPr id="0" name="mermaid-contract.png"/>
                    <pic:cNvPicPr/>
                  </pic:nvPicPr>
                  <pic:blipFill>
                    <a:blip r:embed="rId23"/>
                    <a:stretch>
                      <a:fillRect/>
                    </a:stretch>
                  </pic:blipFill>
                  <pic:spPr>
                    <a:xfrm>
                      <a:off x="0" y="0"/>
                      <a:ext cx="5616000" cy="2081793"/>
                    </a:xfrm>
                    <a:prstGeom prst="rect"/>
                  </pic:spPr>
                </pic:pic>
              </a:graphicData>
            </a:graphic>
          </wp:inline>
        </w:drawing>
      </w:r>
    </w:p>
    <w:p>
      <w:pPr>
        <w:spacing w:before="0" w:after="200" w:line="240" w:lineRule="auto"/>
        <w:ind w:firstLine="0"/>
        <w:jc w:val="center"/>
      </w:pPr>
      <w:r>
        <w:rPr>
          <w:rFonts w:ascii="Times New Roman" w:hAnsi="Times New Roman" w:eastAsia="宋体"/>
          <w:b w:val="0"/>
          <w:i w:val="0"/>
          <w:sz w:val="21"/>
        </w:rPr>
        <w:t>图 4-7-1　合同管理 主业务流程</w:t>
      </w:r>
    </w:p>
    <w:p>
      <w:pPr>
        <w:spacing w:before="0" w:after="60" w:line="360" w:lineRule="auto"/>
      </w:pPr>
      <w:r>
        <w:rPr>
          <w:rFonts w:ascii="Times New Roman" w:hAnsi="Times New Roman" w:eastAsia="宋体"/>
          <w:b/>
          <w:i w:val="0"/>
          <w:sz w:val="24"/>
        </w:rPr>
        <w:t>主流程步骤：</w:t>
      </w:r>
    </w:p>
    <w:p>
      <w:pPr>
        <w:spacing w:before="0" w:after="60" w:line="336" w:lineRule="auto"/>
        <w:ind w:left="510" w:hanging="510"/>
      </w:pPr>
      <w:r>
        <w:rPr>
          <w:rFonts w:ascii="Times New Roman" w:hAnsi="Times New Roman" w:eastAsia="宋体"/>
          <w:b w:val="0"/>
          <w:i w:val="0"/>
          <w:sz w:val="24"/>
        </w:rPr>
        <w:t>1. 业务员选择创建方式（模板生成 / 历史复制 / 空白创建 / 文本上传 / 业务线联动）进入合同新建页</w:t>
      </w:r>
    </w:p>
    <w:p>
      <w:pPr>
        <w:spacing w:before="0" w:after="60" w:line="336" w:lineRule="auto"/>
        <w:ind w:left="510" w:hanging="510"/>
      </w:pPr>
      <w:r>
        <w:rPr>
          <w:rFonts w:ascii="Times New Roman" w:hAnsi="Times New Roman" w:eastAsia="宋体"/>
          <w:b w:val="0"/>
          <w:i w:val="0"/>
          <w:sz w:val="24"/>
        </w:rPr>
        <w:t>2. 填写合同基本信息（合同名称、关联项目、客户、品类、业务类型、合同量、单价、金额、有效期）并选定合同签署状态</w:t>
      </w:r>
    </w:p>
    <w:p>
      <w:pPr>
        <w:spacing w:before="0" w:after="60" w:line="336" w:lineRule="auto"/>
        <w:ind w:left="510" w:hanging="510"/>
      </w:pPr>
      <w:r>
        <w:rPr>
          <w:rFonts w:ascii="Times New Roman" w:hAnsi="Times New Roman" w:eastAsia="宋体"/>
          <w:b w:val="0"/>
          <w:i w:val="0"/>
          <w:sz w:val="24"/>
        </w:rPr>
        <w:t>3. 上传必填附件（框架合同必传待盖章合同附件，选填其他附件），保存草稿或提交审批</w:t>
      </w:r>
    </w:p>
    <w:p>
      <w:pPr>
        <w:spacing w:before="0" w:after="60" w:line="336" w:lineRule="auto"/>
        <w:ind w:left="510" w:hanging="510"/>
      </w:pPr>
      <w:r>
        <w:rPr>
          <w:rFonts w:ascii="Times New Roman" w:hAnsi="Times New Roman" w:eastAsia="宋体"/>
          <w:b w:val="0"/>
          <w:i w:val="0"/>
          <w:sz w:val="24"/>
        </w:rPr>
        <w:t>4. 合同状态由待提交进入审批中，进入最长 7 级的串行审批链逐级推进</w:t>
      </w:r>
    </w:p>
    <w:p>
      <w:pPr>
        <w:spacing w:before="0" w:after="60" w:line="336" w:lineRule="auto"/>
        <w:ind w:left="510" w:hanging="510"/>
      </w:pPr>
      <w:r>
        <w:rPr>
          <w:rFonts w:ascii="Times New Roman" w:hAnsi="Times New Roman" w:eastAsia="宋体"/>
          <w:b w:val="0"/>
          <w:i w:val="0"/>
          <w:sz w:val="24"/>
        </w:rPr>
        <w:t>5. 审批链任一节点驳回时分为退回编辑（回到待提交）或终止（进入审批驳回）</w:t>
      </w:r>
    </w:p>
    <w:p>
      <w:pPr>
        <w:spacing w:before="0" w:after="60" w:line="336" w:lineRule="auto"/>
        <w:ind w:left="510" w:hanging="510"/>
      </w:pPr>
      <w:r>
        <w:rPr>
          <w:rFonts w:ascii="Times New Roman" w:hAnsi="Times New Roman" w:eastAsia="宋体"/>
          <w:b w:val="0"/>
          <w:i w:val="0"/>
          <w:sz w:val="24"/>
        </w:rPr>
        <w:t>6. 审批链最后一级通过后按签署状态分流：已双签直接进入执行中，待盖章进入待上传双签合同</w:t>
      </w:r>
    </w:p>
    <w:p>
      <w:pPr>
        <w:spacing w:before="0" w:after="60" w:line="336" w:lineRule="auto"/>
        <w:ind w:left="510" w:hanging="510"/>
      </w:pPr>
      <w:r>
        <w:rPr>
          <w:rFonts w:ascii="Times New Roman" w:hAnsi="Times New Roman" w:eastAsia="宋体"/>
          <w:b w:val="0"/>
          <w:i w:val="0"/>
          <w:sz w:val="24"/>
        </w:rPr>
        <w:t>7. 待盖章场景下载合同 PDF 线下送签，双方盖章后上传双签扫描件，系统校验签章完整性后转为执行中</w:t>
      </w:r>
    </w:p>
    <w:p>
      <w:pPr>
        <w:spacing w:before="0" w:after="60" w:line="336" w:lineRule="auto"/>
        <w:ind w:left="510" w:hanging="510"/>
      </w:pPr>
      <w:r>
        <w:rPr>
          <w:rFonts w:ascii="Times New Roman" w:hAnsi="Times New Roman" w:eastAsia="宋体"/>
          <w:b w:val="0"/>
          <w:i w:val="0"/>
          <w:sz w:val="24"/>
        </w:rPr>
        <w:t>8. 合同进入执行中后，下游可发起收发货、货转、付款申请、发票上传，并可新增补充协议</w:t>
      </w:r>
    </w:p>
    <w:p>
      <w:pPr>
        <w:spacing w:before="0" w:after="60" w:line="336" w:lineRule="auto"/>
        <w:ind w:left="510" w:hanging="510"/>
      </w:pPr>
      <w:r>
        <w:rPr>
          <w:rFonts w:ascii="Times New Roman" w:hAnsi="Times New Roman" w:eastAsia="宋体"/>
          <w:b w:val="0"/>
          <w:i w:val="0"/>
          <w:sz w:val="24"/>
        </w:rPr>
        <w:t>9. 全部执行完成后由业务员发起合同完结，合同转入已完结</w:t>
      </w:r>
    </w:p>
    <w:p>
      <w:pPr>
        <w:spacing w:before="0" w:after="60" w:line="336" w:lineRule="auto"/>
        <w:ind w:left="510" w:hanging="510"/>
      </w:pPr>
      <w:r>
        <w:rPr>
          <w:rFonts w:ascii="Times New Roman" w:hAnsi="Times New Roman" w:eastAsia="宋体"/>
          <w:b w:val="0"/>
          <w:i w:val="0"/>
          <w:sz w:val="24"/>
        </w:rPr>
        <w:t>10. 待上传双签合同超 30 天未上传或人工点击合同作废，合同转入已作废且不可逆</w:t>
      </w:r>
    </w:p>
    <w:p>
      <w:pPr>
        <w:spacing w:before="120" w:after="60" w:line="360" w:lineRule="auto"/>
      </w:pPr>
      <w:r>
        <w:rPr>
          <w:rFonts w:ascii="Times New Roman" w:hAnsi="Times New Roman" w:eastAsia="宋体"/>
          <w:b/>
          <w:i w:val="0"/>
          <w:sz w:val="24"/>
        </w:rPr>
        <w:t>异常分支：</w:t>
      </w:r>
    </w:p>
    <w:tbl>
      <w:tblPr>
        <w:tblStyle w:val="TableGrid"/>
        <w:tblW w:type="auto" w:w="0"/>
        <w:jc w:val="center"/>
        <w:tblLayout w:type="fixed"/>
        <w:tblLook w:firstColumn="1" w:firstRow="1" w:lastColumn="0" w:lastRow="0" w:noHBand="0" w:noVBand="1" w:val="04A0"/>
      </w:tblPr>
      <w:tblGrid>
        <w:gridCol w:w="4479"/>
        <w:gridCol w:w="4479"/>
      </w:tblGrid>
      <w:tr>
        <w:trPr>
          <w:tblHeader w:val="true"/>
        </w:trPr>
        <w:tc>
          <w:tcPr>
            <w:tcW w:type="dxa" w:w="2835"/>
            <w:shd w:val="clear" w:color="auto" w:fill="DCE6F1"/>
          </w:tcPr>
          <w:p>
            <w:pPr>
              <w:spacing w:before="40" w:after="40" w:line="276" w:lineRule="auto"/>
              <w:jc w:val="center"/>
            </w:pPr>
            <w:r/>
            <w:r>
              <w:rPr>
                <w:rFonts w:ascii="Times New Roman" w:hAnsi="Times New Roman" w:eastAsia="黑体"/>
                <w:b/>
                <w:i w:val="0"/>
                <w:sz w:val="21"/>
              </w:rPr>
              <w:t>异常场景</w:t>
            </w:r>
          </w:p>
        </w:tc>
        <w:tc>
          <w:tcPr>
            <w:tcW w:type="dxa" w:w="6236"/>
            <w:shd w:val="clear" w:color="auto" w:fill="DCE6F1"/>
          </w:tcPr>
          <w:p>
            <w:pPr>
              <w:spacing w:before="40" w:after="40" w:line="276" w:lineRule="auto"/>
              <w:jc w:val="center"/>
            </w:pPr>
            <w:r/>
            <w:r>
              <w:rPr>
                <w:rFonts w:ascii="Times New Roman" w:hAnsi="Times New Roman" w:eastAsia="黑体"/>
                <w:b/>
                <w:i w:val="0"/>
                <w:sz w:val="21"/>
              </w:rPr>
              <w:t>系统处理</w:t>
            </w:r>
          </w:p>
        </w:tc>
      </w:tr>
      <w:tr>
        <w:tc>
          <w:tcPr>
            <w:tcW w:type="dxa" w:w="2835"/>
          </w:tcPr>
          <w:p>
            <w:pPr>
              <w:spacing w:before="20" w:after="20" w:line="276" w:lineRule="auto"/>
              <w:ind w:firstLine="0"/>
            </w:pPr>
            <w:r/>
            <w:r>
              <w:rPr>
                <w:rFonts w:ascii="Times New Roman" w:hAnsi="Times New Roman" w:eastAsia="宋体"/>
                <w:b w:val="0"/>
                <w:i w:val="0"/>
                <w:sz w:val="21"/>
              </w:rPr>
              <w:t>业务类型与货物品类不匹配</w:t>
            </w:r>
          </w:p>
        </w:tc>
        <w:tc>
          <w:tcPr>
            <w:tcW w:type="dxa" w:w="6236"/>
          </w:tcPr>
          <w:p>
            <w:pPr>
              <w:spacing w:before="20" w:after="20" w:line="276" w:lineRule="auto"/>
              <w:ind w:firstLine="0"/>
            </w:pPr>
            <w:r/>
            <w:r>
              <w:rPr>
                <w:rFonts w:ascii="Times New Roman" w:hAnsi="Times New Roman" w:eastAsia="宋体"/>
                <w:b w:val="0"/>
                <w:i w:val="0"/>
                <w:sz w:val="21"/>
              </w:rPr>
              <w:t>红色提示业务类型 X 与品类 Y 不匹配，阻止提交</w:t>
            </w:r>
          </w:p>
        </w:tc>
      </w:tr>
      <w:tr>
        <w:tc>
          <w:tcPr>
            <w:tcW w:type="dxa" w:w="2835"/>
          </w:tcPr>
          <w:p>
            <w:pPr>
              <w:spacing w:before="20" w:after="20" w:line="276" w:lineRule="auto"/>
              <w:ind w:firstLine="0"/>
            </w:pPr>
            <w:r/>
            <w:r>
              <w:rPr>
                <w:rFonts w:ascii="Times New Roman" w:hAnsi="Times New Roman" w:eastAsia="宋体"/>
                <w:b w:val="0"/>
                <w:i w:val="0"/>
                <w:sz w:val="21"/>
              </w:rPr>
              <w:t>合同金额为 0，或到期日期不晚于生效日期</w:t>
            </w:r>
          </w:p>
        </w:tc>
        <w:tc>
          <w:tcPr>
            <w:tcW w:type="dxa" w:w="6236"/>
          </w:tcPr>
          <w:p>
            <w:pPr>
              <w:spacing w:before="20" w:after="20" w:line="276" w:lineRule="auto"/>
              <w:ind w:firstLine="0"/>
            </w:pPr>
            <w:r/>
            <w:r>
              <w:rPr>
                <w:rFonts w:ascii="Times New Roman" w:hAnsi="Times New Roman" w:eastAsia="宋体"/>
                <w:b w:val="0"/>
                <w:i w:val="0"/>
                <w:sz w:val="21"/>
              </w:rPr>
              <w:t>提示合同金额必须大于 0、到期日期必须大于生效日期，阻止提交</w:t>
            </w:r>
          </w:p>
        </w:tc>
      </w:tr>
      <w:tr>
        <w:tc>
          <w:tcPr>
            <w:tcW w:type="dxa" w:w="2835"/>
          </w:tcPr>
          <w:p>
            <w:pPr>
              <w:spacing w:before="20" w:after="20" w:line="276" w:lineRule="auto"/>
              <w:ind w:firstLine="0"/>
            </w:pPr>
            <w:r/>
            <w:r>
              <w:rPr>
                <w:rFonts w:ascii="Times New Roman" w:hAnsi="Times New Roman" w:eastAsia="宋体"/>
                <w:b w:val="0"/>
                <w:i w:val="0"/>
                <w:sz w:val="21"/>
              </w:rPr>
              <w:t>审批环节被驳回</w:t>
            </w:r>
          </w:p>
        </w:tc>
        <w:tc>
          <w:tcPr>
            <w:tcW w:type="dxa" w:w="6236"/>
          </w:tcPr>
          <w:p>
            <w:pPr>
              <w:spacing w:before="20" w:after="20" w:line="276" w:lineRule="auto"/>
              <w:ind w:firstLine="0"/>
            </w:pPr>
            <w:r/>
            <w:r>
              <w:rPr>
                <w:rFonts w:ascii="Times New Roman" w:hAnsi="Times New Roman" w:eastAsia="宋体"/>
                <w:b w:val="0"/>
                <w:i w:val="0"/>
                <w:sz w:val="21"/>
              </w:rPr>
              <w:t>按节点选择退回编辑（合同回到待提交，可修改后重新提交）或终止（合同进入审批驳回，可重新编辑提交或作废）</w:t>
            </w:r>
          </w:p>
        </w:tc>
      </w:tr>
      <w:tr>
        <w:tc>
          <w:tcPr>
            <w:tcW w:type="dxa" w:w="2835"/>
          </w:tcPr>
          <w:p>
            <w:pPr>
              <w:spacing w:before="20" w:after="20" w:line="276" w:lineRule="auto"/>
              <w:ind w:firstLine="0"/>
            </w:pPr>
            <w:r/>
            <w:r>
              <w:rPr>
                <w:rFonts w:ascii="Times New Roman" w:hAnsi="Times New Roman" w:eastAsia="宋体"/>
                <w:b w:val="0"/>
                <w:i w:val="0"/>
                <w:sz w:val="21"/>
              </w:rPr>
              <w:t>审批停留超过 2 小时，或审批人未配置</w:t>
            </w:r>
          </w:p>
        </w:tc>
        <w:tc>
          <w:tcPr>
            <w:tcW w:type="dxa" w:w="6236"/>
          </w:tcPr>
          <w:p>
            <w:pPr>
              <w:spacing w:before="20" w:after="20" w:line="276" w:lineRule="auto"/>
              <w:ind w:firstLine="0"/>
            </w:pPr>
            <w:r/>
            <w:r>
              <w:rPr>
                <w:rFonts w:ascii="Times New Roman" w:hAnsi="Times New Roman" w:eastAsia="宋体"/>
                <w:b w:val="0"/>
                <w:i w:val="0"/>
                <w:sz w:val="21"/>
              </w:rPr>
              <w:t>系统自动催办并提示审批超过 2 小时未处理；审批人未配置时状态保持不变并提示联系管理员</w:t>
            </w:r>
          </w:p>
        </w:tc>
      </w:tr>
      <w:tr>
        <w:tc>
          <w:tcPr>
            <w:tcW w:type="dxa" w:w="2835"/>
          </w:tcPr>
          <w:p>
            <w:pPr>
              <w:spacing w:before="20" w:after="20" w:line="276" w:lineRule="auto"/>
              <w:ind w:firstLine="0"/>
            </w:pPr>
            <w:r/>
            <w:r>
              <w:rPr>
                <w:rFonts w:ascii="Times New Roman" w:hAnsi="Times New Roman" w:eastAsia="宋体"/>
                <w:b w:val="0"/>
                <w:i w:val="0"/>
                <w:sz w:val="21"/>
              </w:rPr>
              <w:t>双签扫描件格式不符、超过 20MB，或签章方与系统记录不匹配</w:t>
            </w:r>
          </w:p>
        </w:tc>
        <w:tc>
          <w:tcPr>
            <w:tcW w:type="dxa" w:w="6236"/>
          </w:tcPr>
          <w:p>
            <w:pPr>
              <w:spacing w:before="20" w:after="20" w:line="276" w:lineRule="auto"/>
              <w:ind w:firstLine="0"/>
            </w:pPr>
            <w:r/>
            <w:r>
              <w:rPr>
                <w:rFonts w:ascii="Times New Roman" w:hAnsi="Times New Roman" w:eastAsia="宋体"/>
                <w:b w:val="0"/>
                <w:i w:val="0"/>
                <w:sz w:val="21"/>
              </w:rPr>
              <w:t>格式或大小不符时阻止上传并提示；签章方不匹配时红色提示并转人工审核，不自动推进状态</w:t>
            </w:r>
          </w:p>
        </w:tc>
      </w:tr>
      <w:tr>
        <w:tc>
          <w:tcPr>
            <w:tcW w:type="dxa" w:w="2835"/>
          </w:tcPr>
          <w:p>
            <w:pPr>
              <w:spacing w:before="20" w:after="20" w:line="276" w:lineRule="auto"/>
              <w:ind w:firstLine="0"/>
            </w:pPr>
            <w:r/>
            <w:r>
              <w:rPr>
                <w:rFonts w:ascii="Times New Roman" w:hAnsi="Times New Roman" w:eastAsia="宋体"/>
                <w:b w:val="0"/>
                <w:i w:val="0"/>
                <w:sz w:val="21"/>
              </w:rPr>
              <w:t>待上传双签合同停留超过 30 天，或人工点击合同作废</w:t>
            </w:r>
          </w:p>
        </w:tc>
        <w:tc>
          <w:tcPr>
            <w:tcW w:type="dxa" w:w="6236"/>
          </w:tcPr>
          <w:p>
            <w:pPr>
              <w:spacing w:before="20" w:after="20" w:line="276" w:lineRule="auto"/>
              <w:ind w:firstLine="0"/>
            </w:pPr>
            <w:r/>
            <w:r>
              <w:rPr>
                <w:rFonts w:ascii="Times New Roman" w:hAnsi="Times New Roman" w:eastAsia="宋体"/>
                <w:b w:val="0"/>
                <w:i w:val="0"/>
                <w:sz w:val="21"/>
              </w:rPr>
              <w:t>系统自动作废并提示合同已超 30 天未上传双签扫描件；已作废为不可逆终态，系统不提供恢复入口</w:t>
            </w:r>
          </w:p>
        </w:tc>
      </w:tr>
    </w:tbl>
    <w:p>
      <w:pPr>
        <w:spacing w:before="0" w:after="0" w:line="240" w:lineRule="auto"/>
      </w:pPr>
    </w:p>
    <w:p>
      <w:pPr>
        <w:spacing w:before="120" w:after="60"/>
        <w:ind w:firstLine="0"/>
        <w:jc w:val="center"/>
      </w:pPr>
      <w:r>
        <w:drawing>
          <wp:inline xmlns:a="http://schemas.openxmlformats.org/drawingml/2006/main" xmlns:pic="http://schemas.openxmlformats.org/drawingml/2006/picture">
            <wp:extent cx="5616000" cy="3334500"/>
            <wp:docPr id="14" name="Picture 14"/>
            <wp:cNvGraphicFramePr>
              <a:graphicFrameLocks noChangeAspect="1"/>
            </wp:cNvGraphicFramePr>
            <a:graphic>
              <a:graphicData uri="http://schemas.openxmlformats.org/drawingml/2006/picture">
                <pic:pic>
                  <pic:nvPicPr>
                    <pic:cNvPr id="0" name="contract.png"/>
                    <pic:cNvPicPr/>
                  </pic:nvPicPr>
                  <pic:blipFill>
                    <a:blip r:embed="rId24"/>
                    <a:stretch>
                      <a:fillRect/>
                    </a:stretch>
                  </pic:blipFill>
                  <pic:spPr>
                    <a:xfrm>
                      <a:off x="0" y="0"/>
                      <a:ext cx="5616000" cy="3334500"/>
                    </a:xfrm>
                    <a:prstGeom prst="rect"/>
                  </pic:spPr>
                </pic:pic>
              </a:graphicData>
            </a:graphic>
          </wp:inline>
        </w:drawing>
      </w:r>
    </w:p>
    <w:p>
      <w:pPr>
        <w:spacing w:before="0" w:after="200" w:line="240" w:lineRule="auto"/>
        <w:ind w:firstLine="0"/>
        <w:jc w:val="center"/>
      </w:pPr>
      <w:r>
        <w:rPr>
          <w:rFonts w:ascii="Times New Roman" w:hAnsi="Times New Roman" w:eastAsia="宋体"/>
          <w:b w:val="0"/>
          <w:i w:val="0"/>
          <w:sz w:val="21"/>
        </w:rPr>
        <w:t>图 4-7-2　合同管理 原型页面</w:t>
      </w:r>
    </w:p>
    <w:p>
      <w:pPr>
        <w:spacing w:before="80" w:after="60" w:line="360" w:lineRule="auto"/>
      </w:pPr>
      <w:r>
        <w:rPr>
          <w:rFonts w:ascii="Times New Roman" w:hAnsi="Times New Roman" w:eastAsia="宋体"/>
          <w:b/>
          <w:i w:val="0"/>
          <w:sz w:val="24"/>
        </w:rPr>
        <w:t>页面级说明：</w:t>
      </w: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tblGrid>
      <w:tr>
        <w:trPr>
          <w:tblHeader w:val="true"/>
        </w:trPr>
        <w:tc>
          <w:tcPr>
            <w:tcW w:type="dxa" w:w="1178"/>
            <w:shd w:val="clear" w:color="auto" w:fill="DCE6F1"/>
          </w:tcPr>
          <w:p>
            <w:pPr>
              <w:spacing w:before="40" w:after="40" w:line="276" w:lineRule="auto"/>
              <w:jc w:val="center"/>
            </w:pPr>
            <w:r/>
            <w:r>
              <w:rPr>
                <w:rFonts w:ascii="Times New Roman" w:hAnsi="Times New Roman" w:eastAsia="黑体"/>
                <w:b/>
                <w:i w:val="0"/>
                <w:sz w:val="19"/>
              </w:rPr>
              <w:t>页面</w:t>
            </w:r>
          </w:p>
        </w:tc>
        <w:tc>
          <w:tcPr>
            <w:tcW w:type="dxa" w:w="1531"/>
            <w:shd w:val="clear" w:color="auto" w:fill="DCE6F1"/>
          </w:tcPr>
          <w:p>
            <w:pPr>
              <w:spacing w:before="40" w:after="40" w:line="276" w:lineRule="auto"/>
              <w:jc w:val="center"/>
            </w:pPr>
            <w:r/>
            <w:r>
              <w:rPr>
                <w:rFonts w:ascii="Times New Roman" w:hAnsi="Times New Roman" w:eastAsia="黑体"/>
                <w:b/>
                <w:i w:val="0"/>
                <w:sz w:val="19"/>
              </w:rPr>
              <w:t>原型文件</w:t>
            </w:r>
          </w:p>
        </w:tc>
        <w:tc>
          <w:tcPr>
            <w:tcW w:type="dxa" w:w="1119"/>
            <w:shd w:val="clear" w:color="auto" w:fill="DCE6F1"/>
          </w:tcPr>
          <w:p>
            <w:pPr>
              <w:spacing w:before="40" w:after="40" w:line="276" w:lineRule="auto"/>
              <w:jc w:val="center"/>
            </w:pPr>
            <w:r/>
            <w:r>
              <w:rPr>
                <w:rFonts w:ascii="Times New Roman" w:hAnsi="Times New Roman" w:eastAsia="黑体"/>
                <w:b/>
                <w:i w:val="0"/>
                <w:sz w:val="19"/>
              </w:rPr>
              <w:t>进入方式</w:t>
            </w:r>
          </w:p>
        </w:tc>
        <w:tc>
          <w:tcPr>
            <w:tcW w:type="dxa" w:w="2062"/>
            <w:shd w:val="clear" w:color="auto" w:fill="DCE6F1"/>
          </w:tcPr>
          <w:p>
            <w:pPr>
              <w:spacing w:before="40" w:after="40" w:line="276" w:lineRule="auto"/>
              <w:jc w:val="center"/>
            </w:pPr>
            <w:r/>
            <w:r>
              <w:rPr>
                <w:rFonts w:ascii="Times New Roman" w:hAnsi="Times New Roman" w:eastAsia="黑体"/>
                <w:b/>
                <w:i w:val="0"/>
                <w:sz w:val="19"/>
              </w:rPr>
              <w:t>关键区块</w:t>
            </w:r>
          </w:p>
        </w:tc>
        <w:tc>
          <w:tcPr>
            <w:tcW w:type="dxa" w:w="1767"/>
            <w:shd w:val="clear" w:color="auto" w:fill="DCE6F1"/>
          </w:tcPr>
          <w:p>
            <w:pPr>
              <w:spacing w:before="40" w:after="40" w:line="276" w:lineRule="auto"/>
              <w:jc w:val="center"/>
            </w:pPr>
            <w:r/>
            <w:r>
              <w:rPr>
                <w:rFonts w:ascii="Times New Roman" w:hAnsi="Times New Roman" w:eastAsia="黑体"/>
                <w:b/>
                <w:i w:val="0"/>
                <w:sz w:val="19"/>
              </w:rPr>
              <w:t>主要按钮与行为</w:t>
            </w:r>
          </w:p>
        </w:tc>
        <w:tc>
          <w:tcPr>
            <w:tcW w:type="dxa" w:w="1414"/>
            <w:shd w:val="clear" w:color="auto" w:fill="DCE6F1"/>
          </w:tcPr>
          <w:p>
            <w:pPr>
              <w:spacing w:before="40" w:after="40" w:line="276" w:lineRule="auto"/>
              <w:jc w:val="center"/>
            </w:pPr>
            <w:r/>
            <w:r>
              <w:rPr>
                <w:rFonts w:ascii="Times New Roman" w:hAnsi="Times New Roman" w:eastAsia="黑体"/>
                <w:b/>
                <w:i w:val="0"/>
                <w:sz w:val="19"/>
              </w:rPr>
              <w:t>跳转去向</w:t>
            </w:r>
          </w:p>
        </w:tc>
      </w:tr>
      <w:tr>
        <w:tc>
          <w:tcPr>
            <w:tcW w:type="dxa" w:w="1178"/>
          </w:tcPr>
          <w:p>
            <w:pPr>
              <w:spacing w:before="20" w:after="20" w:line="276" w:lineRule="auto"/>
              <w:ind w:firstLine="0"/>
            </w:pPr>
            <w:r/>
            <w:r>
              <w:rPr>
                <w:rFonts w:ascii="Times New Roman" w:hAnsi="Times New Roman" w:eastAsia="宋体"/>
                <w:b w:val="0"/>
                <w:i w:val="0"/>
                <w:sz w:val="19"/>
              </w:rPr>
              <w:t>采购合同列表</w:t>
            </w:r>
          </w:p>
        </w:tc>
        <w:tc>
          <w:tcPr>
            <w:tcW w:type="dxa" w:w="1531"/>
          </w:tcPr>
          <w:p>
            <w:pPr>
              <w:spacing w:before="20" w:after="20" w:line="276" w:lineRule="auto"/>
              <w:ind w:firstLine="0"/>
            </w:pPr>
            <w:r/>
            <w:r>
              <w:rPr>
                <w:rFonts w:ascii="Times New Roman" w:hAnsi="Times New Roman" w:eastAsia="宋体"/>
                <w:b w:val="0"/>
                <w:i w:val="0"/>
                <w:sz w:val="19"/>
              </w:rPr>
              <w:t>contract-purchase.html</w:t>
            </w:r>
          </w:p>
        </w:tc>
        <w:tc>
          <w:tcPr>
            <w:tcW w:type="dxa" w:w="1119"/>
          </w:tcPr>
          <w:p>
            <w:pPr>
              <w:spacing w:before="20" w:after="20" w:line="276" w:lineRule="auto"/>
              <w:ind w:firstLine="0"/>
            </w:pPr>
            <w:r/>
            <w:r>
              <w:rPr>
                <w:rFonts w:ascii="Times New Roman" w:hAnsi="Times New Roman" w:eastAsia="宋体"/>
                <w:b w:val="0"/>
                <w:i w:val="0"/>
                <w:sz w:val="19"/>
              </w:rPr>
              <w:t>数字供应链 → 合同管理 → 采购合同</w:t>
            </w:r>
          </w:p>
        </w:tc>
        <w:tc>
          <w:tcPr>
            <w:tcW w:type="dxa" w:w="2062"/>
          </w:tcPr>
          <w:p>
            <w:pPr>
              <w:spacing w:before="20" w:after="20" w:line="276" w:lineRule="auto"/>
              <w:ind w:firstLine="0"/>
            </w:pPr>
            <w:r/>
            <w:r>
              <w:rPr>
                <w:rFonts w:ascii="Times New Roman" w:hAnsi="Times New Roman" w:eastAsia="宋体"/>
                <w:b w:val="0"/>
                <w:i w:val="0"/>
                <w:sz w:val="19"/>
              </w:rPr>
              <w:t>状态 Tab（全部 / 待提交 / 审批中 / 待上传双签合同 / 执行中 / 已完结 / 审批驳回 / 已作废）、筛选区、合同列表表格、分页</w:t>
            </w:r>
          </w:p>
        </w:tc>
        <w:tc>
          <w:tcPr>
            <w:tcW w:type="dxa" w:w="1767"/>
          </w:tcPr>
          <w:p>
            <w:pPr>
              <w:spacing w:before="20" w:after="20" w:line="276" w:lineRule="auto"/>
              <w:ind w:firstLine="0"/>
            </w:pPr>
            <w:r/>
            <w:r>
              <w:rPr>
                <w:rFonts w:ascii="Times New Roman" w:hAnsi="Times New Roman" w:eastAsia="宋体"/>
                <w:b w:val="0"/>
                <w:i w:val="0"/>
                <w:sz w:val="19"/>
              </w:rPr>
              <w:t>新增合同（弹 5 种创建方式选择）、数据导出（导出 Excel）；行内：合同详情、上传双签合同（仅待上传双签合同状态可见）、付款申请（仅执行中状态可见）、新增补协、发起合同完结、更多（编辑 / 作废 / 驳回 / 复制）</w:t>
            </w:r>
          </w:p>
        </w:tc>
        <w:tc>
          <w:tcPr>
            <w:tcW w:type="dxa" w:w="1414"/>
          </w:tcPr>
          <w:p>
            <w:pPr>
              <w:spacing w:before="20" w:after="20" w:line="276" w:lineRule="auto"/>
              <w:ind w:firstLine="0"/>
            </w:pPr>
            <w:r/>
            <w:r>
              <w:rPr>
                <w:rFonts w:ascii="Times New Roman" w:hAnsi="Times New Roman" w:eastAsia="宋体"/>
                <w:b w:val="0"/>
                <w:i w:val="0"/>
                <w:sz w:val="19"/>
              </w:rPr>
              <w:t>合同详情 → 采购框架合同详情或采购订单合同详情；付款申请 → 付款新建并带入合同 ID；发货申请 → 发货新建；上传双签合同 → 居中上传弹窗</w:t>
            </w:r>
          </w:p>
        </w:tc>
      </w:tr>
      <w:tr>
        <w:tc>
          <w:tcPr>
            <w:tcW w:type="dxa" w:w="1178"/>
          </w:tcPr>
          <w:p>
            <w:pPr>
              <w:spacing w:before="20" w:after="20" w:line="276" w:lineRule="auto"/>
              <w:ind w:firstLine="0"/>
            </w:pPr>
            <w:r/>
            <w:r>
              <w:rPr>
                <w:rFonts w:ascii="Times New Roman" w:hAnsi="Times New Roman" w:eastAsia="宋体"/>
                <w:b w:val="0"/>
                <w:i w:val="0"/>
                <w:sz w:val="19"/>
              </w:rPr>
              <w:t>新增采购合同</w:t>
            </w:r>
          </w:p>
        </w:tc>
        <w:tc>
          <w:tcPr>
            <w:tcW w:type="dxa" w:w="1531"/>
          </w:tcPr>
          <w:p>
            <w:pPr>
              <w:spacing w:before="20" w:after="20" w:line="276" w:lineRule="auto"/>
              <w:ind w:firstLine="0"/>
            </w:pPr>
            <w:r/>
            <w:r>
              <w:rPr>
                <w:rFonts w:ascii="Times New Roman" w:hAnsi="Times New Roman" w:eastAsia="宋体"/>
                <w:b w:val="0"/>
                <w:i w:val="0"/>
                <w:sz w:val="19"/>
              </w:rPr>
              <w:t>contract-purchase-new.html</w:t>
            </w:r>
          </w:p>
        </w:tc>
        <w:tc>
          <w:tcPr>
            <w:tcW w:type="dxa" w:w="1119"/>
          </w:tcPr>
          <w:p>
            <w:pPr>
              <w:spacing w:before="20" w:after="20" w:line="276" w:lineRule="auto"/>
              <w:ind w:firstLine="0"/>
            </w:pPr>
            <w:r/>
            <w:r>
              <w:rPr>
                <w:rFonts w:ascii="Times New Roman" w:hAnsi="Times New Roman" w:eastAsia="宋体"/>
                <w:b w:val="0"/>
                <w:i w:val="0"/>
                <w:sz w:val="19"/>
              </w:rPr>
              <w:t>采购合同列表「新增合同」并选择创建方式</w:t>
            </w:r>
          </w:p>
        </w:tc>
        <w:tc>
          <w:tcPr>
            <w:tcW w:type="dxa" w:w="2062"/>
          </w:tcPr>
          <w:p>
            <w:pPr>
              <w:spacing w:before="20" w:after="20" w:line="276" w:lineRule="auto"/>
              <w:ind w:firstLine="0"/>
            </w:pPr>
            <w:r/>
            <w:r>
              <w:rPr>
                <w:rFonts w:ascii="Times New Roman" w:hAnsi="Times New Roman" w:eastAsia="宋体"/>
                <w:b w:val="0"/>
                <w:i w:val="0"/>
                <w:sz w:val="19"/>
              </w:rPr>
              <w:t>合同信息表单（合同名称、关联项目、客户、品类、业务类型、合同量与浮动比例、计量单位、合同单价、合同金额、合同签署状态、交货期限起止）、附件区（待盖章合同附件 + 其他附件）</w:t>
            </w:r>
          </w:p>
        </w:tc>
        <w:tc>
          <w:tcPr>
            <w:tcW w:type="dxa" w:w="1767"/>
          </w:tcPr>
          <w:p>
            <w:pPr>
              <w:spacing w:before="20" w:after="20" w:line="276" w:lineRule="auto"/>
              <w:ind w:firstLine="0"/>
            </w:pPr>
            <w:r/>
            <w:r>
              <w:rPr>
                <w:rFonts w:ascii="Times New Roman" w:hAnsi="Times New Roman" w:eastAsia="宋体"/>
                <w:b w:val="0"/>
                <w:i w:val="0"/>
                <w:sz w:val="19"/>
              </w:rPr>
              <w:t>取消（返回列表）、保存（存草稿）、提交（走审批）；签署状态下拉切换后联动附件单据类型名称</w:t>
            </w:r>
          </w:p>
        </w:tc>
        <w:tc>
          <w:tcPr>
            <w:tcW w:type="dxa" w:w="1414"/>
          </w:tcPr>
          <w:p>
            <w:pPr>
              <w:spacing w:before="20" w:after="20" w:line="276" w:lineRule="auto"/>
              <w:ind w:firstLine="0"/>
            </w:pPr>
            <w:r/>
            <w:r>
              <w:rPr>
                <w:rFonts w:ascii="Times New Roman" w:hAnsi="Times New Roman" w:eastAsia="宋体"/>
                <w:b w:val="0"/>
                <w:i w:val="0"/>
                <w:sz w:val="19"/>
              </w:rPr>
              <w:t>提交成功 → 返回采购合同列表且状态为待提交；取消 → 返回采购合同列表</w:t>
            </w:r>
          </w:p>
        </w:tc>
      </w:tr>
      <w:tr>
        <w:tc>
          <w:tcPr>
            <w:tcW w:type="dxa" w:w="1178"/>
          </w:tcPr>
          <w:p>
            <w:pPr>
              <w:spacing w:before="20" w:after="20" w:line="276" w:lineRule="auto"/>
              <w:ind w:firstLine="0"/>
            </w:pPr>
            <w:r/>
            <w:r>
              <w:rPr>
                <w:rFonts w:ascii="Times New Roman" w:hAnsi="Times New Roman" w:eastAsia="宋体"/>
                <w:b w:val="0"/>
                <w:i w:val="0"/>
                <w:sz w:val="19"/>
              </w:rPr>
              <w:t>采购订单合同详情</w:t>
            </w:r>
          </w:p>
        </w:tc>
        <w:tc>
          <w:tcPr>
            <w:tcW w:type="dxa" w:w="1531"/>
          </w:tcPr>
          <w:p>
            <w:pPr>
              <w:spacing w:before="20" w:after="20" w:line="276" w:lineRule="auto"/>
              <w:ind w:firstLine="0"/>
            </w:pPr>
            <w:r/>
            <w:r>
              <w:rPr>
                <w:rFonts w:ascii="Times New Roman" w:hAnsi="Times New Roman" w:eastAsia="宋体"/>
                <w:b w:val="0"/>
                <w:i w:val="0"/>
                <w:sz w:val="19"/>
              </w:rPr>
              <w:t>contract-purchase-order-detail.html</w:t>
            </w:r>
          </w:p>
        </w:tc>
        <w:tc>
          <w:tcPr>
            <w:tcW w:type="dxa" w:w="1119"/>
          </w:tcPr>
          <w:p>
            <w:pPr>
              <w:spacing w:before="20" w:after="20" w:line="276" w:lineRule="auto"/>
              <w:ind w:firstLine="0"/>
            </w:pPr>
            <w:r/>
            <w:r>
              <w:rPr>
                <w:rFonts w:ascii="Times New Roman" w:hAnsi="Times New Roman" w:eastAsia="宋体"/>
                <w:b w:val="0"/>
                <w:i w:val="0"/>
                <w:sz w:val="19"/>
              </w:rPr>
              <w:t>采购合同列表行「合同详情」</w:t>
            </w:r>
          </w:p>
        </w:tc>
        <w:tc>
          <w:tcPr>
            <w:tcW w:type="dxa" w:w="2062"/>
          </w:tcPr>
          <w:p>
            <w:pPr>
              <w:spacing w:before="20" w:after="20" w:line="276" w:lineRule="auto"/>
              <w:ind w:firstLine="0"/>
            </w:pPr>
            <w:r/>
            <w:r>
              <w:rPr>
                <w:rFonts w:ascii="Times New Roman" w:hAnsi="Times New Roman" w:eastAsia="宋体"/>
                <w:b w:val="0"/>
                <w:i w:val="0"/>
                <w:sz w:val="19"/>
              </w:rPr>
              <w:t>合同信息、补协信息、审批管理（审批中）或审批记录（其他状态）、货物进度、付款进度、结算进度、开票进度四项仪表盘、操作记录</w:t>
            </w:r>
          </w:p>
        </w:tc>
        <w:tc>
          <w:tcPr>
            <w:tcW w:type="dxa" w:w="1767"/>
          </w:tcPr>
          <w:p>
            <w:pPr>
              <w:spacing w:before="20" w:after="20" w:line="276" w:lineRule="auto"/>
              <w:ind w:firstLine="0"/>
            </w:pPr>
            <w:r/>
            <w:r>
              <w:rPr>
                <w:rFonts w:ascii="Times New Roman" w:hAnsi="Times New Roman" w:eastAsia="宋体"/>
                <w:b w:val="0"/>
                <w:i w:val="0"/>
                <w:sz w:val="19"/>
              </w:rPr>
              <w:t>审批中状态在任意 tab 显示「审批通过」「驳回审批」固定底栏；行内：上传双签合同、付款申请、发货申请、新增补协、发起合同完结</w:t>
            </w:r>
          </w:p>
        </w:tc>
        <w:tc>
          <w:tcPr>
            <w:tcW w:type="dxa" w:w="1414"/>
          </w:tcPr>
          <w:p>
            <w:pPr>
              <w:spacing w:before="20" w:after="20" w:line="276" w:lineRule="auto"/>
              <w:ind w:firstLine="0"/>
            </w:pPr>
            <w:r/>
            <w:r>
              <w:rPr>
                <w:rFonts w:ascii="Times New Roman" w:hAnsi="Times New Roman" w:eastAsia="宋体"/>
                <w:b w:val="0"/>
                <w:i w:val="0"/>
                <w:sz w:val="19"/>
              </w:rPr>
              <w:t>付款申请 → 付款新建；发货申请 → 发货新建；新增补协 → 补充协议新建页</w:t>
            </w:r>
          </w:p>
        </w:tc>
      </w:tr>
      <w:tr>
        <w:tc>
          <w:tcPr>
            <w:tcW w:type="dxa" w:w="1178"/>
          </w:tcPr>
          <w:p>
            <w:pPr>
              <w:spacing w:before="20" w:after="20" w:line="276" w:lineRule="auto"/>
              <w:ind w:firstLine="0"/>
            </w:pPr>
            <w:r/>
            <w:r>
              <w:rPr>
                <w:rFonts w:ascii="Times New Roman" w:hAnsi="Times New Roman" w:eastAsia="宋体"/>
                <w:b w:val="0"/>
                <w:i w:val="0"/>
                <w:sz w:val="19"/>
              </w:rPr>
              <w:t>采购合同关联销售合同</w:t>
            </w:r>
          </w:p>
        </w:tc>
        <w:tc>
          <w:tcPr>
            <w:tcW w:type="dxa" w:w="1531"/>
          </w:tcPr>
          <w:p>
            <w:pPr>
              <w:spacing w:before="20" w:after="20" w:line="276" w:lineRule="auto"/>
              <w:ind w:firstLine="0"/>
            </w:pPr>
            <w:r/>
            <w:r>
              <w:rPr>
                <w:rFonts w:ascii="Times New Roman" w:hAnsi="Times New Roman" w:eastAsia="宋体"/>
                <w:b w:val="0"/>
                <w:i w:val="0"/>
                <w:sz w:val="19"/>
              </w:rPr>
              <w:t>contract-purchase-relate-sales.html</w:t>
            </w:r>
          </w:p>
        </w:tc>
        <w:tc>
          <w:tcPr>
            <w:tcW w:type="dxa" w:w="1119"/>
          </w:tcPr>
          <w:p>
            <w:pPr>
              <w:spacing w:before="20" w:after="20" w:line="276" w:lineRule="auto"/>
              <w:ind w:firstLine="0"/>
            </w:pPr>
            <w:r/>
            <w:r>
              <w:rPr>
                <w:rFonts w:ascii="Times New Roman" w:hAnsi="Times New Roman" w:eastAsia="宋体"/>
                <w:b w:val="0"/>
                <w:i w:val="0"/>
                <w:sz w:val="19"/>
              </w:rPr>
              <w:t>采购合同详情 → 关联销售合同</w:t>
            </w:r>
          </w:p>
        </w:tc>
        <w:tc>
          <w:tcPr>
            <w:tcW w:type="dxa" w:w="2062"/>
          </w:tcPr>
          <w:p>
            <w:pPr>
              <w:spacing w:before="20" w:after="20" w:line="276" w:lineRule="auto"/>
              <w:ind w:firstLine="0"/>
            </w:pPr>
            <w:r/>
            <w:r>
              <w:rPr>
                <w:rFonts w:ascii="Times New Roman" w:hAnsi="Times New Roman" w:eastAsia="宋体"/>
                <w:b w:val="0"/>
                <w:i w:val="0"/>
                <w:sz w:val="19"/>
              </w:rPr>
              <w:t>区块 1 采购合同信息（4 行 3 列只读）、区块 2 已选销售合同信息卡（合同编号 / 卖方 / 买方 / 品名 / 单价 / 数量）、关联说明</w:t>
            </w:r>
          </w:p>
        </w:tc>
        <w:tc>
          <w:tcPr>
            <w:tcW w:type="dxa" w:w="1767"/>
          </w:tcPr>
          <w:p>
            <w:pPr>
              <w:spacing w:before="20" w:after="20" w:line="276" w:lineRule="auto"/>
              <w:ind w:firstLine="0"/>
            </w:pPr>
            <w:r/>
            <w:r>
              <w:rPr>
                <w:rFonts w:ascii="Times New Roman" w:hAnsi="Times New Roman" w:eastAsia="宋体"/>
                <w:b w:val="0"/>
                <w:i w:val="0"/>
                <w:sz w:val="19"/>
              </w:rPr>
              <w:t>选择销售订单（弹窗选销售合同）、更换合同、解除关联、保存（二次确认后建立业务线）、取消</w:t>
            </w:r>
          </w:p>
        </w:tc>
        <w:tc>
          <w:tcPr>
            <w:tcW w:type="dxa" w:w="1414"/>
          </w:tcPr>
          <w:p>
            <w:pPr>
              <w:spacing w:before="20" w:after="20" w:line="276" w:lineRule="auto"/>
              <w:ind w:firstLine="0"/>
            </w:pPr>
            <w:r/>
            <w:r>
              <w:rPr>
                <w:rFonts w:ascii="Times New Roman" w:hAnsi="Times New Roman" w:eastAsia="宋体"/>
                <w:b w:val="0"/>
                <w:i w:val="0"/>
                <w:sz w:val="19"/>
              </w:rPr>
              <w:t>保存成功 → 业务线自动建立且状态为执行中，可进入业务线详情；取消 → 返回采购合同详情</w:t>
            </w:r>
          </w:p>
        </w:tc>
      </w:tr>
      <w:tr>
        <w:tc>
          <w:tcPr>
            <w:tcW w:type="dxa" w:w="1178"/>
          </w:tcPr>
          <w:p>
            <w:pPr>
              <w:spacing w:before="20" w:after="20" w:line="276" w:lineRule="auto"/>
              <w:ind w:firstLine="0"/>
            </w:pPr>
            <w:r/>
            <w:r>
              <w:rPr>
                <w:rFonts w:ascii="Times New Roman" w:hAnsi="Times New Roman" w:eastAsia="宋体"/>
                <w:b w:val="0"/>
                <w:i w:val="0"/>
                <w:sz w:val="19"/>
              </w:rPr>
              <w:t>补充协议列表</w:t>
            </w:r>
          </w:p>
        </w:tc>
        <w:tc>
          <w:tcPr>
            <w:tcW w:type="dxa" w:w="1531"/>
          </w:tcPr>
          <w:p>
            <w:pPr>
              <w:spacing w:before="20" w:after="20" w:line="276" w:lineRule="auto"/>
              <w:ind w:firstLine="0"/>
            </w:pPr>
            <w:r/>
            <w:r>
              <w:rPr>
                <w:rFonts w:ascii="Times New Roman" w:hAnsi="Times New Roman" w:eastAsia="宋体"/>
                <w:b w:val="0"/>
                <w:i w:val="0"/>
                <w:sz w:val="19"/>
              </w:rPr>
              <w:t>contract-supplement.html</w:t>
            </w:r>
          </w:p>
        </w:tc>
        <w:tc>
          <w:tcPr>
            <w:tcW w:type="dxa" w:w="1119"/>
          </w:tcPr>
          <w:p>
            <w:pPr>
              <w:spacing w:before="20" w:after="20" w:line="276" w:lineRule="auto"/>
              <w:ind w:firstLine="0"/>
            </w:pPr>
            <w:r/>
            <w:r>
              <w:rPr>
                <w:rFonts w:ascii="Times New Roman" w:hAnsi="Times New Roman" w:eastAsia="宋体"/>
                <w:b w:val="0"/>
                <w:i w:val="0"/>
                <w:sz w:val="19"/>
              </w:rPr>
              <w:t>数字供应链 → 合同管理 → 补充协议</w:t>
            </w:r>
          </w:p>
        </w:tc>
        <w:tc>
          <w:tcPr>
            <w:tcW w:type="dxa" w:w="2062"/>
          </w:tcPr>
          <w:p>
            <w:pPr>
              <w:spacing w:before="20" w:after="20" w:line="276" w:lineRule="auto"/>
              <w:ind w:firstLine="0"/>
            </w:pPr>
            <w:r/>
            <w:r>
              <w:rPr>
                <w:rFonts w:ascii="Times New Roman" w:hAnsi="Times New Roman" w:eastAsia="宋体"/>
                <w:b w:val="0"/>
                <w:i w:val="0"/>
                <w:sz w:val="19"/>
              </w:rPr>
              <w:t>状态 Tab、筛选区、补充协议列表表格、分页</w:t>
            </w:r>
          </w:p>
        </w:tc>
        <w:tc>
          <w:tcPr>
            <w:tcW w:type="dxa" w:w="1767"/>
          </w:tcPr>
          <w:p>
            <w:pPr>
              <w:spacing w:before="20" w:after="20" w:line="276" w:lineRule="auto"/>
              <w:ind w:firstLine="0"/>
            </w:pPr>
            <w:r/>
            <w:r>
              <w:rPr>
                <w:rFonts w:ascii="Times New Roman" w:hAnsi="Times New Roman" w:eastAsia="宋体"/>
                <w:b w:val="0"/>
                <w:i w:val="0"/>
                <w:sz w:val="19"/>
              </w:rPr>
              <w:t>新增补协（框架合同 / 订单单批次合同）、上传双签合同（仅待上传双签合同状态可见）、合同作废、更多；新增补协时若原合同已存在生效中、审批中、待上传双签或审批驳回状态的补充协议则弹提示阻止</w:t>
            </w:r>
          </w:p>
        </w:tc>
        <w:tc>
          <w:tcPr>
            <w:tcW w:type="dxa" w:w="1414"/>
          </w:tcPr>
          <w:p>
            <w:pPr>
              <w:spacing w:before="20" w:after="20" w:line="276" w:lineRule="auto"/>
              <w:ind w:firstLine="0"/>
            </w:pPr>
            <w:r/>
            <w:r>
              <w:rPr>
                <w:rFonts w:ascii="Times New Roman" w:hAnsi="Times New Roman" w:eastAsia="宋体"/>
                <w:b w:val="0"/>
                <w:i w:val="0"/>
                <w:sz w:val="19"/>
              </w:rPr>
              <w:t>新增补协 → 补充协议新建页；合同详情 → 补协框架详情或补协订单详情</w:t>
            </w:r>
          </w:p>
        </w:tc>
      </w:tr>
      <w:tr>
        <w:tc>
          <w:tcPr>
            <w:tcW w:type="dxa" w:w="1178"/>
          </w:tcPr>
          <w:p>
            <w:pPr>
              <w:spacing w:before="20" w:after="20" w:line="276" w:lineRule="auto"/>
              <w:ind w:firstLine="0"/>
            </w:pPr>
            <w:r/>
            <w:r>
              <w:rPr>
                <w:rFonts w:ascii="Times New Roman" w:hAnsi="Times New Roman" w:eastAsia="宋体"/>
                <w:b w:val="0"/>
                <w:i w:val="0"/>
                <w:sz w:val="19"/>
              </w:rPr>
              <w:t>运输合同</w:t>
            </w:r>
          </w:p>
        </w:tc>
        <w:tc>
          <w:tcPr>
            <w:tcW w:type="dxa" w:w="1531"/>
          </w:tcPr>
          <w:p>
            <w:pPr>
              <w:spacing w:before="20" w:after="20" w:line="276" w:lineRule="auto"/>
              <w:ind w:firstLine="0"/>
            </w:pPr>
            <w:r/>
            <w:r>
              <w:rPr>
                <w:rFonts w:ascii="Times New Roman" w:hAnsi="Times New Roman" w:eastAsia="宋体"/>
                <w:b w:val="0"/>
                <w:i w:val="0"/>
                <w:sz w:val="19"/>
              </w:rPr>
              <w:t>contract-shipping.html</w:t>
            </w:r>
          </w:p>
        </w:tc>
        <w:tc>
          <w:tcPr>
            <w:tcW w:type="dxa" w:w="1119"/>
          </w:tcPr>
          <w:p>
            <w:pPr>
              <w:spacing w:before="20" w:after="20" w:line="276" w:lineRule="auto"/>
              <w:ind w:firstLine="0"/>
            </w:pPr>
            <w:r/>
            <w:r>
              <w:rPr>
                <w:rFonts w:ascii="Times New Roman" w:hAnsi="Times New Roman" w:eastAsia="宋体"/>
                <w:b w:val="0"/>
                <w:i w:val="0"/>
                <w:sz w:val="19"/>
              </w:rPr>
              <w:t>数字供应链 → 合同管理 → 运输合同</w:t>
            </w:r>
          </w:p>
        </w:tc>
        <w:tc>
          <w:tcPr>
            <w:tcW w:type="dxa" w:w="2062"/>
          </w:tcPr>
          <w:p>
            <w:pPr>
              <w:spacing w:before="20" w:after="20" w:line="276" w:lineRule="auto"/>
              <w:ind w:firstLine="0"/>
            </w:pPr>
            <w:r/>
            <w:r>
              <w:rPr>
                <w:rFonts w:ascii="Times New Roman" w:hAnsi="Times New Roman" w:eastAsia="宋体"/>
                <w:b w:val="0"/>
                <w:i w:val="0"/>
                <w:sz w:val="19"/>
              </w:rPr>
              <w:t>运输合同列表（状态 Tab、筛选区、表格、分页）</w:t>
            </w:r>
          </w:p>
        </w:tc>
        <w:tc>
          <w:tcPr>
            <w:tcW w:type="dxa" w:w="1767"/>
          </w:tcPr>
          <w:p>
            <w:pPr>
              <w:spacing w:before="20" w:after="20" w:line="276" w:lineRule="auto"/>
              <w:ind w:firstLine="0"/>
            </w:pPr>
            <w:r/>
            <w:r>
              <w:rPr>
                <w:rFonts w:ascii="Times New Roman" w:hAnsi="Times New Roman" w:eastAsia="宋体"/>
                <w:b w:val="0"/>
                <w:i w:val="0"/>
                <w:sz w:val="19"/>
              </w:rPr>
              <w:t>新增运输合同、合同详情、数据导出</w:t>
            </w:r>
          </w:p>
        </w:tc>
        <w:tc>
          <w:tcPr>
            <w:tcW w:type="dxa" w:w="1414"/>
          </w:tcPr>
          <w:p>
            <w:pPr>
              <w:spacing w:before="20" w:after="20" w:line="276" w:lineRule="auto"/>
              <w:ind w:firstLine="0"/>
            </w:pPr>
            <w:r/>
            <w:r>
              <w:rPr>
                <w:rFonts w:ascii="Times New Roman" w:hAnsi="Times New Roman" w:eastAsia="宋体"/>
                <w:b w:val="0"/>
                <w:i w:val="0"/>
                <w:sz w:val="19"/>
              </w:rPr>
              <w:t>合同详情 → 运输合同详情；审批链、签章与状态流转与采销合同完全一致</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4.7.8　验收标准与待确认项</w:t>
      </w:r>
    </w:p>
    <w:tbl>
      <w:tblPr>
        <w:tblStyle w:val="TableGrid"/>
        <w:tblW w:type="auto" w:w="0"/>
        <w:jc w:val="center"/>
        <w:tblLayout w:type="fixed"/>
        <w:tblLook w:firstColumn="1" w:firstRow="1" w:lastColumn="0" w:lastRow="0" w:noHBand="0" w:noVBand="1" w:val="04A0"/>
      </w:tblPr>
      <w:tblGrid>
        <w:gridCol w:w="4479"/>
        <w:gridCol w:w="4479"/>
      </w:tblGrid>
      <w:tr>
        <w:trPr>
          <w:tblHeader w:val="true"/>
        </w:trPr>
        <w:tc>
          <w:tcPr>
            <w:tcW w:type="dxa" w:w="1701"/>
            <w:shd w:val="clear" w:color="auto" w:fill="DCE6F1"/>
          </w:tcPr>
          <w:p>
            <w:pPr>
              <w:spacing w:before="40" w:after="40" w:line="276" w:lineRule="auto"/>
              <w:jc w:val="center"/>
            </w:pPr>
            <w:r/>
            <w:r>
              <w:rPr>
                <w:rFonts w:ascii="Times New Roman" w:hAnsi="Times New Roman" w:eastAsia="黑体"/>
                <w:b/>
                <w:i w:val="0"/>
                <w:sz w:val="21"/>
              </w:rPr>
              <w:t>功能</w:t>
            </w:r>
          </w:p>
        </w:tc>
        <w:tc>
          <w:tcPr>
            <w:tcW w:type="dxa" w:w="7370"/>
            <w:shd w:val="clear" w:color="auto" w:fill="DCE6F1"/>
          </w:tcPr>
          <w:p>
            <w:pPr>
              <w:spacing w:before="40" w:after="40" w:line="276" w:lineRule="auto"/>
              <w:jc w:val="center"/>
            </w:pPr>
            <w:r/>
            <w:r>
              <w:rPr>
                <w:rFonts w:ascii="Times New Roman" w:hAnsi="Times New Roman" w:eastAsia="黑体"/>
                <w:b/>
                <w:i w:val="0"/>
                <w:sz w:val="21"/>
              </w:rPr>
              <w:t>验收要点（由关键规则转写）</w:t>
            </w:r>
          </w:p>
        </w:tc>
      </w:tr>
      <w:tr>
        <w:tc>
          <w:tcPr>
            <w:tcW w:type="dxa" w:w="1701"/>
          </w:tcPr>
          <w:p>
            <w:pPr>
              <w:spacing w:before="20" w:after="20" w:line="276" w:lineRule="auto"/>
              <w:ind w:firstLine="0"/>
            </w:pPr>
            <w:r/>
            <w:r>
              <w:rPr>
                <w:rFonts w:ascii="Times New Roman" w:hAnsi="Times New Roman" w:eastAsia="宋体"/>
                <w:b w:val="0"/>
                <w:i w:val="0"/>
                <w:sz w:val="21"/>
              </w:rPr>
              <w:t>四子菜单合同分类管理</w:t>
            </w:r>
          </w:p>
        </w:tc>
        <w:tc>
          <w:tcPr>
            <w:tcW w:type="dxa" w:w="7370"/>
          </w:tcPr>
          <w:p>
            <w:pPr>
              <w:spacing w:before="20" w:after="20" w:line="276" w:lineRule="auto"/>
              <w:ind w:firstLine="0"/>
            </w:pPr>
            <w:r/>
            <w:r>
              <w:rPr>
                <w:rFonts w:ascii="Times New Roman" w:hAnsi="Times New Roman" w:eastAsia="宋体"/>
                <w:b w:val="0"/>
                <w:i w:val="0"/>
                <w:sz w:val="21"/>
              </w:rPr>
              <w:t>补充协议通过合同子类型标识，不新增独立方向值；运输合同仅方向取值与采销合同不同，审批链、状态机与签章流程完全复用采销合同口径</w:t>
            </w:r>
          </w:p>
        </w:tc>
      </w:tr>
      <w:tr>
        <w:tc>
          <w:tcPr>
            <w:tcW w:type="dxa" w:w="1701"/>
          </w:tcPr>
          <w:p>
            <w:pPr>
              <w:spacing w:before="20" w:after="20" w:line="276" w:lineRule="auto"/>
              <w:ind w:firstLine="0"/>
            </w:pPr>
            <w:r/>
            <w:r>
              <w:rPr>
                <w:rFonts w:ascii="Times New Roman" w:hAnsi="Times New Roman" w:eastAsia="宋体"/>
                <w:b w:val="0"/>
                <w:i w:val="0"/>
                <w:sz w:val="21"/>
              </w:rPr>
              <w:t>五种合同创建方式</w:t>
            </w:r>
          </w:p>
        </w:tc>
        <w:tc>
          <w:tcPr>
            <w:tcW w:type="dxa" w:w="7370"/>
          </w:tcPr>
          <w:p>
            <w:pPr>
              <w:spacing w:before="20" w:after="20" w:line="276" w:lineRule="auto"/>
              <w:ind w:firstLine="0"/>
            </w:pPr>
            <w:r/>
            <w:r>
              <w:rPr>
                <w:rFonts w:ascii="Times New Roman" w:hAnsi="Times New Roman" w:eastAsia="宋体"/>
                <w:b w:val="0"/>
                <w:i w:val="0"/>
                <w:sz w:val="21"/>
              </w:rPr>
              <w:t>模板生成需先选合同类型与品类并自动匹配模板；历史复制复制基础信息与条款；文本上传走 OCR 识别关键字段，识别失败时降级为手动填写且不阻断提交</w:t>
            </w:r>
          </w:p>
        </w:tc>
      </w:tr>
      <w:tr>
        <w:tc>
          <w:tcPr>
            <w:tcW w:type="dxa" w:w="1701"/>
          </w:tcPr>
          <w:p>
            <w:pPr>
              <w:spacing w:before="20" w:after="20" w:line="276" w:lineRule="auto"/>
              <w:ind w:firstLine="0"/>
            </w:pPr>
            <w:r/>
            <w:r>
              <w:rPr>
                <w:rFonts w:ascii="Times New Roman" w:hAnsi="Times New Roman" w:eastAsia="宋体"/>
                <w:b w:val="0"/>
                <w:i w:val="0"/>
                <w:sz w:val="21"/>
              </w:rPr>
              <w:t>串行审批链</w:t>
            </w:r>
          </w:p>
        </w:tc>
        <w:tc>
          <w:tcPr>
            <w:tcW w:type="dxa" w:w="7370"/>
          </w:tcPr>
          <w:p>
            <w:pPr>
              <w:spacing w:before="20" w:after="20" w:line="276" w:lineRule="auto"/>
              <w:ind w:firstLine="0"/>
            </w:pPr>
            <w:r/>
            <w:r>
              <w:rPr>
                <w:rFonts w:ascii="Times New Roman" w:hAnsi="Times New Roman" w:eastAsia="宋体"/>
                <w:b w:val="0"/>
                <w:i w:val="0"/>
                <w:sz w:val="21"/>
              </w:rPr>
              <w:t>审批链最长 7 级且可配置；链上每一级为单签串行，不做会签；任一节点驳回时分为退回编辑（回到待提交）与终止（进入审批驳回）两条路径</w:t>
            </w:r>
          </w:p>
        </w:tc>
      </w:tr>
      <w:tr>
        <w:tc>
          <w:tcPr>
            <w:tcW w:type="dxa" w:w="1701"/>
          </w:tcPr>
          <w:p>
            <w:pPr>
              <w:spacing w:before="20" w:after="20" w:line="276" w:lineRule="auto"/>
              <w:ind w:firstLine="0"/>
            </w:pPr>
            <w:r/>
            <w:r>
              <w:rPr>
                <w:rFonts w:ascii="Times New Roman" w:hAnsi="Times New Roman" w:eastAsia="宋体"/>
                <w:b w:val="0"/>
                <w:i w:val="0"/>
                <w:sz w:val="21"/>
              </w:rPr>
              <w:t>签署状态决定审批后去向</w:t>
            </w:r>
          </w:p>
        </w:tc>
        <w:tc>
          <w:tcPr>
            <w:tcW w:type="dxa" w:w="7370"/>
          </w:tcPr>
          <w:p>
            <w:pPr>
              <w:spacing w:before="20" w:after="20" w:line="276" w:lineRule="auto"/>
              <w:ind w:firstLine="0"/>
            </w:pPr>
            <w:r/>
            <w:r>
              <w:rPr>
                <w:rFonts w:ascii="Times New Roman" w:hAnsi="Times New Roman" w:eastAsia="宋体"/>
                <w:b w:val="0"/>
                <w:i w:val="0"/>
                <w:sz w:val="21"/>
              </w:rPr>
              <w:t>签署状态为已双签时，审批链最后一级通过后合同状态直接为执行中；签署状态为待盖章时，审批通过后合同状态仍为待上传双签合同，需手动上传双签合同后才转为执行中</w:t>
            </w:r>
          </w:p>
        </w:tc>
      </w:tr>
      <w:tr>
        <w:tc>
          <w:tcPr>
            <w:tcW w:type="dxa" w:w="1701"/>
          </w:tcPr>
          <w:p>
            <w:pPr>
              <w:spacing w:before="20" w:after="20" w:line="276" w:lineRule="auto"/>
              <w:ind w:firstLine="0"/>
            </w:pPr>
            <w:r/>
            <w:r>
              <w:rPr>
                <w:rFonts w:ascii="Times New Roman" w:hAnsi="Times New Roman" w:eastAsia="宋体"/>
                <w:b w:val="0"/>
                <w:i w:val="0"/>
                <w:sz w:val="21"/>
              </w:rPr>
              <w:t>线下用印与双签扫描件登记</w:t>
            </w:r>
          </w:p>
        </w:tc>
        <w:tc>
          <w:tcPr>
            <w:tcW w:type="dxa" w:w="7370"/>
          </w:tcPr>
          <w:p>
            <w:pPr>
              <w:spacing w:before="20" w:after="20" w:line="276" w:lineRule="auto"/>
              <w:ind w:firstLine="0"/>
            </w:pPr>
            <w:r/>
            <w:r>
              <w:rPr>
                <w:rFonts w:ascii="Times New Roman" w:hAnsi="Times New Roman" w:eastAsia="宋体"/>
                <w:b w:val="0"/>
                <w:i w:val="0"/>
                <w:sz w:val="21"/>
              </w:rPr>
              <w:t>双签扫描件仅支持 pdf / png / jpg 格式且单文件不超过 20MB；扫描件签章方与系统记录不匹配时红色提示并转人工审核；待上传双签合同状态停留超过 30 天自动作废</w:t>
            </w:r>
          </w:p>
        </w:tc>
      </w:tr>
      <w:tr>
        <w:tc>
          <w:tcPr>
            <w:tcW w:type="dxa" w:w="1701"/>
          </w:tcPr>
          <w:p>
            <w:pPr>
              <w:spacing w:before="20" w:after="20" w:line="276" w:lineRule="auto"/>
              <w:ind w:firstLine="0"/>
            </w:pPr>
            <w:r/>
            <w:r>
              <w:rPr>
                <w:rFonts w:ascii="Times New Roman" w:hAnsi="Times New Roman" w:eastAsia="宋体"/>
                <w:b w:val="0"/>
                <w:i w:val="0"/>
                <w:sz w:val="21"/>
              </w:rPr>
              <w:t>合同作废与不可逆终态</w:t>
            </w:r>
          </w:p>
        </w:tc>
        <w:tc>
          <w:tcPr>
            <w:tcW w:type="dxa" w:w="7370"/>
          </w:tcPr>
          <w:p>
            <w:pPr>
              <w:spacing w:before="20" w:after="20" w:line="276" w:lineRule="auto"/>
              <w:ind w:firstLine="0"/>
            </w:pPr>
            <w:r/>
            <w:r>
              <w:rPr>
                <w:rFonts w:ascii="Times New Roman" w:hAnsi="Times New Roman" w:eastAsia="宋体"/>
                <w:b w:val="0"/>
                <w:i w:val="0"/>
                <w:sz w:val="21"/>
              </w:rPr>
              <w:t>已作废为不可逆终态，系统不提供恢复入口，超期自动作废与人工作废两种来源同样不可恢复</w:t>
            </w:r>
          </w:p>
        </w:tc>
      </w:tr>
      <w:tr>
        <w:tc>
          <w:tcPr>
            <w:tcW w:type="dxa" w:w="1701"/>
          </w:tcPr>
          <w:p>
            <w:pPr>
              <w:spacing w:before="20" w:after="20" w:line="276" w:lineRule="auto"/>
              <w:ind w:firstLine="0"/>
            </w:pPr>
            <w:r/>
            <w:r>
              <w:rPr>
                <w:rFonts w:ascii="Times New Roman" w:hAnsi="Times New Roman" w:eastAsia="宋体"/>
                <w:b w:val="0"/>
                <w:i w:val="0"/>
                <w:sz w:val="21"/>
              </w:rPr>
              <w:t>执行中合同的下游业务触发</w:t>
            </w:r>
          </w:p>
        </w:tc>
        <w:tc>
          <w:tcPr>
            <w:tcW w:type="dxa" w:w="7370"/>
          </w:tcPr>
          <w:p>
            <w:pPr>
              <w:spacing w:before="20" w:after="20" w:line="276" w:lineRule="auto"/>
              <w:ind w:firstLine="0"/>
            </w:pPr>
            <w:r/>
            <w:r>
              <w:rPr>
                <w:rFonts w:ascii="Times New Roman" w:hAnsi="Times New Roman" w:eastAsia="宋体"/>
                <w:b w:val="0"/>
                <w:i w:val="0"/>
                <w:sz w:val="21"/>
              </w:rPr>
              <w:t>下游单据只能关联执行中状态的合同；销售合同执行中按钮名为上传发票，采购合同执行中按钮名为开票申请，两个方向不混用</w:t>
            </w:r>
          </w:p>
        </w:tc>
      </w:tr>
      <w:tr>
        <w:tc>
          <w:tcPr>
            <w:tcW w:type="dxa" w:w="1701"/>
          </w:tcPr>
          <w:p>
            <w:pPr>
              <w:spacing w:before="20" w:after="20" w:line="276" w:lineRule="auto"/>
              <w:ind w:firstLine="0"/>
            </w:pPr>
            <w:r/>
            <w:r>
              <w:rPr>
                <w:rFonts w:ascii="Times New Roman" w:hAnsi="Times New Roman" w:eastAsia="宋体"/>
                <w:b w:val="0"/>
                <w:i w:val="0"/>
                <w:sz w:val="21"/>
              </w:rPr>
              <w:t>合同详情四项进度仪表盘</w:t>
            </w:r>
          </w:p>
        </w:tc>
        <w:tc>
          <w:tcPr>
            <w:tcW w:type="dxa" w:w="7370"/>
          </w:tcPr>
          <w:p>
            <w:pPr>
              <w:spacing w:before="20" w:after="20" w:line="276" w:lineRule="auto"/>
              <w:ind w:firstLine="0"/>
            </w:pPr>
            <w:r/>
            <w:r>
              <w:rPr>
                <w:rFonts w:ascii="Times New Roman" w:hAnsi="Times New Roman" w:eastAsia="宋体"/>
                <w:b w:val="0"/>
                <w:i w:val="0"/>
                <w:sz w:val="21"/>
              </w:rPr>
              <w:t>货物进度 = 销售合同量与下游货转量之比，数据源为货转管理的下游货转数据；付款进度 = 资金管理中对应合同的付款总和；结算进度 = 结算单管理中对应此合同的结算总金额；开票进度取数口径尚未确定</w:t>
            </w:r>
          </w:p>
        </w:tc>
      </w:tr>
      <w:tr>
        <w:tc>
          <w:tcPr>
            <w:tcW w:type="dxa" w:w="1701"/>
          </w:tcPr>
          <w:p>
            <w:pPr>
              <w:spacing w:before="20" w:after="20" w:line="276" w:lineRule="auto"/>
              <w:ind w:firstLine="0"/>
            </w:pPr>
            <w:r/>
            <w:r>
              <w:rPr>
                <w:rFonts w:ascii="Times New Roman" w:hAnsi="Times New Roman" w:eastAsia="宋体"/>
                <w:b w:val="0"/>
                <w:i w:val="0"/>
                <w:sz w:val="21"/>
              </w:rPr>
              <w:t>合同完结与作废发起</w:t>
            </w:r>
          </w:p>
        </w:tc>
        <w:tc>
          <w:tcPr>
            <w:tcW w:type="dxa" w:w="7370"/>
          </w:tcPr>
          <w:p>
            <w:pPr>
              <w:spacing w:before="20" w:after="20" w:line="276" w:lineRule="auto"/>
              <w:ind w:firstLine="0"/>
            </w:pPr>
            <w:r/>
            <w:r>
              <w:rPr>
                <w:rFonts w:ascii="Times New Roman" w:hAnsi="Times New Roman" w:eastAsia="宋体"/>
                <w:b w:val="0"/>
                <w:i w:val="0"/>
                <w:sz w:val="21"/>
              </w:rPr>
              <w:t>发起完结时对合同各项执行情况逐项校验，全部通过才转为已完结，任一项未通过时阻断并列出未完成项；执行中合同发生变更须走补充协议，已完结合同不可再变更</w:t>
            </w:r>
          </w:p>
        </w:tc>
      </w:tr>
      <w:tr>
        <w:tc>
          <w:tcPr>
            <w:tcW w:type="dxa" w:w="1701"/>
          </w:tcPr>
          <w:p>
            <w:pPr>
              <w:spacing w:before="20" w:after="20" w:line="276" w:lineRule="auto"/>
              <w:ind w:firstLine="0"/>
            </w:pPr>
            <w:r/>
            <w:r>
              <w:rPr>
                <w:rFonts w:ascii="Times New Roman" w:hAnsi="Times New Roman" w:eastAsia="宋体"/>
                <w:b w:val="0"/>
                <w:i w:val="0"/>
                <w:sz w:val="21"/>
              </w:rPr>
              <w:t>上下游合同关联与业务线建立</w:t>
            </w:r>
          </w:p>
        </w:tc>
        <w:tc>
          <w:tcPr>
            <w:tcW w:type="dxa" w:w="7370"/>
          </w:tcPr>
          <w:p>
            <w:pPr>
              <w:spacing w:before="20" w:after="20" w:line="276" w:lineRule="auto"/>
              <w:ind w:firstLine="0"/>
            </w:pPr>
            <w:r/>
            <w:r>
              <w:rPr>
                <w:rFonts w:ascii="Times New Roman" w:hAnsi="Times New Roman" w:eastAsia="宋体"/>
                <w:b w:val="0"/>
                <w:i w:val="0"/>
                <w:sz w:val="21"/>
              </w:rPr>
              <w:t>仅可选择执行中状态的合同；一份合同已关联其他业务线时不允许重复关联；解除关联后合同的业务线字段清空，业务线无任何合同时同步释放</w:t>
            </w:r>
          </w:p>
        </w:tc>
      </w:tr>
    </w:tbl>
    <w:p>
      <w:pPr>
        <w:spacing w:before="0" w:after="0" w:line="240" w:lineRule="auto"/>
      </w:pPr>
    </w:p>
    <w:p>
      <w:pPr>
        <w:spacing w:before="120" w:after="60" w:line="360" w:lineRule="auto"/>
      </w:pPr>
      <w:r>
        <w:rPr>
          <w:rFonts w:ascii="Times New Roman" w:hAnsi="Times New Roman" w:eastAsia="宋体"/>
          <w:b/>
          <w:i w:val="0"/>
          <w:sz w:val="24"/>
        </w:rPr>
        <w:t>待业务方确认：</w:t>
      </w:r>
    </w:p>
    <w:p>
      <w:pPr>
        <w:spacing w:before="0" w:after="60" w:line="336" w:lineRule="auto"/>
        <w:ind w:left="340" w:firstLine="0"/>
      </w:pPr>
      <w:r>
        <w:rPr>
          <w:rFonts w:ascii="Times New Roman" w:hAnsi="Times New Roman" w:eastAsia="宋体"/>
          <w:b w:val="0"/>
          <w:i w:val="0"/>
          <w:sz w:val="24"/>
        </w:rPr>
        <w:t>· 待业务方确认：合同状态的枚举命名需与 7 态状态机一一对应，源文档存在 4 套并行命名（13 值版、7 值版、另 1 套 9 值版、页面实现版），实施前需确认以哪一套为唯一口径</w:t>
      </w:r>
    </w:p>
    <w:p>
      <w:pPr>
        <w:spacing w:before="0" w:after="60" w:line="336" w:lineRule="auto"/>
        <w:ind w:left="340" w:firstLine="0"/>
      </w:pPr>
      <w:r>
        <w:rPr>
          <w:rFonts w:ascii="Times New Roman" w:hAnsi="Times New Roman" w:eastAsia="宋体"/>
          <w:b w:val="0"/>
          <w:i w:val="0"/>
          <w:sz w:val="24"/>
        </w:rPr>
        <w:t>· 待业务方确认：合同是否需要在 PRD 中区分业务分类维度（销售 / 采购 / 运输 × 框架 / 订单 / 补充协议），若需要，具体分类取值是哪几种</w:t>
      </w:r>
    </w:p>
    <w:p>
      <w:pPr>
        <w:spacing w:before="0" w:after="60" w:line="336" w:lineRule="auto"/>
        <w:ind w:left="340" w:firstLine="0"/>
      </w:pPr>
      <w:r>
        <w:rPr>
          <w:rFonts w:ascii="Times New Roman" w:hAnsi="Times New Roman" w:eastAsia="宋体"/>
          <w:b w:val="0"/>
          <w:i w:val="0"/>
          <w:sz w:val="24"/>
        </w:rPr>
        <w:t>· 待业务方确认：合同详情页与业务线关联卡展示的「卖方企业 / 买方」分别对应哪一方</w:t>
      </w:r>
    </w:p>
    <w:p>
      <w:pPr>
        <w:spacing w:before="0" w:after="60" w:line="336" w:lineRule="auto"/>
        <w:ind w:left="340" w:firstLine="0"/>
      </w:pPr>
      <w:r>
        <w:rPr>
          <w:rFonts w:ascii="Times New Roman" w:hAnsi="Times New Roman" w:eastAsia="宋体"/>
          <w:b w:val="0"/>
          <w:i w:val="0"/>
          <w:sz w:val="24"/>
        </w:rPr>
        <w:t>· 待业务方确认：合同号第 1 段（项目代码）与第 2 段（业务类型）的具体含义</w:t>
      </w:r>
    </w:p>
    <w:p>
      <w:pPr>
        <w:spacing w:before="0" w:after="60" w:line="336" w:lineRule="auto"/>
        <w:ind w:left="340" w:firstLine="0"/>
      </w:pPr>
      <w:r>
        <w:rPr>
          <w:rFonts w:ascii="Times New Roman" w:hAnsi="Times New Roman" w:eastAsia="宋体"/>
          <w:b w:val="0"/>
          <w:i w:val="0"/>
          <w:sz w:val="24"/>
        </w:rPr>
        <w:t>· 待业务方确认：合同详情页开票进度指标的取数口径</w:t>
      </w:r>
    </w:p>
    <w:p>
      <w:pPr>
        <w:spacing w:before="0" w:after="60" w:line="336" w:lineRule="auto"/>
        <w:ind w:left="340" w:firstLine="0"/>
      </w:pPr>
      <w:r>
        <w:rPr>
          <w:rFonts w:ascii="Times New Roman" w:hAnsi="Times New Roman" w:eastAsia="宋体"/>
          <w:b w:val="0"/>
          <w:i w:val="0"/>
          <w:sz w:val="24"/>
        </w:rPr>
        <w:t>· 待业务方确认：补充协议调价后，合同总金额按重算还是与原合同累加</w:t>
      </w:r>
    </w:p>
    <w:p>
      <w:pPr>
        <w:spacing w:before="0" w:after="60" w:line="336" w:lineRule="auto"/>
        <w:ind w:left="340" w:firstLine="0"/>
      </w:pPr>
      <w:r>
        <w:rPr>
          <w:rFonts w:ascii="Times New Roman" w:hAnsi="Times New Roman" w:eastAsia="宋体"/>
          <w:b w:val="0"/>
          <w:i w:val="0"/>
          <w:sz w:val="24"/>
        </w:rPr>
        <w:t>· 待业务方确认：付款 / 回款 / 退款金额是否受合同总金额上限约束，超额是否允许</w:t>
      </w:r>
    </w:p>
    <w:p>
      <w:pPr>
        <w:spacing w:before="0" w:after="60" w:line="336" w:lineRule="auto"/>
        <w:ind w:left="340" w:firstLine="0"/>
      </w:pPr>
      <w:r>
        <w:rPr>
          <w:rFonts w:ascii="Times New Roman" w:hAnsi="Times New Roman" w:eastAsia="宋体"/>
          <w:b w:val="0"/>
          <w:i w:val="0"/>
          <w:sz w:val="24"/>
        </w:rPr>
        <w:t>· 待业务方确认：货物进度上限 120% 的业务含义与进度条颜色分段规则</w:t>
      </w:r>
    </w:p>
    <w:p>
      <w:pPr>
        <w:spacing w:before="0" w:after="60" w:line="336" w:lineRule="auto"/>
        <w:ind w:left="340" w:firstLine="0"/>
      </w:pPr>
      <w:r>
        <w:rPr>
          <w:rFonts w:ascii="Times New Roman" w:hAnsi="Times New Roman" w:eastAsia="宋体"/>
          <w:b w:val="0"/>
          <w:i w:val="0"/>
          <w:sz w:val="24"/>
        </w:rPr>
        <w:t>· 待业务方确认：运输合同页面级字段清单是否与采销合同同构，是否包含合同签署状态下拉与付款 / 发货 / 开票按钮</w:t>
      </w:r>
    </w:p>
    <w:p>
      <w:pPr>
        <w:spacing w:before="0" w:after="60" w:line="336" w:lineRule="auto"/>
        <w:ind w:left="340" w:firstLine="0"/>
      </w:pPr>
      <w:r>
        <w:rPr>
          <w:rFonts w:ascii="Times New Roman" w:hAnsi="Times New Roman" w:eastAsia="宋体"/>
          <w:b w:val="0"/>
          <w:i w:val="0"/>
          <w:sz w:val="24"/>
        </w:rPr>
        <w:t>· 待业务方确认：列表各状态 Tab 标题上的动态计数是否随筛选条件联动刷新</w:t>
      </w:r>
    </w:p>
    <w:p>
      <w:r>
        <w:br w:type="page"/>
      </w:r>
    </w:p>
    <w:p>
      <w:pPr>
        <w:pStyle w:val="Heading2"/>
        <w:keepNext/>
        <w:spacing w:before="240" w:after="120" w:line="312" w:lineRule="auto"/>
        <w:ind w:firstLine="0"/>
      </w:pPr>
      <w:r>
        <w:rPr>
          <w:rFonts w:ascii="Times New Roman" w:hAnsi="Times New Roman" w:eastAsia="黑体"/>
          <w:b/>
          <w:i w:val="0"/>
          <w:sz w:val="28"/>
        </w:rPr>
        <w:t>4.8　业务线管理</w:t>
      </w:r>
    </w:p>
    <w:p>
      <w:pPr>
        <w:spacing w:before="0" w:after="160" w:line="360" w:lineRule="auto"/>
      </w:pPr>
      <w:r>
        <w:rPr>
          <w:rFonts w:ascii="Times New Roman" w:hAnsi="Times New Roman" w:eastAsia="宋体"/>
          <w:b w:val="0"/>
          <w:i w:val="0"/>
          <w:color w:val="595959"/>
          <w:sz w:val="21"/>
        </w:rPr>
        <w:t>菜单路径：数字供应链 / 业务线管理</w:t>
      </w:r>
    </w:p>
    <w:p>
      <w:pPr>
        <w:pStyle w:val="Heading3"/>
        <w:keepNext/>
        <w:spacing w:before="160" w:after="80" w:line="312" w:lineRule="auto"/>
        <w:ind w:firstLine="0"/>
      </w:pPr>
      <w:r>
        <w:rPr>
          <w:rFonts w:ascii="Times New Roman" w:hAnsi="Times New Roman" w:eastAsia="黑体"/>
          <w:b/>
          <w:i w:val="0"/>
          <w:sz w:val="24"/>
        </w:rPr>
        <w:t>4.8.1　一页结论</w:t>
      </w:r>
    </w:p>
    <w:p>
      <w:pPr>
        <w:spacing w:before="0" w:after="120" w:line="360" w:lineRule="auto"/>
      </w:pPr>
      <w:r>
        <w:rPr>
          <w:rFonts w:ascii="Times New Roman" w:hAnsi="Times New Roman" w:eastAsia="宋体"/>
          <w:b w:val="0"/>
          <w:i w:val="0"/>
          <w:sz w:val="24"/>
        </w:rPr>
        <w:t>按采购与销售合同配对建立业务线，汇总货转、收发货、付款回款、结算与发票进度，让业务人员一眼看到从采购到销售的全链路。</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928"/>
            <w:shd w:val="clear" w:color="auto" w:fill="DCE6F1"/>
          </w:tcPr>
          <w:p>
            <w:pPr>
              <w:spacing w:before="40" w:after="40" w:line="276" w:lineRule="auto"/>
              <w:jc w:val="center"/>
            </w:pPr>
            <w:r/>
            <w:r>
              <w:rPr>
                <w:rFonts w:ascii="Times New Roman" w:hAnsi="Times New Roman" w:eastAsia="黑体"/>
                <w:b/>
                <w:i w:val="0"/>
                <w:sz w:val="21"/>
              </w:rPr>
              <w:t>问题</w:t>
            </w:r>
          </w:p>
        </w:tc>
        <w:tc>
          <w:tcPr>
            <w:tcW w:type="dxa" w:w="3572"/>
            <w:shd w:val="clear" w:color="auto" w:fill="DCE6F1"/>
          </w:tcPr>
          <w:p>
            <w:pPr>
              <w:spacing w:before="40" w:after="40" w:line="276" w:lineRule="auto"/>
              <w:jc w:val="center"/>
            </w:pPr>
            <w:r/>
            <w:r>
              <w:rPr>
                <w:rFonts w:ascii="Times New Roman" w:hAnsi="Times New Roman" w:eastAsia="黑体"/>
                <w:b/>
                <w:i w:val="0"/>
                <w:sz w:val="21"/>
              </w:rPr>
              <w:t>当前做法</w:t>
            </w:r>
          </w:p>
        </w:tc>
        <w:tc>
          <w:tcPr>
            <w:tcW w:type="dxa" w:w="3572"/>
            <w:shd w:val="clear" w:color="auto" w:fill="DCE6F1"/>
          </w:tcPr>
          <w:p>
            <w:pPr>
              <w:spacing w:before="40" w:after="40" w:line="276" w:lineRule="auto"/>
              <w:jc w:val="center"/>
            </w:pPr>
            <w:r/>
            <w:r>
              <w:rPr>
                <w:rFonts w:ascii="Times New Roman" w:hAnsi="Times New Roman" w:eastAsia="黑体"/>
                <w:b/>
                <w:i w:val="0"/>
                <w:sz w:val="21"/>
              </w:rPr>
              <w:t>本模块解法</w:t>
            </w:r>
          </w:p>
        </w:tc>
      </w:tr>
      <w:tr>
        <w:tc>
          <w:tcPr>
            <w:tcW w:type="dxa" w:w="1928"/>
          </w:tcPr>
          <w:p>
            <w:pPr>
              <w:spacing w:before="20" w:after="20" w:line="276" w:lineRule="auto"/>
              <w:ind w:firstLine="0"/>
            </w:pPr>
            <w:r/>
            <w:r>
              <w:rPr>
                <w:rFonts w:ascii="Times New Roman" w:hAnsi="Times New Roman" w:eastAsia="宋体"/>
                <w:b w:val="0"/>
                <w:i w:val="0"/>
                <w:sz w:val="21"/>
              </w:rPr>
              <w:t>一笔业务的上下游执行进度分散在多个单据模块里</w:t>
            </w:r>
          </w:p>
        </w:tc>
        <w:tc>
          <w:tcPr>
            <w:tcW w:type="dxa" w:w="3572"/>
          </w:tcPr>
          <w:p>
            <w:pPr>
              <w:spacing w:before="20" w:after="20" w:line="276" w:lineRule="auto"/>
              <w:ind w:firstLine="0"/>
            </w:pPr>
            <w:r/>
            <w:r>
              <w:rPr>
                <w:rFonts w:ascii="Times New Roman" w:hAnsi="Times New Roman" w:eastAsia="宋体"/>
                <w:b w:val="0"/>
                <w:i w:val="0"/>
                <w:sz w:val="21"/>
              </w:rPr>
              <w:t>货转、收发货、付款、结算、发票各查各的列表，跨模块拼一条业务链路全靠人工汇总</w:t>
            </w:r>
          </w:p>
        </w:tc>
        <w:tc>
          <w:tcPr>
            <w:tcW w:type="dxa" w:w="3572"/>
          </w:tcPr>
          <w:p>
            <w:pPr>
              <w:spacing w:before="20" w:after="20" w:line="276" w:lineRule="auto"/>
              <w:ind w:firstLine="0"/>
            </w:pPr>
            <w:r/>
            <w:r>
              <w:rPr>
                <w:rFonts w:ascii="Times New Roman" w:hAnsi="Times New Roman" w:eastAsia="宋体"/>
                <w:b w:val="0"/>
                <w:i w:val="0"/>
                <w:sz w:val="21"/>
              </w:rPr>
              <w:t>业务线把关联的合同与全部执行单据汇总到一条线路上，形成从采购到销售的单一全景视图</w:t>
            </w:r>
          </w:p>
        </w:tc>
      </w:tr>
      <w:tr>
        <w:tc>
          <w:tcPr>
            <w:tcW w:type="dxa" w:w="1928"/>
          </w:tcPr>
          <w:p>
            <w:pPr>
              <w:spacing w:before="20" w:after="20" w:line="276" w:lineRule="auto"/>
              <w:ind w:firstLine="0"/>
            </w:pPr>
            <w:r/>
            <w:r>
              <w:rPr>
                <w:rFonts w:ascii="Times New Roman" w:hAnsi="Times New Roman" w:eastAsia="宋体"/>
                <w:b w:val="0"/>
                <w:i w:val="0"/>
                <w:sz w:val="21"/>
              </w:rPr>
              <w:t>库存与货值缺少统一口径，同一笔业务算不出真实剩余库存</w:t>
            </w:r>
          </w:p>
        </w:tc>
        <w:tc>
          <w:tcPr>
            <w:tcW w:type="dxa" w:w="3572"/>
          </w:tcPr>
          <w:p>
            <w:pPr>
              <w:spacing w:before="20" w:after="20" w:line="276" w:lineRule="auto"/>
              <w:ind w:firstLine="0"/>
            </w:pPr>
            <w:r/>
            <w:r>
              <w:rPr>
                <w:rFonts w:ascii="Times New Roman" w:hAnsi="Times New Roman" w:eastAsia="宋体"/>
                <w:b w:val="0"/>
                <w:i w:val="0"/>
                <w:sz w:val="21"/>
              </w:rPr>
              <w:t>账面库存、入库货值、出库货值分别在不同模块统计，数字对不上</w:t>
            </w:r>
          </w:p>
        </w:tc>
        <w:tc>
          <w:tcPr>
            <w:tcW w:type="dxa" w:w="3572"/>
          </w:tcPr>
          <w:p>
            <w:pPr>
              <w:spacing w:before="20" w:after="20" w:line="276" w:lineRule="auto"/>
              <w:ind w:firstLine="0"/>
            </w:pPr>
            <w:r/>
            <w:r>
              <w:rPr>
                <w:rFonts w:ascii="Times New Roman" w:hAnsi="Times New Roman" w:eastAsia="宋体"/>
                <w:b w:val="0"/>
                <w:i w:val="0"/>
                <w:sz w:val="21"/>
              </w:rPr>
              <w:t>业务线台账按固定公式汇总账面库存、账面库存货值、累计入库货值、累计出库货值与品类库存列表，货转生效后自动重算</w:t>
            </w:r>
          </w:p>
        </w:tc>
      </w:tr>
      <w:tr>
        <w:tc>
          <w:tcPr>
            <w:tcW w:type="dxa" w:w="1928"/>
          </w:tcPr>
          <w:p>
            <w:pPr>
              <w:spacing w:before="20" w:after="20" w:line="276" w:lineRule="auto"/>
              <w:ind w:firstLine="0"/>
            </w:pPr>
            <w:r/>
            <w:r>
              <w:rPr>
                <w:rFonts w:ascii="Times New Roman" w:hAnsi="Times New Roman" w:eastAsia="宋体"/>
                <w:b w:val="0"/>
                <w:i w:val="0"/>
                <w:sz w:val="21"/>
              </w:rPr>
              <w:t>上下游合同关联后关联错了无法自行纠正</w:t>
            </w:r>
          </w:p>
        </w:tc>
        <w:tc>
          <w:tcPr>
            <w:tcW w:type="dxa" w:w="3572"/>
          </w:tcPr>
          <w:p>
            <w:pPr>
              <w:spacing w:before="20" w:after="20" w:line="276" w:lineRule="auto"/>
              <w:ind w:firstLine="0"/>
            </w:pPr>
            <w:r/>
            <w:r>
              <w:rPr>
                <w:rFonts w:ascii="Times New Roman" w:hAnsi="Times New Roman" w:eastAsia="宋体"/>
                <w:b w:val="0"/>
                <w:i w:val="0"/>
                <w:sz w:val="21"/>
              </w:rPr>
              <w:t>关联关系一旦建立只能提工单或等待审批处理</w:t>
            </w:r>
          </w:p>
        </w:tc>
        <w:tc>
          <w:tcPr>
            <w:tcW w:type="dxa" w:w="3572"/>
          </w:tcPr>
          <w:p>
            <w:pPr>
              <w:spacing w:before="20" w:after="20" w:line="276" w:lineRule="auto"/>
              <w:ind w:firstLine="0"/>
            </w:pPr>
            <w:r/>
            <w:r>
              <w:rPr>
                <w:rFonts w:ascii="Times New Roman" w:hAnsi="Times New Roman" w:eastAsia="宋体"/>
                <w:b w:val="0"/>
                <w:i w:val="0"/>
                <w:sz w:val="21"/>
              </w:rPr>
              <w:t>解除业务线由业务人员直接操作、无需审批，解除后释放关联，合同可重新关联</w:t>
            </w:r>
          </w:p>
        </w:tc>
      </w:tr>
      <w:tr>
        <w:tc>
          <w:tcPr>
            <w:tcW w:type="dxa" w:w="1928"/>
          </w:tcPr>
          <w:p>
            <w:pPr>
              <w:spacing w:before="20" w:after="20" w:line="276" w:lineRule="auto"/>
              <w:ind w:firstLine="0"/>
            </w:pPr>
            <w:r/>
            <w:r>
              <w:rPr>
                <w:rFonts w:ascii="Times New Roman" w:hAnsi="Times New Roman" w:eastAsia="宋体"/>
                <w:b w:val="0"/>
                <w:i w:val="0"/>
                <w:sz w:val="21"/>
              </w:rPr>
              <w:t>业务线状态与合同实际状态长期不一致</w:t>
            </w:r>
          </w:p>
        </w:tc>
        <w:tc>
          <w:tcPr>
            <w:tcW w:type="dxa" w:w="3572"/>
          </w:tcPr>
          <w:p>
            <w:pPr>
              <w:spacing w:before="20" w:after="20" w:line="276" w:lineRule="auto"/>
              <w:ind w:firstLine="0"/>
            </w:pPr>
            <w:r/>
            <w:r>
              <w:rPr>
                <w:rFonts w:ascii="Times New Roman" w:hAnsi="Times New Roman" w:eastAsia="宋体"/>
                <w:b w:val="0"/>
                <w:i w:val="0"/>
                <w:sz w:val="21"/>
              </w:rPr>
              <w:t>合同完结或作废后，业务线台账上的状态仍停留在旧值</w:t>
            </w:r>
          </w:p>
        </w:tc>
        <w:tc>
          <w:tcPr>
            <w:tcW w:type="dxa" w:w="3572"/>
          </w:tcPr>
          <w:p>
            <w:pPr>
              <w:spacing w:before="20" w:after="20" w:line="276" w:lineRule="auto"/>
              <w:ind w:firstLine="0"/>
            </w:pPr>
            <w:r/>
            <w:r>
              <w:rPr>
                <w:rFonts w:ascii="Times New Roman" w:hAnsi="Times New Roman" w:eastAsia="宋体"/>
                <w:b w:val="0"/>
                <w:i w:val="0"/>
                <w:sz w:val="21"/>
              </w:rPr>
              <w:t>业务线状态同步所关联合同的实际状态，采购与销售任一方完结即自动推进对应状态</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4.8.2　背景与目标</w:t>
      </w:r>
    </w:p>
    <w:tbl>
      <w:tblPr>
        <w:tblStyle w:val="TableGrid"/>
        <w:tblW w:type="auto" w:w="0"/>
        <w:jc w:val="center"/>
        <w:tblLayout w:type="fixed"/>
        <w:tblLook w:firstColumn="1" w:firstRow="1" w:lastColumn="0" w:lastRow="0" w:noHBand="0" w:noVBand="1" w:val="04A0"/>
      </w:tblPr>
      <w:tblGrid>
        <w:gridCol w:w="8958"/>
      </w:tblGrid>
      <w:tr>
        <w:trPr>
          <w:tblHeader w:val="true"/>
        </w:trPr>
        <w:tc>
          <w:tcPr>
            <w:tcW w:type="dxa" w:w="9071"/>
            <w:shd w:val="clear" w:color="auto" w:fill="DCE6F1"/>
          </w:tcPr>
          <w:p>
            <w:pPr>
              <w:spacing w:before="40" w:after="40" w:line="276" w:lineRule="auto"/>
              <w:jc w:val="center"/>
            </w:pPr>
            <w:r/>
            <w:r>
              <w:rPr>
                <w:rFonts w:ascii="Times New Roman" w:hAnsi="Times New Roman" w:eastAsia="黑体"/>
                <w:b/>
                <w:i w:val="0"/>
                <w:sz w:val="21"/>
              </w:rPr>
              <w:t>目标 / 衡量口径</w:t>
            </w:r>
          </w:p>
        </w:tc>
      </w:tr>
      <w:tr>
        <w:tc>
          <w:tcPr>
            <w:tcW w:type="dxa" w:w="9071"/>
          </w:tcPr>
          <w:p>
            <w:pPr>
              <w:spacing w:before="20" w:after="20" w:line="276" w:lineRule="auto"/>
              <w:ind w:firstLine="0"/>
            </w:pPr>
            <w:r/>
            <w:r>
              <w:rPr>
                <w:rFonts w:ascii="Times New Roman" w:hAnsi="Times New Roman" w:eastAsia="宋体"/>
                <w:b w:val="0"/>
                <w:i w:val="0"/>
                <w:sz w:val="21"/>
              </w:rPr>
              <w:t>业务线状态口径统一为 4 个业务状态加聚合全部（执行中 / 采购已完结 / 销售已完结 / 全部已完结），列表 Tab 与合同状态同步规则一致</w:t>
            </w:r>
          </w:p>
        </w:tc>
      </w:tr>
      <w:tr>
        <w:tc>
          <w:tcPr>
            <w:tcW w:type="dxa" w:w="9071"/>
          </w:tcPr>
          <w:p>
            <w:pPr>
              <w:spacing w:before="20" w:after="20" w:line="276" w:lineRule="auto"/>
              <w:ind w:firstLine="0"/>
            </w:pPr>
            <w:r/>
            <w:r>
              <w:rPr>
                <w:rFonts w:ascii="Times New Roman" w:hAnsi="Times New Roman" w:eastAsia="宋体"/>
                <w:b w:val="0"/>
                <w:i w:val="0"/>
                <w:sz w:val="21"/>
              </w:rPr>
              <w:t>业务线一律由人工手动关联产生，不存在系统自动创建路径，关联对象限定为执行中状态的合同</w:t>
            </w:r>
          </w:p>
        </w:tc>
      </w:tr>
      <w:tr>
        <w:tc>
          <w:tcPr>
            <w:tcW w:type="dxa" w:w="9071"/>
          </w:tcPr>
          <w:p>
            <w:pPr>
              <w:spacing w:before="20" w:after="20" w:line="276" w:lineRule="auto"/>
              <w:ind w:firstLine="0"/>
            </w:pPr>
            <w:r/>
            <w:r>
              <w:rPr>
                <w:rFonts w:ascii="Times New Roman" w:hAnsi="Times New Roman" w:eastAsia="宋体"/>
                <w:b w:val="0"/>
                <w:i w:val="0"/>
                <w:sz w:val="21"/>
              </w:rPr>
              <w:t>账面库存按已收货转总数减已开货转总数计算，上游货转增加、下游货转减少，与仓储库存对账口径一致</w:t>
            </w:r>
          </w:p>
        </w:tc>
      </w:tr>
      <w:tr>
        <w:tc>
          <w:tcPr>
            <w:tcW w:type="dxa" w:w="9071"/>
          </w:tcPr>
          <w:p>
            <w:pPr>
              <w:spacing w:before="20" w:after="20" w:line="276" w:lineRule="auto"/>
              <w:ind w:firstLine="0"/>
            </w:pPr>
            <w:r/>
            <w:r>
              <w:rPr>
                <w:rFonts w:ascii="Times New Roman" w:hAnsi="Times New Roman" w:eastAsia="宋体"/>
                <w:b w:val="0"/>
                <w:i w:val="0"/>
                <w:sz w:val="21"/>
              </w:rPr>
              <w:t>业务线详情页按 2 个区块组织，区块 2 固定承载合同签署状态、货转数量、付款回款、采销结算、进销项发票 5 个指标</w:t>
            </w:r>
          </w:p>
        </w:tc>
      </w:tr>
    </w:tbl>
    <w:p>
      <w:pPr>
        <w:spacing w:before="0" w:after="0" w:line="240" w:lineRule="auto"/>
      </w:pPr>
    </w:p>
    <w:p>
      <w:pPr>
        <w:spacing w:before="80" w:after="120" w:line="360" w:lineRule="auto"/>
      </w:pPr>
      <w:r>
        <w:rPr>
          <w:rFonts w:ascii="Times New Roman" w:hAnsi="Times New Roman" w:eastAsia="宋体"/>
          <w:b w:val="0"/>
          <w:i w:val="0"/>
          <w:color w:val="595959"/>
          <w:sz w:val="21"/>
        </w:rPr>
        <w:t>说明：文中口径以业务方已确认结论为准；未确认项集中列于本章末与第 5 章。</w:t>
      </w:r>
    </w:p>
    <w:p>
      <w:pPr>
        <w:pStyle w:val="Heading3"/>
        <w:keepNext/>
        <w:spacing w:before="160" w:after="80" w:line="312" w:lineRule="auto"/>
        <w:ind w:firstLine="0"/>
      </w:pPr>
      <w:r>
        <w:rPr>
          <w:rFonts w:ascii="Times New Roman" w:hAnsi="Times New Roman" w:eastAsia="黑体"/>
          <w:b/>
          <w:i w:val="0"/>
          <w:sz w:val="24"/>
        </w:rPr>
        <w:t>4.8.3　角色与用户需求</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361"/>
            <w:shd w:val="clear" w:color="auto" w:fill="DCE6F1"/>
          </w:tcPr>
          <w:p>
            <w:pPr>
              <w:spacing w:before="40" w:after="40" w:line="276" w:lineRule="auto"/>
              <w:jc w:val="center"/>
            </w:pPr>
            <w:r/>
            <w:r>
              <w:rPr>
                <w:rFonts w:ascii="Times New Roman" w:hAnsi="Times New Roman" w:eastAsia="黑体"/>
                <w:b/>
                <w:i w:val="0"/>
                <w:sz w:val="21"/>
              </w:rPr>
              <w:t>角色</w:t>
            </w:r>
          </w:p>
        </w:tc>
        <w:tc>
          <w:tcPr>
            <w:tcW w:type="dxa" w:w="1247"/>
            <w:shd w:val="clear" w:color="auto" w:fill="DCE6F1"/>
          </w:tcPr>
          <w:p>
            <w:pPr>
              <w:spacing w:before="40" w:after="40" w:line="276" w:lineRule="auto"/>
              <w:jc w:val="center"/>
            </w:pPr>
            <w:r/>
            <w:r>
              <w:rPr>
                <w:rFonts w:ascii="Times New Roman" w:hAnsi="Times New Roman" w:eastAsia="黑体"/>
                <w:b/>
                <w:i w:val="0"/>
                <w:sz w:val="21"/>
              </w:rPr>
              <w:t>所属部门</w:t>
            </w:r>
          </w:p>
        </w:tc>
        <w:tc>
          <w:tcPr>
            <w:tcW w:type="dxa" w:w="6463"/>
            <w:shd w:val="clear" w:color="auto" w:fill="DCE6F1"/>
          </w:tcPr>
          <w:p>
            <w:pPr>
              <w:spacing w:before="40" w:after="40" w:line="276" w:lineRule="auto"/>
              <w:jc w:val="center"/>
            </w:pPr>
            <w:r/>
            <w:r>
              <w:rPr>
                <w:rFonts w:ascii="Times New Roman" w:hAnsi="Times New Roman" w:eastAsia="黑体"/>
                <w:b/>
                <w:i w:val="0"/>
                <w:sz w:val="21"/>
              </w:rPr>
              <w:t>用户需求（我要…以便…）</w:t>
            </w:r>
          </w:p>
        </w:tc>
      </w:tr>
      <w:tr>
        <w:tc>
          <w:tcPr>
            <w:tcW w:type="dxa" w:w="1361"/>
          </w:tcPr>
          <w:p>
            <w:pPr>
              <w:spacing w:before="20" w:after="20" w:line="276" w:lineRule="auto"/>
              <w:ind w:firstLine="0"/>
            </w:pPr>
            <w:r/>
            <w:r>
              <w:rPr>
                <w:rFonts w:ascii="Times New Roman" w:hAnsi="Times New Roman" w:eastAsia="宋体"/>
                <w:b w:val="0"/>
                <w:i w:val="0"/>
                <w:sz w:val="21"/>
              </w:rPr>
              <w:t>业务人员（业务线发起人）</w:t>
            </w:r>
          </w:p>
        </w:tc>
        <w:tc>
          <w:tcPr>
            <w:tcW w:type="dxa" w:w="1247"/>
          </w:tcPr>
          <w:p>
            <w:pPr>
              <w:spacing w:before="20" w:after="20" w:line="276" w:lineRule="auto"/>
              <w:ind w:firstLine="0"/>
            </w:pPr>
            <w:r/>
            <w:r>
              <w:rPr>
                <w:rFonts w:ascii="Times New Roman" w:hAnsi="Times New Roman" w:eastAsia="宋体"/>
                <w:b w:val="0"/>
                <w:i w:val="0"/>
                <w:sz w:val="21"/>
              </w:rPr>
              <w:t>业务部</w:t>
            </w:r>
          </w:p>
        </w:tc>
        <w:tc>
          <w:tcPr>
            <w:tcW w:type="dxa" w:w="6463"/>
          </w:tcPr>
          <w:p>
            <w:pPr>
              <w:spacing w:before="20" w:after="20" w:line="276" w:lineRule="auto"/>
              <w:ind w:firstLine="0"/>
            </w:pPr>
            <w:r/>
            <w:r>
              <w:rPr>
                <w:rFonts w:ascii="Times New Roman" w:hAnsi="Times New Roman" w:eastAsia="宋体"/>
                <w:b w:val="0"/>
                <w:i w:val="0"/>
                <w:sz w:val="21"/>
              </w:rPr>
              <w:t>我要手动关联上下游合同建立业务线，以便一笔业务有唯一主线可追</w:t>
            </w:r>
          </w:p>
        </w:tc>
      </w:tr>
      <w:tr>
        <w:tc>
          <w:tcPr>
            <w:tcW w:type="dxa" w:w="1361"/>
          </w:tcPr>
          <w:p>
            <w:pPr>
              <w:spacing w:before="20" w:after="20" w:line="276" w:lineRule="auto"/>
              <w:ind w:firstLine="0"/>
            </w:pPr>
            <w:r/>
            <w:r>
              <w:rPr>
                <w:rFonts w:ascii="Times New Roman" w:hAnsi="Times New Roman" w:eastAsia="宋体"/>
                <w:b w:val="0"/>
                <w:i w:val="0"/>
                <w:sz w:val="21"/>
              </w:rPr>
              <w:t>业务部台账岗</w:t>
            </w:r>
          </w:p>
        </w:tc>
        <w:tc>
          <w:tcPr>
            <w:tcW w:type="dxa" w:w="1247"/>
          </w:tcPr>
          <w:p>
            <w:pPr>
              <w:spacing w:before="20" w:after="20" w:line="276" w:lineRule="auto"/>
              <w:ind w:firstLine="0"/>
            </w:pPr>
            <w:r/>
            <w:r>
              <w:rPr>
                <w:rFonts w:ascii="Times New Roman" w:hAnsi="Times New Roman" w:eastAsia="宋体"/>
                <w:b w:val="0"/>
                <w:i w:val="0"/>
                <w:sz w:val="21"/>
              </w:rPr>
              <w:t>业务部</w:t>
            </w:r>
          </w:p>
        </w:tc>
        <w:tc>
          <w:tcPr>
            <w:tcW w:type="dxa" w:w="6463"/>
          </w:tcPr>
          <w:p>
            <w:pPr>
              <w:spacing w:before="20" w:after="20" w:line="276" w:lineRule="auto"/>
              <w:ind w:firstLine="0"/>
            </w:pPr>
            <w:r/>
            <w:r>
              <w:rPr>
                <w:rFonts w:ascii="Times New Roman" w:hAnsi="Times New Roman" w:eastAsia="宋体"/>
                <w:b w:val="0"/>
                <w:i w:val="0"/>
                <w:sz w:val="21"/>
              </w:rPr>
              <w:t>我要在业务线列表按状态查询、导出并解除关联，以便清理无效业务线</w:t>
            </w:r>
          </w:p>
        </w:tc>
      </w:tr>
      <w:tr>
        <w:tc>
          <w:tcPr>
            <w:tcW w:type="dxa" w:w="1361"/>
          </w:tcPr>
          <w:p>
            <w:pPr>
              <w:spacing w:before="20" w:after="20" w:line="276" w:lineRule="auto"/>
              <w:ind w:firstLine="0"/>
            </w:pPr>
            <w:r/>
            <w:r>
              <w:rPr>
                <w:rFonts w:ascii="Times New Roman" w:hAnsi="Times New Roman" w:eastAsia="宋体"/>
                <w:b w:val="0"/>
                <w:i w:val="0"/>
                <w:sz w:val="21"/>
              </w:rPr>
              <w:t>库管负责人</w:t>
            </w:r>
          </w:p>
        </w:tc>
        <w:tc>
          <w:tcPr>
            <w:tcW w:type="dxa" w:w="1247"/>
          </w:tcPr>
          <w:p>
            <w:pPr>
              <w:spacing w:before="20" w:after="20" w:line="276" w:lineRule="auto"/>
              <w:ind w:firstLine="0"/>
            </w:pPr>
            <w:r/>
            <w:r>
              <w:rPr>
                <w:rFonts w:ascii="Times New Roman" w:hAnsi="Times New Roman" w:eastAsia="宋体"/>
                <w:b w:val="0"/>
                <w:i w:val="0"/>
                <w:sz w:val="21"/>
              </w:rPr>
              <w:t>仓储条线</w:t>
            </w:r>
          </w:p>
        </w:tc>
        <w:tc>
          <w:tcPr>
            <w:tcW w:type="dxa" w:w="6463"/>
          </w:tcPr>
          <w:p>
            <w:pPr>
              <w:spacing w:before="20" w:after="20" w:line="276" w:lineRule="auto"/>
              <w:ind w:firstLine="0"/>
            </w:pPr>
            <w:r/>
            <w:r>
              <w:rPr>
                <w:rFonts w:ascii="Times New Roman" w:hAnsi="Times New Roman" w:eastAsia="宋体"/>
                <w:b w:val="0"/>
                <w:i w:val="0"/>
                <w:sz w:val="21"/>
              </w:rPr>
              <w:t>我要查看账面库存与出入库货值，以便判断该业务线还能发多少货</w:t>
            </w:r>
          </w:p>
        </w:tc>
      </w:tr>
      <w:tr>
        <w:tc>
          <w:tcPr>
            <w:tcW w:type="dxa" w:w="1361"/>
          </w:tcPr>
          <w:p>
            <w:pPr>
              <w:spacing w:before="20" w:after="20" w:line="276" w:lineRule="auto"/>
              <w:ind w:firstLine="0"/>
            </w:pPr>
            <w:r/>
            <w:r>
              <w:rPr>
                <w:rFonts w:ascii="Times New Roman" w:hAnsi="Times New Roman" w:eastAsia="宋体"/>
                <w:b w:val="0"/>
                <w:i w:val="0"/>
                <w:sz w:val="21"/>
              </w:rPr>
              <w:t>财务员</w:t>
            </w:r>
          </w:p>
        </w:tc>
        <w:tc>
          <w:tcPr>
            <w:tcW w:type="dxa" w:w="1247"/>
          </w:tcPr>
          <w:p>
            <w:pPr>
              <w:spacing w:before="20" w:after="20" w:line="276" w:lineRule="auto"/>
              <w:ind w:firstLine="0"/>
            </w:pPr>
            <w:r/>
            <w:r>
              <w:rPr>
                <w:rFonts w:ascii="Times New Roman" w:hAnsi="Times New Roman" w:eastAsia="宋体"/>
                <w:b w:val="0"/>
                <w:i w:val="0"/>
                <w:sz w:val="21"/>
              </w:rPr>
              <w:t>财务部</w:t>
            </w:r>
          </w:p>
        </w:tc>
        <w:tc>
          <w:tcPr>
            <w:tcW w:type="dxa" w:w="6463"/>
          </w:tcPr>
          <w:p>
            <w:pPr>
              <w:spacing w:before="20" w:after="20" w:line="276" w:lineRule="auto"/>
              <w:ind w:firstLine="0"/>
            </w:pPr>
            <w:r/>
            <w:r>
              <w:rPr>
                <w:rFonts w:ascii="Times New Roman" w:hAnsi="Times New Roman" w:eastAsia="宋体"/>
                <w:b w:val="0"/>
                <w:i w:val="0"/>
                <w:sz w:val="21"/>
              </w:rPr>
              <w:t>我要按业务线查看付款与回款登记结果，以便核对资金回收进度</w:t>
            </w:r>
          </w:p>
        </w:tc>
      </w:tr>
      <w:tr>
        <w:tc>
          <w:tcPr>
            <w:tcW w:type="dxa" w:w="1361"/>
          </w:tcPr>
          <w:p>
            <w:pPr>
              <w:spacing w:before="20" w:after="20" w:line="276" w:lineRule="auto"/>
              <w:ind w:firstLine="0"/>
            </w:pPr>
            <w:r/>
            <w:r>
              <w:rPr>
                <w:rFonts w:ascii="Times New Roman" w:hAnsi="Times New Roman" w:eastAsia="宋体"/>
                <w:b w:val="0"/>
                <w:i w:val="0"/>
                <w:sz w:val="21"/>
              </w:rPr>
              <w:t>风控</w:t>
            </w:r>
          </w:p>
        </w:tc>
        <w:tc>
          <w:tcPr>
            <w:tcW w:type="dxa" w:w="1247"/>
          </w:tcPr>
          <w:p>
            <w:pPr>
              <w:spacing w:before="20" w:after="20" w:line="276" w:lineRule="auto"/>
              <w:ind w:firstLine="0"/>
            </w:pPr>
            <w:r/>
            <w:r>
              <w:rPr>
                <w:rFonts w:ascii="Times New Roman" w:hAnsi="Times New Roman" w:eastAsia="宋体"/>
                <w:b w:val="0"/>
                <w:i w:val="0"/>
                <w:sz w:val="21"/>
              </w:rPr>
              <w:t>风控部</w:t>
            </w:r>
          </w:p>
        </w:tc>
        <w:tc>
          <w:tcPr>
            <w:tcW w:type="dxa" w:w="6463"/>
          </w:tcPr>
          <w:p>
            <w:pPr>
              <w:spacing w:before="20" w:after="20" w:line="276" w:lineRule="auto"/>
              <w:ind w:firstLine="0"/>
            </w:pPr>
            <w:r/>
            <w:r>
              <w:rPr>
                <w:rFonts w:ascii="Times New Roman" w:hAnsi="Times New Roman" w:eastAsia="宋体"/>
                <w:b w:val="0"/>
                <w:i w:val="0"/>
                <w:sz w:val="21"/>
              </w:rPr>
              <w:t>我要查看业务线上的风险预警计数，以便提前介入风险业务</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4.8.4　功能结构与范围</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474"/>
            <w:shd w:val="clear" w:color="auto" w:fill="DCE6F1"/>
          </w:tcPr>
          <w:p>
            <w:pPr>
              <w:spacing w:before="40" w:after="40" w:line="276" w:lineRule="auto"/>
              <w:jc w:val="center"/>
            </w:pPr>
            <w:r/>
            <w:r>
              <w:rPr>
                <w:rFonts w:ascii="Times New Roman" w:hAnsi="Times New Roman" w:eastAsia="黑体"/>
                <w:b/>
                <w:i w:val="0"/>
                <w:sz w:val="21"/>
              </w:rPr>
              <w:t>功能</w:t>
            </w:r>
          </w:p>
        </w:tc>
        <w:tc>
          <w:tcPr>
            <w:tcW w:type="dxa" w:w="3175"/>
            <w:shd w:val="clear" w:color="auto" w:fill="DCE6F1"/>
          </w:tcPr>
          <w:p>
            <w:pPr>
              <w:spacing w:before="40" w:after="40" w:line="276" w:lineRule="auto"/>
              <w:jc w:val="center"/>
            </w:pPr>
            <w:r/>
            <w:r>
              <w:rPr>
                <w:rFonts w:ascii="Times New Roman" w:hAnsi="Times New Roman" w:eastAsia="黑体"/>
                <w:b/>
                <w:i w:val="0"/>
                <w:sz w:val="21"/>
              </w:rPr>
              <w:t>功能说明</w:t>
            </w:r>
          </w:p>
        </w:tc>
        <w:tc>
          <w:tcPr>
            <w:tcW w:type="dxa" w:w="4422"/>
            <w:shd w:val="clear" w:color="auto" w:fill="DCE6F1"/>
          </w:tcPr>
          <w:p>
            <w:pPr>
              <w:spacing w:before="40" w:after="40" w:line="276" w:lineRule="auto"/>
              <w:jc w:val="center"/>
            </w:pPr>
            <w:r/>
            <w:r>
              <w:rPr>
                <w:rFonts w:ascii="Times New Roman" w:hAnsi="Times New Roman" w:eastAsia="黑体"/>
                <w:b/>
                <w:i w:val="0"/>
                <w:sz w:val="21"/>
              </w:rPr>
              <w:t>关键规则</w:t>
            </w:r>
          </w:p>
        </w:tc>
      </w:tr>
      <w:tr>
        <w:tc>
          <w:tcPr>
            <w:tcW w:type="dxa" w:w="1474"/>
          </w:tcPr>
          <w:p>
            <w:pPr>
              <w:spacing w:before="20" w:after="20" w:line="276" w:lineRule="auto"/>
              <w:ind w:firstLine="0"/>
            </w:pPr>
            <w:r/>
            <w:r>
              <w:rPr>
                <w:rFonts w:ascii="Times New Roman" w:hAnsi="Times New Roman" w:eastAsia="宋体"/>
                <w:b w:val="0"/>
                <w:i w:val="0"/>
                <w:sz w:val="21"/>
              </w:rPr>
              <w:t>人工关联建立业务线</w:t>
            </w:r>
          </w:p>
        </w:tc>
        <w:tc>
          <w:tcPr>
            <w:tcW w:type="dxa" w:w="3175"/>
          </w:tcPr>
          <w:p>
            <w:pPr>
              <w:spacing w:before="20" w:after="20" w:line="276" w:lineRule="auto"/>
              <w:ind w:firstLine="0"/>
            </w:pPr>
            <w:r/>
            <w:r>
              <w:rPr>
                <w:rFonts w:ascii="Times New Roman" w:hAnsi="Times New Roman" w:eastAsia="宋体"/>
                <w:b w:val="0"/>
                <w:i w:val="0"/>
                <w:sz w:val="21"/>
              </w:rPr>
              <w:t>业务线通过人工手动关联采购合同与销售合同产生，关联入口有两处：创建采购订单单批次合同时关联，或在合同处于执行中状态时手动关联</w:t>
            </w:r>
          </w:p>
        </w:tc>
        <w:tc>
          <w:tcPr>
            <w:tcW w:type="dxa" w:w="4422"/>
          </w:tcPr>
          <w:p>
            <w:pPr>
              <w:spacing w:before="20" w:after="20" w:line="276" w:lineRule="auto"/>
              <w:ind w:firstLine="0"/>
            </w:pPr>
            <w:r/>
            <w:r>
              <w:rPr>
                <w:rFonts w:ascii="Times New Roman" w:hAnsi="Times New Roman" w:eastAsia="宋体"/>
                <w:b w:val="0"/>
                <w:i w:val="0"/>
                <w:sz w:val="21"/>
              </w:rPr>
              <w:t>业务线一律由人工手动关联产生，不存在自动创建路径；被关联合同必须为执行中状态，非执行中合同提示请选择执行中状态的合同；创建时必须同时选定采购合同与销售合同</w:t>
            </w:r>
          </w:p>
        </w:tc>
      </w:tr>
      <w:tr>
        <w:tc>
          <w:tcPr>
            <w:tcW w:type="dxa" w:w="1474"/>
          </w:tcPr>
          <w:p>
            <w:pPr>
              <w:spacing w:before="20" w:after="20" w:line="276" w:lineRule="auto"/>
              <w:ind w:firstLine="0"/>
            </w:pPr>
            <w:r/>
            <w:r>
              <w:rPr>
                <w:rFonts w:ascii="Times New Roman" w:hAnsi="Times New Roman" w:eastAsia="宋体"/>
                <w:b w:val="0"/>
                <w:i w:val="0"/>
                <w:sz w:val="21"/>
              </w:rPr>
              <w:t>业务线状态机与合同状态同步</w:t>
            </w:r>
          </w:p>
        </w:tc>
        <w:tc>
          <w:tcPr>
            <w:tcW w:type="dxa" w:w="3175"/>
          </w:tcPr>
          <w:p>
            <w:pPr>
              <w:spacing w:before="20" w:after="20" w:line="276" w:lineRule="auto"/>
              <w:ind w:firstLine="0"/>
            </w:pPr>
            <w:r/>
            <w:r>
              <w:rPr>
                <w:rFonts w:ascii="Times New Roman" w:hAnsi="Times New Roman" w:eastAsia="宋体"/>
                <w:b w:val="0"/>
                <w:i w:val="0"/>
                <w:sz w:val="21"/>
              </w:rPr>
              <w:t>业务线状态为 4 个业务状态加聚合全部，业务线状态同步所关联合同的实际状态</w:t>
            </w:r>
          </w:p>
        </w:tc>
        <w:tc>
          <w:tcPr>
            <w:tcW w:type="dxa" w:w="4422"/>
          </w:tcPr>
          <w:p>
            <w:pPr>
              <w:spacing w:before="20" w:after="20" w:line="276" w:lineRule="auto"/>
              <w:ind w:firstLine="0"/>
            </w:pPr>
            <w:r/>
            <w:r>
              <w:rPr>
                <w:rFonts w:ascii="Times New Roman" w:hAnsi="Times New Roman" w:eastAsia="宋体"/>
                <w:b w:val="0"/>
                <w:i w:val="0"/>
                <w:sz w:val="21"/>
              </w:rPr>
              <w:t>初始状态为执行中，采购合同全部已结清转采购已完结，销售合同全部已结清转销售已完结，两者都已结清转全部已完结，全部已完结为终态；待上传双签合同、已终止、已解除均不是业务线状态</w:t>
            </w:r>
          </w:p>
        </w:tc>
      </w:tr>
      <w:tr>
        <w:tc>
          <w:tcPr>
            <w:tcW w:type="dxa" w:w="1474"/>
          </w:tcPr>
          <w:p>
            <w:pPr>
              <w:spacing w:before="20" w:after="20" w:line="276" w:lineRule="auto"/>
              <w:ind w:firstLine="0"/>
            </w:pPr>
            <w:r/>
            <w:r>
              <w:rPr>
                <w:rFonts w:ascii="Times New Roman" w:hAnsi="Times New Roman" w:eastAsia="宋体"/>
                <w:b w:val="0"/>
                <w:i w:val="0"/>
                <w:sz w:val="21"/>
              </w:rPr>
              <w:t>五维度进度自动汇总</w:t>
            </w:r>
          </w:p>
        </w:tc>
        <w:tc>
          <w:tcPr>
            <w:tcW w:type="dxa" w:w="3175"/>
          </w:tcPr>
          <w:p>
            <w:pPr>
              <w:spacing w:before="20" w:after="20" w:line="276" w:lineRule="auto"/>
              <w:ind w:firstLine="0"/>
            </w:pPr>
            <w:r/>
            <w:r>
              <w:rPr>
                <w:rFonts w:ascii="Times New Roman" w:hAnsi="Times New Roman" w:eastAsia="宋体"/>
                <w:b w:val="0"/>
                <w:i w:val="0"/>
                <w:sz w:val="21"/>
              </w:rPr>
              <w:t>业务线按货物、资金、结算、发票四个进度维度加业务线信息区自动汇总进度</w:t>
            </w:r>
          </w:p>
        </w:tc>
        <w:tc>
          <w:tcPr>
            <w:tcW w:type="dxa" w:w="4422"/>
          </w:tcPr>
          <w:p>
            <w:pPr>
              <w:spacing w:before="20" w:after="20" w:line="276" w:lineRule="auto"/>
              <w:ind w:firstLine="0"/>
            </w:pPr>
            <w:r/>
            <w:r>
              <w:rPr>
                <w:rFonts w:ascii="Times New Roman" w:hAnsi="Times New Roman" w:eastAsia="宋体"/>
                <w:b w:val="0"/>
                <w:i w:val="0"/>
                <w:sz w:val="21"/>
              </w:rPr>
              <w:t>货物进度 = 上游货转数量 / 销售合同量；资金进度按对上游付款与对下游收款两个方向双向展示；结算进度 = 采购结算金额加销售结算金额；发票进度 = 进项发票金额加销项发票金额；四维度进度由系统自动汇总，人工不可编辑</w:t>
            </w:r>
          </w:p>
        </w:tc>
      </w:tr>
      <w:tr>
        <w:tc>
          <w:tcPr>
            <w:tcW w:type="dxa" w:w="1474"/>
          </w:tcPr>
          <w:p>
            <w:pPr>
              <w:spacing w:before="20" w:after="20" w:line="276" w:lineRule="auto"/>
              <w:ind w:firstLine="0"/>
            </w:pPr>
            <w:r/>
            <w:r>
              <w:rPr>
                <w:rFonts w:ascii="Times New Roman" w:hAnsi="Times New Roman" w:eastAsia="宋体"/>
                <w:b w:val="0"/>
                <w:i w:val="0"/>
                <w:sz w:val="21"/>
              </w:rPr>
              <w:t>账面库存与货值联动计算</w:t>
            </w:r>
          </w:p>
        </w:tc>
        <w:tc>
          <w:tcPr>
            <w:tcW w:type="dxa" w:w="3175"/>
          </w:tcPr>
          <w:p>
            <w:pPr>
              <w:spacing w:before="20" w:after="20" w:line="276" w:lineRule="auto"/>
              <w:ind w:firstLine="0"/>
            </w:pPr>
            <w:r/>
            <w:r>
              <w:rPr>
                <w:rFonts w:ascii="Times New Roman" w:hAnsi="Times New Roman" w:eastAsia="宋体"/>
                <w:b w:val="0"/>
                <w:i w:val="0"/>
                <w:sz w:val="21"/>
              </w:rPr>
              <w:t>货转生效后业务线台账重算账面库存，并同步推导账面库存货值、累计入库货值、累计出库货值</w:t>
            </w:r>
          </w:p>
        </w:tc>
        <w:tc>
          <w:tcPr>
            <w:tcW w:type="dxa" w:w="4422"/>
          </w:tcPr>
          <w:p>
            <w:pPr>
              <w:spacing w:before="20" w:after="20" w:line="276" w:lineRule="auto"/>
              <w:ind w:firstLine="0"/>
            </w:pPr>
            <w:r/>
            <w:r>
              <w:rPr>
                <w:rFonts w:ascii="Times New Roman" w:hAnsi="Times New Roman" w:eastAsia="宋体"/>
                <w:b w:val="0"/>
                <w:i w:val="0"/>
                <w:sz w:val="21"/>
              </w:rPr>
              <w:t>账面库存 = 已收货转总数 − 已开货转总数；上游货转使账面库存增加、下游货转使账面库存减少；账面库存货值 = 账面库存数量 × 合同单价，累计入库货值 = 入库数量 × 合同单价，累计出库货值 = 出库数量 × 合同单价</w:t>
            </w:r>
          </w:p>
        </w:tc>
      </w:tr>
      <w:tr>
        <w:tc>
          <w:tcPr>
            <w:tcW w:type="dxa" w:w="1474"/>
          </w:tcPr>
          <w:p>
            <w:pPr>
              <w:spacing w:before="20" w:after="20" w:line="276" w:lineRule="auto"/>
              <w:ind w:firstLine="0"/>
            </w:pPr>
            <w:r/>
            <w:r>
              <w:rPr>
                <w:rFonts w:ascii="Times New Roman" w:hAnsi="Times New Roman" w:eastAsia="宋体"/>
                <w:b w:val="0"/>
                <w:i w:val="0"/>
                <w:sz w:val="21"/>
              </w:rPr>
              <w:t>业务线详情页两区块展示</w:t>
            </w:r>
          </w:p>
        </w:tc>
        <w:tc>
          <w:tcPr>
            <w:tcW w:type="dxa" w:w="3175"/>
          </w:tcPr>
          <w:p>
            <w:pPr>
              <w:spacing w:before="20" w:after="20" w:line="276" w:lineRule="auto"/>
              <w:ind w:firstLine="0"/>
            </w:pPr>
            <w:r/>
            <w:r>
              <w:rPr>
                <w:rFonts w:ascii="Times New Roman" w:hAnsi="Times New Roman" w:eastAsia="宋体"/>
                <w:b w:val="0"/>
                <w:i w:val="0"/>
                <w:sz w:val="21"/>
              </w:rPr>
              <w:t>详情页按 2 个区块组织，区块 1 为顶部业务线信息，区块 2 为业务进度与单据状态</w:t>
            </w:r>
          </w:p>
        </w:tc>
        <w:tc>
          <w:tcPr>
            <w:tcW w:type="dxa" w:w="4422"/>
          </w:tcPr>
          <w:p>
            <w:pPr>
              <w:spacing w:before="20" w:after="20" w:line="276" w:lineRule="auto"/>
              <w:ind w:firstLine="0"/>
            </w:pPr>
            <w:r/>
            <w:r>
              <w:rPr>
                <w:rFonts w:ascii="Times New Roman" w:hAnsi="Times New Roman" w:eastAsia="宋体"/>
                <w:b w:val="0"/>
                <w:i w:val="0"/>
                <w:sz w:val="21"/>
              </w:rPr>
              <w:t>区块 1 展示业务线号、业务线名称、采购合同、销售合同、合同编号、创建时间、合同期限、运输方式、业务类型、资金来源；区块 2 固定承载合同签署状态、货转数量、付款回款、采销结算、进销项发票 5 个指标</w:t>
            </w:r>
          </w:p>
        </w:tc>
      </w:tr>
      <w:tr>
        <w:tc>
          <w:tcPr>
            <w:tcW w:type="dxa" w:w="1474"/>
          </w:tcPr>
          <w:p>
            <w:pPr>
              <w:spacing w:before="20" w:after="20" w:line="276" w:lineRule="auto"/>
              <w:ind w:firstLine="0"/>
            </w:pPr>
            <w:r/>
            <w:r>
              <w:rPr>
                <w:rFonts w:ascii="Times New Roman" w:hAnsi="Times New Roman" w:eastAsia="宋体"/>
                <w:b w:val="0"/>
                <w:i w:val="0"/>
                <w:sz w:val="21"/>
              </w:rPr>
              <w:t>解除业务线与释放关联</w:t>
            </w:r>
          </w:p>
        </w:tc>
        <w:tc>
          <w:tcPr>
            <w:tcW w:type="dxa" w:w="3175"/>
          </w:tcPr>
          <w:p>
            <w:pPr>
              <w:spacing w:before="20" w:after="20" w:line="276" w:lineRule="auto"/>
              <w:ind w:firstLine="0"/>
            </w:pPr>
            <w:r/>
            <w:r>
              <w:rPr>
                <w:rFonts w:ascii="Times New Roman" w:hAnsi="Times New Roman" w:eastAsia="宋体"/>
                <w:b w:val="0"/>
                <w:i w:val="0"/>
                <w:sz w:val="21"/>
              </w:rPr>
              <w:t>业务人员可在列表行直接解除业务线关联，解除后释放关联关系</w:t>
            </w:r>
          </w:p>
        </w:tc>
        <w:tc>
          <w:tcPr>
            <w:tcW w:type="dxa" w:w="4422"/>
          </w:tcPr>
          <w:p>
            <w:pPr>
              <w:spacing w:before="20" w:after="20" w:line="276" w:lineRule="auto"/>
              <w:ind w:firstLine="0"/>
            </w:pPr>
            <w:r/>
            <w:r>
              <w:rPr>
                <w:rFonts w:ascii="Times New Roman" w:hAnsi="Times New Roman" w:eastAsia="宋体"/>
                <w:b w:val="0"/>
                <w:i w:val="0"/>
                <w:sz w:val="21"/>
              </w:rPr>
              <w:t>解除前置条件为该业务线中任意合同未发生任何业务（如结算）；一旦任一合同已发生任意业务即不可解除；解除由业务人员直接操作、无需审批；解除后关联合同的业务线字段清空、台账数据保留为历史、合同可重新关联；已全部已完结状态下解除按钮不显示</w:t>
            </w:r>
          </w:p>
        </w:tc>
      </w:tr>
      <w:tr>
        <w:tc>
          <w:tcPr>
            <w:tcW w:type="dxa" w:w="1474"/>
          </w:tcPr>
          <w:p>
            <w:pPr>
              <w:spacing w:before="20" w:after="20" w:line="276" w:lineRule="auto"/>
              <w:ind w:firstLine="0"/>
            </w:pPr>
            <w:r/>
            <w:r>
              <w:rPr>
                <w:rFonts w:ascii="Times New Roman" w:hAnsi="Times New Roman" w:eastAsia="宋体"/>
                <w:b w:val="0"/>
                <w:i w:val="0"/>
                <w:sz w:val="21"/>
              </w:rPr>
              <w:t>未关联合同抽屉与筛选</w:t>
            </w:r>
          </w:p>
        </w:tc>
        <w:tc>
          <w:tcPr>
            <w:tcW w:type="dxa" w:w="3175"/>
          </w:tcPr>
          <w:p>
            <w:pPr>
              <w:spacing w:before="20" w:after="20" w:line="276" w:lineRule="auto"/>
              <w:ind w:firstLine="0"/>
            </w:pPr>
            <w:r/>
            <w:r>
              <w:rPr>
                <w:rFonts w:ascii="Times New Roman" w:hAnsi="Times New Roman" w:eastAsia="宋体"/>
                <w:b w:val="0"/>
                <w:i w:val="0"/>
                <w:sz w:val="21"/>
              </w:rPr>
              <w:t>业务线列表右上角提供查看未关联业务线的合同入口，筛选与选择合同的交互统一为右侧抽屉</w:t>
            </w:r>
          </w:p>
        </w:tc>
        <w:tc>
          <w:tcPr>
            <w:tcW w:type="dxa" w:w="4422"/>
          </w:tcPr>
          <w:p>
            <w:pPr>
              <w:spacing w:before="20" w:after="20" w:line="276" w:lineRule="auto"/>
              <w:ind w:firstLine="0"/>
            </w:pPr>
            <w:r/>
            <w:r>
              <w:rPr>
                <w:rFonts w:ascii="Times New Roman" w:hAnsi="Times New Roman" w:eastAsia="宋体"/>
                <w:b w:val="0"/>
                <w:i w:val="0"/>
                <w:sz w:val="21"/>
              </w:rPr>
              <w:t>抽屉内展示未关联业务线的合同供选择并关联；同一份合同允许同时与其他合同关联生成多个业务线，不建立采购合同加销售合同的唯一性约束</w:t>
            </w:r>
          </w:p>
        </w:tc>
      </w:tr>
      <w:tr>
        <w:tc>
          <w:tcPr>
            <w:tcW w:type="dxa" w:w="1474"/>
          </w:tcPr>
          <w:p>
            <w:pPr>
              <w:spacing w:before="20" w:after="20" w:line="276" w:lineRule="auto"/>
              <w:ind w:firstLine="0"/>
            </w:pPr>
            <w:r/>
            <w:r>
              <w:rPr>
                <w:rFonts w:ascii="Times New Roman" w:hAnsi="Times New Roman" w:eastAsia="宋体"/>
                <w:b w:val="0"/>
                <w:i w:val="0"/>
                <w:sz w:val="21"/>
              </w:rPr>
              <w:t>业务线编号与名称生成</w:t>
            </w:r>
          </w:p>
        </w:tc>
        <w:tc>
          <w:tcPr>
            <w:tcW w:type="dxa" w:w="3175"/>
          </w:tcPr>
          <w:p>
            <w:pPr>
              <w:spacing w:before="20" w:after="20" w:line="276" w:lineRule="auto"/>
              <w:ind w:firstLine="0"/>
            </w:pPr>
            <w:r/>
            <w:r>
              <w:rPr>
                <w:rFonts w:ascii="Times New Roman" w:hAnsi="Times New Roman" w:eastAsia="宋体"/>
                <w:b w:val="0"/>
                <w:i w:val="0"/>
                <w:sz w:val="21"/>
              </w:rPr>
              <w:t>业务线号由系统自动生成，业务线名称按品名缩写规则自动生成</w:t>
            </w:r>
          </w:p>
        </w:tc>
        <w:tc>
          <w:tcPr>
            <w:tcW w:type="dxa" w:w="4422"/>
          </w:tcPr>
          <w:p>
            <w:pPr>
              <w:spacing w:before="20" w:after="20" w:line="276" w:lineRule="auto"/>
              <w:ind w:firstLine="0"/>
            </w:pPr>
            <w:r/>
            <w:r>
              <w:rPr>
                <w:rFonts w:ascii="Times New Roman" w:hAnsi="Times New Roman" w:eastAsia="宋体"/>
                <w:b w:val="0"/>
                <w:i w:val="0"/>
                <w:sz w:val="21"/>
              </w:rPr>
              <w:t>业务线号格式为 YWX 加 8 位日期加 4 位流水，共 15 字符；业务线名称统一按品名缩写生成，缩写取字方式与字符数上限尚未明确</w:t>
            </w:r>
          </w:p>
        </w:tc>
      </w:tr>
      <w:tr>
        <w:tc>
          <w:tcPr>
            <w:tcW w:type="dxa" w:w="1474"/>
          </w:tcPr>
          <w:p>
            <w:pPr>
              <w:spacing w:before="20" w:after="20" w:line="276" w:lineRule="auto"/>
              <w:ind w:firstLine="0"/>
            </w:pPr>
            <w:r/>
            <w:r>
              <w:rPr>
                <w:rFonts w:ascii="Times New Roman" w:hAnsi="Times New Roman" w:eastAsia="宋体"/>
                <w:b w:val="0"/>
                <w:i w:val="0"/>
                <w:sz w:val="21"/>
              </w:rPr>
              <w:t>资金与单据登记结果同步</w:t>
            </w:r>
          </w:p>
        </w:tc>
        <w:tc>
          <w:tcPr>
            <w:tcW w:type="dxa" w:w="3175"/>
          </w:tcPr>
          <w:p>
            <w:pPr>
              <w:spacing w:before="20" w:after="20" w:line="276" w:lineRule="auto"/>
              <w:ind w:firstLine="0"/>
            </w:pPr>
            <w:r/>
            <w:r>
              <w:rPr>
                <w:rFonts w:ascii="Times New Roman" w:hAnsi="Times New Roman" w:eastAsia="宋体"/>
                <w:b w:val="0"/>
                <w:i w:val="0"/>
                <w:sz w:val="21"/>
              </w:rPr>
              <w:t>付款、回款、结算、开票、收发货等执行单据完成后，业务线对应区块与指标自动同步</w:t>
            </w:r>
          </w:p>
        </w:tc>
        <w:tc>
          <w:tcPr>
            <w:tcW w:type="dxa" w:w="4422"/>
          </w:tcPr>
          <w:p>
            <w:pPr>
              <w:spacing w:before="20" w:after="20" w:line="276" w:lineRule="auto"/>
              <w:ind w:firstLine="0"/>
            </w:pPr>
            <w:r/>
            <w:r>
              <w:rPr>
                <w:rFonts w:ascii="Times New Roman" w:hAnsi="Times New Roman" w:eastAsia="宋体"/>
                <w:b w:val="0"/>
                <w:i w:val="0"/>
                <w:sz w:val="21"/>
              </w:rPr>
              <w:t>付款与回款的实际资金动作在线下完成，平台仅登记线下完成结果，并按具体合同记录付款与回款数据；登记结果直接取自各模块明细，不在业务线侧重复落库</w:t>
            </w:r>
          </w:p>
        </w:tc>
      </w:tr>
    </w:tbl>
    <w:p>
      <w:pPr>
        <w:spacing w:before="0" w:after="0" w:line="240" w:lineRule="auto"/>
      </w:pP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tblGrid>
      <w:tr>
        <w:trPr>
          <w:tblHeader w:val="true"/>
        </w:trPr>
        <w:tc>
          <w:tcPr>
            <w:tcW w:type="dxa" w:w="1247"/>
            <w:shd w:val="clear" w:color="auto" w:fill="DCE6F1"/>
          </w:tcPr>
          <w:p>
            <w:pPr>
              <w:spacing w:before="40" w:after="40" w:line="276" w:lineRule="auto"/>
              <w:jc w:val="center"/>
            </w:pPr>
            <w:r/>
            <w:r>
              <w:rPr>
                <w:rFonts w:ascii="Times New Roman" w:hAnsi="Times New Roman" w:eastAsia="黑体"/>
                <w:b/>
                <w:i w:val="0"/>
                <w:sz w:val="19"/>
              </w:rPr>
              <w:t>页面</w:t>
            </w:r>
          </w:p>
        </w:tc>
        <w:tc>
          <w:tcPr>
            <w:tcW w:type="dxa" w:w="1474"/>
            <w:shd w:val="clear" w:color="auto" w:fill="DCE6F1"/>
          </w:tcPr>
          <w:p>
            <w:pPr>
              <w:spacing w:before="40" w:after="40" w:line="276" w:lineRule="auto"/>
              <w:jc w:val="center"/>
            </w:pPr>
            <w:r/>
            <w:r>
              <w:rPr>
                <w:rFonts w:ascii="Times New Roman" w:hAnsi="Times New Roman" w:eastAsia="黑体"/>
                <w:b/>
                <w:i w:val="0"/>
                <w:sz w:val="19"/>
              </w:rPr>
              <w:t>文件</w:t>
            </w:r>
          </w:p>
        </w:tc>
        <w:tc>
          <w:tcPr>
            <w:tcW w:type="dxa" w:w="1134"/>
            <w:shd w:val="clear" w:color="auto" w:fill="DCE6F1"/>
          </w:tcPr>
          <w:p>
            <w:pPr>
              <w:spacing w:before="40" w:after="40" w:line="276" w:lineRule="auto"/>
              <w:jc w:val="center"/>
            </w:pPr>
            <w:r/>
            <w:r>
              <w:rPr>
                <w:rFonts w:ascii="Times New Roman" w:hAnsi="Times New Roman" w:eastAsia="黑体"/>
                <w:b/>
                <w:i w:val="0"/>
                <w:sz w:val="19"/>
              </w:rPr>
              <w:t>入口</w:t>
            </w:r>
          </w:p>
        </w:tc>
        <w:tc>
          <w:tcPr>
            <w:tcW w:type="dxa" w:w="2041"/>
            <w:shd w:val="clear" w:color="auto" w:fill="DCE6F1"/>
          </w:tcPr>
          <w:p>
            <w:pPr>
              <w:spacing w:before="40" w:after="40" w:line="276" w:lineRule="auto"/>
              <w:jc w:val="center"/>
            </w:pPr>
            <w:r/>
            <w:r>
              <w:rPr>
                <w:rFonts w:ascii="Times New Roman" w:hAnsi="Times New Roman" w:eastAsia="黑体"/>
                <w:b/>
                <w:i w:val="0"/>
                <w:sz w:val="19"/>
              </w:rPr>
              <w:t>主要区块</w:t>
            </w:r>
          </w:p>
        </w:tc>
        <w:tc>
          <w:tcPr>
            <w:tcW w:type="dxa" w:w="1701"/>
            <w:shd w:val="clear" w:color="auto" w:fill="DCE6F1"/>
          </w:tcPr>
          <w:p>
            <w:pPr>
              <w:spacing w:before="40" w:after="40" w:line="276" w:lineRule="auto"/>
              <w:jc w:val="center"/>
            </w:pPr>
            <w:r/>
            <w:r>
              <w:rPr>
                <w:rFonts w:ascii="Times New Roman" w:hAnsi="Times New Roman" w:eastAsia="黑体"/>
                <w:b/>
                <w:i w:val="0"/>
                <w:sz w:val="19"/>
              </w:rPr>
              <w:t>主要操作</w:t>
            </w:r>
          </w:p>
        </w:tc>
        <w:tc>
          <w:tcPr>
            <w:tcW w:type="dxa" w:w="1474"/>
            <w:shd w:val="clear" w:color="auto" w:fill="DCE6F1"/>
          </w:tcPr>
          <w:p>
            <w:pPr>
              <w:spacing w:before="40" w:after="40" w:line="276" w:lineRule="auto"/>
              <w:jc w:val="center"/>
            </w:pPr>
            <w:r/>
            <w:r>
              <w:rPr>
                <w:rFonts w:ascii="Times New Roman" w:hAnsi="Times New Roman" w:eastAsia="黑体"/>
                <w:b/>
                <w:i w:val="0"/>
                <w:sz w:val="19"/>
              </w:rPr>
              <w:t>跳转</w:t>
            </w:r>
          </w:p>
        </w:tc>
      </w:tr>
      <w:tr>
        <w:tc>
          <w:tcPr>
            <w:tcW w:type="dxa" w:w="1247"/>
          </w:tcPr>
          <w:p>
            <w:pPr>
              <w:spacing w:before="20" w:after="20" w:line="276" w:lineRule="auto"/>
              <w:ind w:firstLine="0"/>
            </w:pPr>
            <w:r/>
            <w:r>
              <w:rPr>
                <w:rFonts w:ascii="Times New Roman" w:hAnsi="Times New Roman" w:eastAsia="宋体"/>
                <w:b w:val="0"/>
                <w:i w:val="0"/>
                <w:sz w:val="19"/>
              </w:rPr>
              <w:t>业务线管理（列表）</w:t>
            </w:r>
          </w:p>
        </w:tc>
        <w:tc>
          <w:tcPr>
            <w:tcW w:type="dxa" w:w="1474"/>
          </w:tcPr>
          <w:p>
            <w:pPr>
              <w:spacing w:before="20" w:after="20" w:line="276" w:lineRule="auto"/>
              <w:ind w:firstLine="0"/>
            </w:pPr>
            <w:r/>
            <w:r>
              <w:rPr>
                <w:rFonts w:ascii="Times New Roman" w:hAnsi="Times New Roman" w:eastAsia="宋体"/>
                <w:b w:val="0"/>
                <w:i w:val="0"/>
                <w:sz w:val="19"/>
              </w:rPr>
              <w:t>business-line.html</w:t>
            </w:r>
          </w:p>
        </w:tc>
        <w:tc>
          <w:tcPr>
            <w:tcW w:type="dxa" w:w="1134"/>
          </w:tcPr>
          <w:p>
            <w:pPr>
              <w:spacing w:before="20" w:after="20" w:line="276" w:lineRule="auto"/>
              <w:ind w:firstLine="0"/>
            </w:pPr>
            <w:r/>
            <w:r>
              <w:rPr>
                <w:rFonts w:ascii="Times New Roman" w:hAnsi="Times New Roman" w:eastAsia="宋体"/>
                <w:b w:val="0"/>
                <w:i w:val="0"/>
                <w:sz w:val="19"/>
              </w:rPr>
              <w:t>数字供应链 → 业务线管理</w:t>
            </w:r>
          </w:p>
        </w:tc>
        <w:tc>
          <w:tcPr>
            <w:tcW w:type="dxa" w:w="2041"/>
          </w:tcPr>
          <w:p>
            <w:pPr>
              <w:spacing w:before="20" w:after="20" w:line="276" w:lineRule="auto"/>
              <w:ind w:firstLine="0"/>
            </w:pPr>
            <w:r/>
            <w:r>
              <w:rPr>
                <w:rFonts w:ascii="Times New Roman" w:hAnsi="Times New Roman" w:eastAsia="宋体"/>
                <w:b w:val="0"/>
                <w:i w:val="0"/>
                <w:sz w:val="19"/>
              </w:rPr>
              <w:t>状态 Tab（全部 / 执行中 / 采购已完结 / 销售已完结 / 全部已完结）、筛选区、业务线列表表格、分页、未关联合同右侧抽屉</w:t>
            </w:r>
          </w:p>
        </w:tc>
        <w:tc>
          <w:tcPr>
            <w:tcW w:type="dxa" w:w="1701"/>
          </w:tcPr>
          <w:p>
            <w:pPr>
              <w:spacing w:before="20" w:after="20" w:line="276" w:lineRule="auto"/>
              <w:ind w:firstLine="0"/>
            </w:pPr>
            <w:r/>
            <w:r>
              <w:rPr>
                <w:rFonts w:ascii="Times New Roman" w:hAnsi="Times New Roman" w:eastAsia="宋体"/>
                <w:b w:val="0"/>
                <w:i w:val="0"/>
                <w:sz w:val="19"/>
              </w:rPr>
              <w:t>数据导出（导出 Excel）、查看未关联业务线的合同（打开右侧抽屉）；行内：业务线详情、解除业务线（状态为全部已完结时不显示，解除前弹确认框）</w:t>
            </w:r>
          </w:p>
        </w:tc>
        <w:tc>
          <w:tcPr>
            <w:tcW w:type="dxa" w:w="1474"/>
          </w:tcPr>
          <w:p>
            <w:pPr>
              <w:spacing w:before="20" w:after="20" w:line="276" w:lineRule="auto"/>
              <w:ind w:firstLine="0"/>
            </w:pPr>
            <w:r/>
            <w:r>
              <w:rPr>
                <w:rFonts w:ascii="Times New Roman" w:hAnsi="Times New Roman" w:eastAsia="宋体"/>
                <w:b w:val="0"/>
                <w:i w:val="0"/>
                <w:sz w:val="19"/>
              </w:rPr>
              <w:t>业务线详情 → 业务线详情页；查看未关联业务线的合同 → 右侧抽屉内选择合同并提交关联 → 业务线详情</w:t>
            </w:r>
          </w:p>
        </w:tc>
      </w:tr>
      <w:tr>
        <w:tc>
          <w:tcPr>
            <w:tcW w:type="dxa" w:w="1247"/>
          </w:tcPr>
          <w:p>
            <w:pPr>
              <w:spacing w:before="20" w:after="20" w:line="276" w:lineRule="auto"/>
              <w:ind w:firstLine="0"/>
            </w:pPr>
            <w:r/>
            <w:r>
              <w:rPr>
                <w:rFonts w:ascii="Times New Roman" w:hAnsi="Times New Roman" w:eastAsia="宋体"/>
                <w:b w:val="0"/>
                <w:i w:val="0"/>
                <w:sz w:val="19"/>
              </w:rPr>
              <w:t>业务线关联</w:t>
            </w:r>
          </w:p>
        </w:tc>
        <w:tc>
          <w:tcPr>
            <w:tcW w:type="dxa" w:w="1474"/>
          </w:tcPr>
          <w:p>
            <w:pPr>
              <w:spacing w:before="20" w:after="20" w:line="276" w:lineRule="auto"/>
              <w:ind w:firstLine="0"/>
            </w:pPr>
            <w:r/>
            <w:r>
              <w:rPr>
                <w:rFonts w:ascii="Times New Roman" w:hAnsi="Times New Roman" w:eastAsia="宋体"/>
                <w:b w:val="0"/>
                <w:i w:val="0"/>
                <w:sz w:val="19"/>
              </w:rPr>
              <w:t>business-line-relate.html</w:t>
            </w:r>
          </w:p>
        </w:tc>
        <w:tc>
          <w:tcPr>
            <w:tcW w:type="dxa" w:w="1134"/>
          </w:tcPr>
          <w:p>
            <w:pPr>
              <w:spacing w:before="20" w:after="20" w:line="276" w:lineRule="auto"/>
              <w:ind w:firstLine="0"/>
            </w:pPr>
            <w:r/>
            <w:r>
              <w:rPr>
                <w:rFonts w:ascii="Times New Roman" w:hAnsi="Times New Roman" w:eastAsia="宋体"/>
                <w:b w:val="0"/>
                <w:i w:val="0"/>
                <w:sz w:val="19"/>
              </w:rPr>
              <w:t>业务线管理 → 新增业务线关联；或执行中采销订单单批次合同的操作项「关联合同」</w:t>
            </w:r>
          </w:p>
        </w:tc>
        <w:tc>
          <w:tcPr>
            <w:tcW w:type="dxa" w:w="2041"/>
          </w:tcPr>
          <w:p>
            <w:pPr>
              <w:spacing w:before="20" w:after="20" w:line="276" w:lineRule="auto"/>
              <w:ind w:firstLine="0"/>
            </w:pPr>
            <w:r/>
            <w:r>
              <w:rPr>
                <w:rFonts w:ascii="Times New Roman" w:hAnsi="Times New Roman" w:eastAsia="宋体"/>
                <w:b w:val="0"/>
                <w:i w:val="0"/>
                <w:sz w:val="19"/>
              </w:rPr>
              <w:t>已关联与待关联两个状态 Tab、合同信息表格、侧边菜单</w:t>
            </w:r>
          </w:p>
        </w:tc>
        <w:tc>
          <w:tcPr>
            <w:tcW w:type="dxa" w:w="1701"/>
          </w:tcPr>
          <w:p>
            <w:pPr>
              <w:spacing w:before="20" w:after="20" w:line="276" w:lineRule="auto"/>
              <w:ind w:firstLine="0"/>
            </w:pPr>
            <w:r/>
            <w:r>
              <w:rPr>
                <w:rFonts w:ascii="Times New Roman" w:hAnsi="Times New Roman" w:eastAsia="宋体"/>
                <w:b w:val="0"/>
                <w:i w:val="0"/>
                <w:sz w:val="19"/>
              </w:rPr>
              <w:t>新增业务线关联、提交关联、取消、解除关联</w:t>
            </w:r>
          </w:p>
        </w:tc>
        <w:tc>
          <w:tcPr>
            <w:tcW w:type="dxa" w:w="1474"/>
          </w:tcPr>
          <w:p>
            <w:pPr>
              <w:spacing w:before="20" w:after="20" w:line="276" w:lineRule="auto"/>
              <w:ind w:firstLine="0"/>
            </w:pPr>
            <w:r/>
            <w:r>
              <w:rPr>
                <w:rFonts w:ascii="Times New Roman" w:hAnsi="Times New Roman" w:eastAsia="宋体"/>
                <w:b w:val="0"/>
                <w:i w:val="0"/>
                <w:sz w:val="19"/>
              </w:rPr>
              <w:t>提交成功 → 业务线建立且状态为执行中，可进入业务线详情；取消 → 返回业务线管理列表</w:t>
            </w:r>
          </w:p>
        </w:tc>
      </w:tr>
      <w:tr>
        <w:tc>
          <w:tcPr>
            <w:tcW w:type="dxa" w:w="1247"/>
          </w:tcPr>
          <w:p>
            <w:pPr>
              <w:spacing w:before="20" w:after="20" w:line="276" w:lineRule="auto"/>
              <w:ind w:firstLine="0"/>
            </w:pPr>
            <w:r/>
            <w:r>
              <w:rPr>
                <w:rFonts w:ascii="Times New Roman" w:hAnsi="Times New Roman" w:eastAsia="宋体"/>
                <w:b w:val="0"/>
                <w:i w:val="0"/>
                <w:sz w:val="19"/>
              </w:rPr>
              <w:t>业务线详情</w:t>
            </w:r>
          </w:p>
        </w:tc>
        <w:tc>
          <w:tcPr>
            <w:tcW w:type="dxa" w:w="1474"/>
          </w:tcPr>
          <w:p>
            <w:pPr>
              <w:spacing w:before="20" w:after="20" w:line="276" w:lineRule="auto"/>
              <w:ind w:firstLine="0"/>
            </w:pPr>
            <w:r/>
            <w:r>
              <w:rPr>
                <w:rFonts w:ascii="Times New Roman" w:hAnsi="Times New Roman" w:eastAsia="宋体"/>
                <w:b w:val="0"/>
                <w:i w:val="0"/>
                <w:sz w:val="19"/>
              </w:rPr>
              <w:t>business-line-detail.html</w:t>
            </w:r>
          </w:p>
        </w:tc>
        <w:tc>
          <w:tcPr>
            <w:tcW w:type="dxa" w:w="1134"/>
          </w:tcPr>
          <w:p>
            <w:pPr>
              <w:spacing w:before="20" w:after="20" w:line="276" w:lineRule="auto"/>
              <w:ind w:firstLine="0"/>
            </w:pPr>
            <w:r/>
            <w:r>
              <w:rPr>
                <w:rFonts w:ascii="Times New Roman" w:hAnsi="Times New Roman" w:eastAsia="宋体"/>
                <w:b w:val="0"/>
                <w:i w:val="0"/>
                <w:sz w:val="19"/>
              </w:rPr>
              <w:t>业务线管理列表行「业务线详情」</w:t>
            </w:r>
          </w:p>
        </w:tc>
        <w:tc>
          <w:tcPr>
            <w:tcW w:type="dxa" w:w="2041"/>
          </w:tcPr>
          <w:p>
            <w:pPr>
              <w:spacing w:before="20" w:after="20" w:line="276" w:lineRule="auto"/>
              <w:ind w:firstLine="0"/>
            </w:pPr>
            <w:r/>
            <w:r>
              <w:rPr>
                <w:rFonts w:ascii="Times New Roman" w:hAnsi="Times New Roman" w:eastAsia="宋体"/>
                <w:b w:val="0"/>
                <w:i w:val="0"/>
                <w:sz w:val="19"/>
              </w:rPr>
              <w:t>区块 1 顶部业务线信息（业务线号、业务线名称、采购合同、销售合同、合同编号、创建时间、合同期限、运输方式、业务类型、资金来源）；区块 2 业务进度与单据状态（合同签署状态、货转数量、付款回款、采销结算、进销项发票）；2 行 5 列 KPI 网格；三段业务链路；合同基础信息与附件</w:t>
            </w:r>
          </w:p>
        </w:tc>
        <w:tc>
          <w:tcPr>
            <w:tcW w:type="dxa" w:w="1701"/>
          </w:tcPr>
          <w:p>
            <w:pPr>
              <w:spacing w:before="20" w:after="20" w:line="276" w:lineRule="auto"/>
              <w:ind w:firstLine="0"/>
            </w:pPr>
            <w:r/>
            <w:r>
              <w:rPr>
                <w:rFonts w:ascii="Times New Roman" w:hAnsi="Times New Roman" w:eastAsia="宋体"/>
                <w:b w:val="0"/>
                <w:i w:val="0"/>
                <w:sz w:val="19"/>
              </w:rPr>
              <w:t>返回（面包屑右侧）、返回顶部（右下角固定）、合同附件一键下载、解除业务线</w:t>
            </w:r>
          </w:p>
        </w:tc>
        <w:tc>
          <w:tcPr>
            <w:tcW w:type="dxa" w:w="1474"/>
          </w:tcPr>
          <w:p>
            <w:pPr>
              <w:spacing w:before="20" w:after="20" w:line="276" w:lineRule="auto"/>
              <w:ind w:firstLine="0"/>
            </w:pPr>
            <w:r/>
            <w:r>
              <w:rPr>
                <w:rFonts w:ascii="Times New Roman" w:hAnsi="Times New Roman" w:eastAsia="宋体"/>
                <w:b w:val="0"/>
                <w:i w:val="0"/>
                <w:sz w:val="19"/>
              </w:rPr>
              <w:t>返回 → 业务线管理列表；合同附件一键下载 → 下载合同附件文件；采购或销售合同编号 → 对应合同详情页</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4.8.5　数据关系</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474"/>
            <w:shd w:val="clear" w:color="auto" w:fill="DCE6F1"/>
          </w:tcPr>
          <w:p>
            <w:pPr>
              <w:spacing w:before="40" w:after="40" w:line="276" w:lineRule="auto"/>
              <w:jc w:val="center"/>
            </w:pPr>
            <w:r/>
            <w:r>
              <w:rPr>
                <w:rFonts w:ascii="Times New Roman" w:hAnsi="Times New Roman" w:eastAsia="黑体"/>
                <w:b/>
                <w:i w:val="0"/>
                <w:sz w:val="21"/>
              </w:rPr>
              <w:t>业务对象</w:t>
            </w:r>
          </w:p>
        </w:tc>
        <w:tc>
          <w:tcPr>
            <w:tcW w:type="dxa" w:w="4195"/>
            <w:shd w:val="clear" w:color="auto" w:fill="DCE6F1"/>
          </w:tcPr>
          <w:p>
            <w:pPr>
              <w:spacing w:before="40" w:after="40" w:line="276" w:lineRule="auto"/>
              <w:jc w:val="center"/>
            </w:pPr>
            <w:r/>
            <w:r>
              <w:rPr>
                <w:rFonts w:ascii="Times New Roman" w:hAnsi="Times New Roman" w:eastAsia="黑体"/>
                <w:b/>
                <w:i w:val="0"/>
                <w:sz w:val="21"/>
              </w:rPr>
              <w:t>关键字段与口径</w:t>
            </w:r>
          </w:p>
        </w:tc>
        <w:tc>
          <w:tcPr>
            <w:tcW w:type="dxa" w:w="3402"/>
            <w:shd w:val="clear" w:color="auto" w:fill="DCE6F1"/>
          </w:tcPr>
          <w:p>
            <w:pPr>
              <w:spacing w:before="40" w:after="40" w:line="276" w:lineRule="auto"/>
              <w:jc w:val="center"/>
            </w:pPr>
            <w:r/>
            <w:r>
              <w:rPr>
                <w:rFonts w:ascii="Times New Roman" w:hAnsi="Times New Roman" w:eastAsia="黑体"/>
                <w:b/>
                <w:i w:val="0"/>
                <w:sz w:val="21"/>
              </w:rPr>
              <w:t>与其他对象的关系</w:t>
            </w:r>
          </w:p>
        </w:tc>
      </w:tr>
      <w:tr>
        <w:tc>
          <w:tcPr>
            <w:tcW w:type="dxa" w:w="1474"/>
          </w:tcPr>
          <w:p>
            <w:pPr>
              <w:spacing w:before="20" w:after="20" w:line="276" w:lineRule="auto"/>
              <w:ind w:firstLine="0"/>
            </w:pPr>
            <w:r/>
            <w:r>
              <w:rPr>
                <w:rFonts w:ascii="Times New Roman" w:hAnsi="Times New Roman" w:eastAsia="宋体"/>
                <w:b w:val="0"/>
                <w:i w:val="0"/>
                <w:sz w:val="21"/>
              </w:rPr>
              <w:t>业务线主表</w:t>
            </w:r>
          </w:p>
        </w:tc>
        <w:tc>
          <w:tcPr>
            <w:tcW w:type="dxa" w:w="4195"/>
          </w:tcPr>
          <w:p>
            <w:pPr>
              <w:spacing w:before="20" w:after="20" w:line="276" w:lineRule="auto"/>
              <w:ind w:firstLine="0"/>
            </w:pPr>
            <w:r/>
            <w:r>
              <w:rPr>
                <w:rFonts w:ascii="Times New Roman" w:hAnsi="Times New Roman" w:eastAsia="宋体"/>
                <w:b w:val="0"/>
                <w:i w:val="0"/>
                <w:sz w:val="21"/>
              </w:rPr>
              <w:t>业务线号：YWX 加 8 位日期加 4 位流水，系统自动生成</w:t>
            </w:r>
            <w:r>
              <w:br/>
            </w:r>
            <w:r>
              <w:rPr>
                <w:rFonts w:ascii="Times New Roman" w:hAnsi="Times New Roman" w:eastAsia="宋体"/>
                <w:b w:val="0"/>
                <w:i w:val="0"/>
                <w:sz w:val="21"/>
              </w:rPr>
              <w:t>业务线名称：按品名缩写自动生成</w:t>
            </w:r>
            <w:r>
              <w:br/>
            </w:r>
            <w:r>
              <w:rPr>
                <w:rFonts w:ascii="Times New Roman" w:hAnsi="Times New Roman" w:eastAsia="宋体"/>
                <w:b w:val="0"/>
                <w:i w:val="0"/>
                <w:sz w:val="21"/>
              </w:rPr>
              <w:t>关联项目：来自项目管理，必填</w:t>
            </w:r>
            <w:r>
              <w:br/>
            </w:r>
            <w:r>
              <w:rPr>
                <w:rFonts w:ascii="Times New Roman" w:hAnsi="Times New Roman" w:eastAsia="宋体"/>
                <w:b w:val="0"/>
                <w:i w:val="0"/>
                <w:sz w:val="21"/>
              </w:rPr>
              <w:t>采购合同 ID 与合同号：必填</w:t>
            </w:r>
            <w:r>
              <w:br/>
            </w:r>
            <w:r>
              <w:rPr>
                <w:rFonts w:ascii="Times New Roman" w:hAnsi="Times New Roman" w:eastAsia="宋体"/>
                <w:b w:val="0"/>
                <w:i w:val="0"/>
                <w:sz w:val="21"/>
              </w:rPr>
              <w:t>销售合同 ID 与合同号：必填</w:t>
            </w:r>
            <w:r>
              <w:br/>
            </w:r>
            <w:r>
              <w:rPr>
                <w:rFonts w:ascii="Times New Roman" w:hAnsi="Times New Roman" w:eastAsia="宋体"/>
                <w:b w:val="0"/>
                <w:i w:val="0"/>
                <w:sz w:val="21"/>
              </w:rPr>
              <w:t>品名：来自销售合同</w:t>
            </w:r>
            <w:r>
              <w:br/>
            </w:r>
            <w:r>
              <w:rPr>
                <w:rFonts w:ascii="Times New Roman" w:hAnsi="Times New Roman" w:eastAsia="宋体"/>
                <w:b w:val="0"/>
                <w:i w:val="0"/>
                <w:sz w:val="21"/>
              </w:rPr>
              <w:t>业务类型：取值枚举尚未最终确定</w:t>
            </w:r>
            <w:r>
              <w:br/>
            </w:r>
            <w:r>
              <w:rPr>
                <w:rFonts w:ascii="Times New Roman" w:hAnsi="Times New Roman" w:eastAsia="宋体"/>
                <w:b w:val="0"/>
                <w:i w:val="0"/>
                <w:sz w:val="21"/>
              </w:rPr>
              <w:t>签订日期</w:t>
            </w:r>
            <w:r>
              <w:br/>
            </w:r>
            <w:r>
              <w:rPr>
                <w:rFonts w:ascii="Times New Roman" w:hAnsi="Times New Roman" w:eastAsia="宋体"/>
                <w:b w:val="0"/>
                <w:i w:val="0"/>
                <w:sz w:val="21"/>
              </w:rPr>
              <w:t>状态：4 个业务状态，初始为执行中</w:t>
            </w:r>
          </w:p>
        </w:tc>
        <w:tc>
          <w:tcPr>
            <w:tcW w:type="dxa" w:w="3402"/>
          </w:tcPr>
          <w:p>
            <w:pPr>
              <w:spacing w:before="20" w:after="20" w:line="276" w:lineRule="auto"/>
              <w:ind w:firstLine="0"/>
            </w:pPr>
            <w:r/>
            <w:r>
              <w:rPr>
                <w:rFonts w:ascii="Times New Roman" w:hAnsi="Times New Roman" w:eastAsia="宋体"/>
                <w:b w:val="0"/>
                <w:i w:val="0"/>
                <w:sz w:val="21"/>
              </w:rPr>
              <w:t>承载一条从上游采购到下游销售的全链路；通过采购合同 ID 与销售合同 ID 与合同管理双向关联；状态为所关联合同实际状态的派生值，不可独立写入</w:t>
            </w:r>
          </w:p>
        </w:tc>
      </w:tr>
      <w:tr>
        <w:tc>
          <w:tcPr>
            <w:tcW w:type="dxa" w:w="1474"/>
          </w:tcPr>
          <w:p>
            <w:pPr>
              <w:spacing w:before="20" w:after="20" w:line="276" w:lineRule="auto"/>
              <w:ind w:firstLine="0"/>
            </w:pPr>
            <w:r/>
            <w:r>
              <w:rPr>
                <w:rFonts w:ascii="Times New Roman" w:hAnsi="Times New Roman" w:eastAsia="宋体"/>
                <w:b w:val="0"/>
                <w:i w:val="0"/>
                <w:sz w:val="21"/>
              </w:rPr>
              <w:t>业务线进度</w:t>
            </w:r>
          </w:p>
        </w:tc>
        <w:tc>
          <w:tcPr>
            <w:tcW w:type="dxa" w:w="4195"/>
          </w:tcPr>
          <w:p>
            <w:pPr>
              <w:spacing w:before="20" w:after="20" w:line="276" w:lineRule="auto"/>
              <w:ind w:firstLine="0"/>
            </w:pPr>
            <w:r/>
            <w:r>
              <w:rPr>
                <w:rFonts w:ascii="Times New Roman" w:hAnsi="Times New Roman" w:eastAsia="宋体"/>
                <w:b w:val="0"/>
                <w:i w:val="0"/>
                <w:sz w:val="21"/>
              </w:rPr>
              <w:t>关联业务线</w:t>
            </w:r>
            <w:r>
              <w:br/>
            </w:r>
            <w:r>
              <w:rPr>
                <w:rFonts w:ascii="Times New Roman" w:hAnsi="Times New Roman" w:eastAsia="宋体"/>
                <w:b w:val="0"/>
                <w:i w:val="0"/>
                <w:sz w:val="21"/>
              </w:rPr>
              <w:t>进度类型：货物 / 资金 / 结算 / 发票</w:t>
            </w:r>
            <w:r>
              <w:br/>
            </w:r>
            <w:r>
              <w:rPr>
                <w:rFonts w:ascii="Times New Roman" w:hAnsi="Times New Roman" w:eastAsia="宋体"/>
                <w:b w:val="0"/>
                <w:i w:val="0"/>
                <w:sz w:val="21"/>
              </w:rPr>
              <w:t>销售合同量、上游货转数量、下游货转数量：4 位小数</w:t>
            </w:r>
            <w:r>
              <w:br/>
            </w:r>
            <w:r>
              <w:rPr>
                <w:rFonts w:ascii="Times New Roman" w:hAnsi="Times New Roman" w:eastAsia="宋体"/>
                <w:b w:val="0"/>
                <w:i w:val="0"/>
                <w:sz w:val="21"/>
              </w:rPr>
              <w:t>对上游付款、对下游收款：2 位小数</w:t>
            </w:r>
            <w:r>
              <w:br/>
            </w:r>
            <w:r>
              <w:rPr>
                <w:rFonts w:ascii="Times New Roman" w:hAnsi="Times New Roman" w:eastAsia="宋体"/>
                <w:b w:val="0"/>
                <w:i w:val="0"/>
                <w:sz w:val="21"/>
              </w:rPr>
              <w:t>采购结算金额、销售结算金额：2 位小数</w:t>
            </w:r>
            <w:r>
              <w:br/>
            </w:r>
            <w:r>
              <w:rPr>
                <w:rFonts w:ascii="Times New Roman" w:hAnsi="Times New Roman" w:eastAsia="宋体"/>
                <w:b w:val="0"/>
                <w:i w:val="0"/>
                <w:sz w:val="21"/>
              </w:rPr>
              <w:t>进项发票金额、销项发票金额：2 位小数</w:t>
            </w:r>
            <w:r>
              <w:br/>
            </w:r>
            <w:r>
              <w:rPr>
                <w:rFonts w:ascii="Times New Roman" w:hAnsi="Times New Roman" w:eastAsia="宋体"/>
                <w:b w:val="0"/>
                <w:i w:val="0"/>
                <w:sz w:val="21"/>
              </w:rPr>
              <w:t>进度百分比：区间 0 至 120%</w:t>
            </w:r>
          </w:p>
        </w:tc>
        <w:tc>
          <w:tcPr>
            <w:tcW w:type="dxa" w:w="3402"/>
          </w:tcPr>
          <w:p>
            <w:pPr>
              <w:spacing w:before="20" w:after="20" w:line="276" w:lineRule="auto"/>
              <w:ind w:firstLine="0"/>
            </w:pPr>
            <w:r/>
            <w:r>
              <w:rPr>
                <w:rFonts w:ascii="Times New Roman" w:hAnsi="Times New Roman" w:eastAsia="宋体"/>
                <w:b w:val="0"/>
                <w:i w:val="0"/>
                <w:sz w:val="21"/>
              </w:rPr>
              <w:t>按业务线挂载各维度进度值，供列表与详情页渲染；进度百分比由系统自动计算</w:t>
            </w:r>
          </w:p>
        </w:tc>
      </w:tr>
      <w:tr>
        <w:tc>
          <w:tcPr>
            <w:tcW w:type="dxa" w:w="1474"/>
          </w:tcPr>
          <w:p>
            <w:pPr>
              <w:spacing w:before="20" w:after="20" w:line="276" w:lineRule="auto"/>
              <w:ind w:firstLine="0"/>
            </w:pPr>
            <w:r/>
            <w:r>
              <w:rPr>
                <w:rFonts w:ascii="Times New Roman" w:hAnsi="Times New Roman" w:eastAsia="宋体"/>
                <w:b w:val="0"/>
                <w:i w:val="0"/>
                <w:sz w:val="21"/>
              </w:rPr>
              <w:t>业务线历史</w:t>
            </w:r>
          </w:p>
        </w:tc>
        <w:tc>
          <w:tcPr>
            <w:tcW w:type="dxa" w:w="4195"/>
          </w:tcPr>
          <w:p>
            <w:pPr>
              <w:spacing w:before="20" w:after="20" w:line="276" w:lineRule="auto"/>
              <w:ind w:firstLine="0"/>
            </w:pPr>
            <w:r/>
            <w:r>
              <w:rPr>
                <w:rFonts w:ascii="Times New Roman" w:hAnsi="Times New Roman" w:eastAsia="宋体"/>
                <w:b w:val="0"/>
                <w:i w:val="0"/>
                <w:sz w:val="21"/>
              </w:rPr>
              <w:t>关联业务线</w:t>
            </w:r>
            <w:r>
              <w:br/>
            </w:r>
            <w:r>
              <w:rPr>
                <w:rFonts w:ascii="Times New Roman" w:hAnsi="Times New Roman" w:eastAsia="宋体"/>
                <w:b w:val="0"/>
                <w:i w:val="0"/>
                <w:sz w:val="21"/>
              </w:rPr>
              <w:t>变更类型：加采购合同 / 加销售合同 / 解除</w:t>
            </w:r>
            <w:r>
              <w:br/>
            </w:r>
            <w:r>
              <w:rPr>
                <w:rFonts w:ascii="Times New Roman" w:hAnsi="Times New Roman" w:eastAsia="宋体"/>
                <w:b w:val="0"/>
                <w:i w:val="0"/>
                <w:sz w:val="21"/>
              </w:rPr>
              <w:t>修改前值与修改后值</w:t>
            </w:r>
            <w:r>
              <w:br/>
            </w:r>
            <w:r>
              <w:rPr>
                <w:rFonts w:ascii="Times New Roman" w:hAnsi="Times New Roman" w:eastAsia="宋体"/>
                <w:b w:val="0"/>
                <w:i w:val="0"/>
                <w:sz w:val="21"/>
              </w:rPr>
              <w:t>修改原因，操作人、操作时间</w:t>
            </w:r>
          </w:p>
        </w:tc>
        <w:tc>
          <w:tcPr>
            <w:tcW w:type="dxa" w:w="3402"/>
          </w:tcPr>
          <w:p>
            <w:pPr>
              <w:spacing w:before="20" w:after="20" w:line="276" w:lineRule="auto"/>
              <w:ind w:firstLine="0"/>
            </w:pPr>
            <w:r/>
            <w:r>
              <w:rPr>
                <w:rFonts w:ascii="Times New Roman" w:hAnsi="Times New Roman" w:eastAsia="宋体"/>
                <w:b w:val="0"/>
                <w:i w:val="0"/>
                <w:sz w:val="21"/>
              </w:rPr>
              <w:t>记录业务线关联关系的建立与解除过程；解除记录覆盖解除加释放关联的完整动作，不额外拆分独立枚举</w:t>
            </w:r>
          </w:p>
        </w:tc>
      </w:tr>
      <w:tr>
        <w:tc>
          <w:tcPr>
            <w:tcW w:type="dxa" w:w="1474"/>
          </w:tcPr>
          <w:p>
            <w:pPr>
              <w:spacing w:before="20" w:after="20" w:line="276" w:lineRule="auto"/>
              <w:ind w:firstLine="0"/>
            </w:pPr>
            <w:r/>
            <w:r>
              <w:rPr>
                <w:rFonts w:ascii="Times New Roman" w:hAnsi="Times New Roman" w:eastAsia="宋体"/>
                <w:b w:val="0"/>
                <w:i w:val="0"/>
                <w:sz w:val="21"/>
              </w:rPr>
              <w:t>品类库存列表</w:t>
            </w:r>
          </w:p>
        </w:tc>
        <w:tc>
          <w:tcPr>
            <w:tcW w:type="dxa" w:w="4195"/>
          </w:tcPr>
          <w:p>
            <w:pPr>
              <w:spacing w:before="20" w:after="20" w:line="276" w:lineRule="auto"/>
              <w:ind w:firstLine="0"/>
            </w:pPr>
            <w:r/>
            <w:r>
              <w:rPr>
                <w:rFonts w:ascii="Times New Roman" w:hAnsi="Times New Roman" w:eastAsia="宋体"/>
                <w:b w:val="0"/>
                <w:i w:val="0"/>
                <w:sz w:val="21"/>
              </w:rPr>
              <w:t>品名</w:t>
            </w:r>
            <w:r>
              <w:br/>
            </w:r>
            <w:r>
              <w:rPr>
                <w:rFonts w:ascii="Times New Roman" w:hAnsi="Times New Roman" w:eastAsia="宋体"/>
                <w:b w:val="0"/>
                <w:i w:val="0"/>
                <w:sz w:val="21"/>
              </w:rPr>
              <w:t>账面库存与账面库存货值</w:t>
            </w:r>
            <w:r>
              <w:br/>
            </w:r>
            <w:r>
              <w:rPr>
                <w:rFonts w:ascii="Times New Roman" w:hAnsi="Times New Roman" w:eastAsia="宋体"/>
                <w:b w:val="0"/>
                <w:i w:val="0"/>
                <w:sz w:val="21"/>
              </w:rPr>
              <w:t>累计入库数量与累计入库货值</w:t>
            </w:r>
            <w:r>
              <w:br/>
            </w:r>
            <w:r>
              <w:rPr>
                <w:rFonts w:ascii="Times New Roman" w:hAnsi="Times New Roman" w:eastAsia="宋体"/>
                <w:b w:val="0"/>
                <w:i w:val="0"/>
                <w:sz w:val="21"/>
              </w:rPr>
              <w:t>累计出库数量与累计出库货值</w:t>
            </w:r>
          </w:p>
        </w:tc>
        <w:tc>
          <w:tcPr>
            <w:tcW w:type="dxa" w:w="3402"/>
          </w:tcPr>
          <w:p>
            <w:pPr>
              <w:spacing w:before="20" w:after="20" w:line="276" w:lineRule="auto"/>
              <w:ind w:firstLine="0"/>
            </w:pPr>
            <w:r/>
            <w:r>
              <w:rPr>
                <w:rFonts w:ascii="Times New Roman" w:hAnsi="Times New Roman" w:eastAsia="宋体"/>
                <w:b w:val="0"/>
                <w:i w:val="0"/>
                <w:sz w:val="21"/>
              </w:rPr>
              <w:t>按业务线合同中各品名拆分展示库存情况，数值来源为货转与收发货登记结果</w:t>
            </w:r>
          </w:p>
        </w:tc>
      </w:tr>
      <w:tr>
        <w:tc>
          <w:tcPr>
            <w:tcW w:type="dxa" w:w="1474"/>
          </w:tcPr>
          <w:p>
            <w:pPr>
              <w:spacing w:before="20" w:after="20" w:line="276" w:lineRule="auto"/>
              <w:ind w:firstLine="0"/>
            </w:pPr>
            <w:r/>
            <w:r>
              <w:rPr>
                <w:rFonts w:ascii="Times New Roman" w:hAnsi="Times New Roman" w:eastAsia="宋体"/>
                <w:b w:val="0"/>
                <w:i w:val="0"/>
                <w:sz w:val="21"/>
              </w:rPr>
              <w:t>采购合同与销售合同</w:t>
            </w:r>
          </w:p>
        </w:tc>
        <w:tc>
          <w:tcPr>
            <w:tcW w:type="dxa" w:w="4195"/>
          </w:tcPr>
          <w:p>
            <w:pPr>
              <w:spacing w:before="20" w:after="20" w:line="276" w:lineRule="auto"/>
              <w:ind w:firstLine="0"/>
            </w:pPr>
            <w:r/>
            <w:r>
              <w:rPr>
                <w:rFonts w:ascii="Times New Roman" w:hAnsi="Times New Roman" w:eastAsia="宋体"/>
                <w:b w:val="0"/>
                <w:i w:val="0"/>
                <w:sz w:val="21"/>
              </w:rPr>
              <w:t>合同状态：决定业务线状态的派生来源</w:t>
            </w:r>
            <w:r>
              <w:br/>
            </w:r>
            <w:r>
              <w:rPr>
                <w:rFonts w:ascii="Times New Roman" w:hAnsi="Times New Roman" w:eastAsia="宋体"/>
                <w:b w:val="0"/>
                <w:i w:val="0"/>
                <w:sz w:val="21"/>
              </w:rPr>
              <w:t>业务类型：采购与销售两侧须一致</w:t>
            </w:r>
            <w:r>
              <w:br/>
            </w:r>
            <w:r>
              <w:rPr>
                <w:rFonts w:ascii="Times New Roman" w:hAnsi="Times New Roman" w:eastAsia="宋体"/>
                <w:b w:val="0"/>
                <w:i w:val="0"/>
                <w:sz w:val="21"/>
              </w:rPr>
              <w:t>合同单价：参与账面库存货值与出入库货值计算</w:t>
            </w:r>
          </w:p>
        </w:tc>
        <w:tc>
          <w:tcPr>
            <w:tcW w:type="dxa" w:w="3402"/>
          </w:tcPr>
          <w:p>
            <w:pPr>
              <w:spacing w:before="20" w:after="20" w:line="276" w:lineRule="auto"/>
              <w:ind w:firstLine="0"/>
            </w:pPr>
            <w:r/>
            <w:r>
              <w:rPr>
                <w:rFonts w:ascii="Times New Roman" w:hAnsi="Times New Roman" w:eastAsia="宋体"/>
                <w:b w:val="0"/>
                <w:i w:val="0"/>
                <w:sz w:val="21"/>
              </w:rPr>
              <w:t>业务线由一对采购合同与销售合同组成；合同状态变化驱动业务线状态变化</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4.8.6　角色权限与数据权限</w:t>
      </w:r>
    </w:p>
    <w:p>
      <w:pPr>
        <w:spacing w:before="0" w:after="120" w:line="360" w:lineRule="auto"/>
      </w:pPr>
      <w:r>
        <w:rPr>
          <w:rFonts w:ascii="Times New Roman" w:hAnsi="Times New Roman" w:eastAsia="宋体"/>
          <w:b w:val="0"/>
          <w:i w:val="0"/>
          <w:sz w:val="24"/>
        </w:rPr>
        <w:t>本期为系统全量权限（业务方裁决 D17 / QA-012）；下表角色为典型使用角色，非权限分级。源文档仍有明确的按钮可见性规则（来源：业务线管理 02.06 §2.2.1 与 §4.1.1）：查看未关联业务线的合同入口仅业务部可见；解除业务线按钮在状态为全部已完结时不显示，且解除前需任一合同未发生业务；进度汇总与状态同步由系统自动完成，人工不可编辑。</w:t>
      </w:r>
    </w:p>
    <w:p>
      <w:pPr>
        <w:spacing w:before="0" w:after="80" w:line="360" w:lineRule="auto"/>
      </w:pPr>
      <w:r>
        <w:rPr>
          <w:rFonts w:ascii="Times New Roman" w:hAnsi="Times New Roman" w:eastAsia="宋体"/>
          <w:b w:val="0"/>
          <w:i w:val="0"/>
          <w:sz w:val="24"/>
        </w:rPr>
        <w:t>数据可见性：按单据归属与业务筛选查看；手机号、统一社会信用代码等敏感字段默认打码，手动点击查看完整值且查看行为留痕。</w:t>
      </w:r>
    </w:p>
    <w:p>
      <w:pPr>
        <w:pStyle w:val="Heading3"/>
        <w:keepNext/>
        <w:spacing w:before="160" w:after="80" w:line="312" w:lineRule="auto"/>
        <w:ind w:firstLine="0"/>
      </w:pPr>
      <w:r>
        <w:rPr>
          <w:rFonts w:ascii="Times New Roman" w:hAnsi="Times New Roman" w:eastAsia="黑体"/>
          <w:b/>
          <w:i w:val="0"/>
          <w:sz w:val="24"/>
        </w:rPr>
        <w:t>4.8.7　业务流程与页面</w:t>
      </w:r>
    </w:p>
    <w:p>
      <w:pPr>
        <w:spacing w:before="120" w:after="60"/>
        <w:ind w:firstLine="0"/>
        <w:jc w:val="center"/>
      </w:pPr>
      <w:r>
        <w:drawing>
          <wp:inline xmlns:a="http://schemas.openxmlformats.org/drawingml/2006/main" xmlns:pic="http://schemas.openxmlformats.org/drawingml/2006/picture">
            <wp:extent cx="5616000" cy="2727310"/>
            <wp:docPr id="15" name="Picture 15"/>
            <wp:cNvGraphicFramePr>
              <a:graphicFrameLocks noChangeAspect="1"/>
            </wp:cNvGraphicFramePr>
            <a:graphic>
              <a:graphicData uri="http://schemas.openxmlformats.org/drawingml/2006/picture">
                <pic:pic>
                  <pic:nvPicPr>
                    <pic:cNvPr id="0" name="mermaid-business-line.png"/>
                    <pic:cNvPicPr/>
                  </pic:nvPicPr>
                  <pic:blipFill>
                    <a:blip r:embed="rId25"/>
                    <a:stretch>
                      <a:fillRect/>
                    </a:stretch>
                  </pic:blipFill>
                  <pic:spPr>
                    <a:xfrm>
                      <a:off x="0" y="0"/>
                      <a:ext cx="5616000" cy="2727310"/>
                    </a:xfrm>
                    <a:prstGeom prst="rect"/>
                  </pic:spPr>
                </pic:pic>
              </a:graphicData>
            </a:graphic>
          </wp:inline>
        </w:drawing>
      </w:r>
    </w:p>
    <w:p>
      <w:pPr>
        <w:spacing w:before="0" w:after="200" w:line="240" w:lineRule="auto"/>
        <w:ind w:firstLine="0"/>
        <w:jc w:val="center"/>
      </w:pPr>
      <w:r>
        <w:rPr>
          <w:rFonts w:ascii="Times New Roman" w:hAnsi="Times New Roman" w:eastAsia="宋体"/>
          <w:b w:val="0"/>
          <w:i w:val="0"/>
          <w:sz w:val="21"/>
        </w:rPr>
        <w:t>图 4-8-1　业务线管理 主业务流程</w:t>
      </w:r>
    </w:p>
    <w:p>
      <w:pPr>
        <w:spacing w:before="0" w:after="60" w:line="360" w:lineRule="auto"/>
      </w:pPr>
      <w:r>
        <w:rPr>
          <w:rFonts w:ascii="Times New Roman" w:hAnsi="Times New Roman" w:eastAsia="宋体"/>
          <w:b/>
          <w:i w:val="0"/>
          <w:sz w:val="24"/>
        </w:rPr>
        <w:t>主流程步骤：</w:t>
      </w:r>
    </w:p>
    <w:p>
      <w:pPr>
        <w:spacing w:before="0" w:after="60" w:line="336" w:lineRule="auto"/>
        <w:ind w:left="510" w:hanging="510"/>
      </w:pPr>
      <w:r>
        <w:rPr>
          <w:rFonts w:ascii="Times New Roman" w:hAnsi="Times New Roman" w:eastAsia="宋体"/>
          <w:b w:val="0"/>
          <w:i w:val="0"/>
          <w:sz w:val="24"/>
        </w:rPr>
        <w:t>1. 操作人员在业务线管理点击右上角查看未关联业务线的合同，右侧抽屉展示候选合同</w:t>
      </w:r>
    </w:p>
    <w:p>
      <w:pPr>
        <w:spacing w:before="0" w:after="60" w:line="336" w:lineRule="auto"/>
        <w:ind w:left="510" w:hanging="510"/>
      </w:pPr>
      <w:r>
        <w:rPr>
          <w:rFonts w:ascii="Times New Roman" w:hAnsi="Times New Roman" w:eastAsia="宋体"/>
          <w:b w:val="0"/>
          <w:i w:val="0"/>
          <w:sz w:val="24"/>
        </w:rPr>
        <w:t>2. 在执行中的采购订单单批次合同或销售订单单批次合同的操作项中发起关联，亦可在新建采购订单单批次合同时直接关联</w:t>
      </w:r>
    </w:p>
    <w:p>
      <w:pPr>
        <w:spacing w:before="0" w:after="60" w:line="336" w:lineRule="auto"/>
        <w:ind w:left="510" w:hanging="510"/>
      </w:pPr>
      <w:r>
        <w:rPr>
          <w:rFonts w:ascii="Times New Roman" w:hAnsi="Times New Roman" w:eastAsia="宋体"/>
          <w:b w:val="0"/>
          <w:i w:val="0"/>
          <w:sz w:val="24"/>
        </w:rPr>
        <w:t>3. 校验合同必须为执行中状态，校验通过后提交关联</w:t>
      </w:r>
    </w:p>
    <w:p>
      <w:pPr>
        <w:spacing w:before="0" w:after="60" w:line="336" w:lineRule="auto"/>
        <w:ind w:left="510" w:hanging="510"/>
      </w:pPr>
      <w:r>
        <w:rPr>
          <w:rFonts w:ascii="Times New Roman" w:hAnsi="Times New Roman" w:eastAsia="宋体"/>
          <w:b w:val="0"/>
          <w:i w:val="0"/>
          <w:sz w:val="24"/>
        </w:rPr>
        <w:t>4. 系统建立业务线并生成业务线号与按品名缩写生成的业务线名称，状态置为执行中</w:t>
      </w:r>
    </w:p>
    <w:p>
      <w:pPr>
        <w:spacing w:before="0" w:after="60" w:line="336" w:lineRule="auto"/>
        <w:ind w:left="510" w:hanging="510"/>
      </w:pPr>
      <w:r>
        <w:rPr>
          <w:rFonts w:ascii="Times New Roman" w:hAnsi="Times New Roman" w:eastAsia="宋体"/>
          <w:b w:val="0"/>
          <w:i w:val="0"/>
          <w:sz w:val="24"/>
        </w:rPr>
        <w:t>5. 业务线详情页按 2 个区块展示业务线信息与 5 项进度指标，并初始化各维度汇总</w:t>
      </w:r>
    </w:p>
    <w:p>
      <w:pPr>
        <w:spacing w:before="0" w:after="60" w:line="336" w:lineRule="auto"/>
        <w:ind w:left="510" w:hanging="510"/>
      </w:pPr>
      <w:r>
        <w:rPr>
          <w:rFonts w:ascii="Times New Roman" w:hAnsi="Times New Roman" w:eastAsia="宋体"/>
          <w:b w:val="0"/>
          <w:i w:val="0"/>
          <w:sz w:val="24"/>
        </w:rPr>
        <w:t>6. 货转、收发货、付款、回款、结算、发票等执行单据完成后，系统按对应口径刷新业务线进度、账面库存与货值</w:t>
      </w:r>
    </w:p>
    <w:p>
      <w:pPr>
        <w:spacing w:before="0" w:after="60" w:line="336" w:lineRule="auto"/>
        <w:ind w:left="510" w:hanging="510"/>
      </w:pPr>
      <w:r>
        <w:rPr>
          <w:rFonts w:ascii="Times New Roman" w:hAnsi="Times New Roman" w:eastAsia="宋体"/>
          <w:b w:val="0"/>
          <w:i w:val="0"/>
          <w:sz w:val="24"/>
        </w:rPr>
        <w:t>7. 业务线状态同步所关联合同的实际状态，采购或销售任一方完结即推进对应状态</w:t>
      </w:r>
    </w:p>
    <w:p>
      <w:pPr>
        <w:spacing w:before="0" w:after="60" w:line="336" w:lineRule="auto"/>
        <w:ind w:left="510" w:hanging="510"/>
      </w:pPr>
      <w:r>
        <w:rPr>
          <w:rFonts w:ascii="Times New Roman" w:hAnsi="Times New Roman" w:eastAsia="宋体"/>
          <w:b w:val="0"/>
          <w:i w:val="0"/>
          <w:sz w:val="24"/>
        </w:rPr>
        <w:t>8. 业务人员在未发生任何业务的前提下手动解除关联，系统释放关联并保留台账历史数据，合同可重新关联</w:t>
      </w:r>
    </w:p>
    <w:p>
      <w:pPr>
        <w:spacing w:before="120" w:after="60" w:line="360" w:lineRule="auto"/>
      </w:pPr>
      <w:r>
        <w:rPr>
          <w:rFonts w:ascii="Times New Roman" w:hAnsi="Times New Roman" w:eastAsia="宋体"/>
          <w:b/>
          <w:i w:val="0"/>
          <w:sz w:val="24"/>
        </w:rPr>
        <w:t>异常分支：</w:t>
      </w:r>
    </w:p>
    <w:tbl>
      <w:tblPr>
        <w:tblStyle w:val="TableGrid"/>
        <w:tblW w:type="auto" w:w="0"/>
        <w:jc w:val="center"/>
        <w:tblLayout w:type="fixed"/>
        <w:tblLook w:firstColumn="1" w:firstRow="1" w:lastColumn="0" w:lastRow="0" w:noHBand="0" w:noVBand="1" w:val="04A0"/>
      </w:tblPr>
      <w:tblGrid>
        <w:gridCol w:w="4479"/>
        <w:gridCol w:w="4479"/>
      </w:tblGrid>
      <w:tr>
        <w:trPr>
          <w:tblHeader w:val="true"/>
        </w:trPr>
        <w:tc>
          <w:tcPr>
            <w:tcW w:type="dxa" w:w="2835"/>
            <w:shd w:val="clear" w:color="auto" w:fill="DCE6F1"/>
          </w:tcPr>
          <w:p>
            <w:pPr>
              <w:spacing w:before="40" w:after="40" w:line="276" w:lineRule="auto"/>
              <w:jc w:val="center"/>
            </w:pPr>
            <w:r/>
            <w:r>
              <w:rPr>
                <w:rFonts w:ascii="Times New Roman" w:hAnsi="Times New Roman" w:eastAsia="黑体"/>
                <w:b/>
                <w:i w:val="0"/>
                <w:sz w:val="21"/>
              </w:rPr>
              <w:t>异常场景</w:t>
            </w:r>
          </w:p>
        </w:tc>
        <w:tc>
          <w:tcPr>
            <w:tcW w:type="dxa" w:w="6236"/>
            <w:shd w:val="clear" w:color="auto" w:fill="DCE6F1"/>
          </w:tcPr>
          <w:p>
            <w:pPr>
              <w:spacing w:before="40" w:after="40" w:line="276" w:lineRule="auto"/>
              <w:jc w:val="center"/>
            </w:pPr>
            <w:r/>
            <w:r>
              <w:rPr>
                <w:rFonts w:ascii="Times New Roman" w:hAnsi="Times New Roman" w:eastAsia="黑体"/>
                <w:b/>
                <w:i w:val="0"/>
                <w:sz w:val="21"/>
              </w:rPr>
              <w:t>系统处理</w:t>
            </w:r>
          </w:p>
        </w:tc>
      </w:tr>
      <w:tr>
        <w:tc>
          <w:tcPr>
            <w:tcW w:type="dxa" w:w="2835"/>
          </w:tcPr>
          <w:p>
            <w:pPr>
              <w:spacing w:before="20" w:after="20" w:line="276" w:lineRule="auto"/>
              <w:ind w:firstLine="0"/>
            </w:pPr>
            <w:r/>
            <w:r>
              <w:rPr>
                <w:rFonts w:ascii="Times New Roman" w:hAnsi="Times New Roman" w:eastAsia="宋体"/>
                <w:b w:val="0"/>
                <w:i w:val="0"/>
                <w:sz w:val="21"/>
              </w:rPr>
              <w:t>创建业务线时未选择采购合同或销售合同</w:t>
            </w:r>
          </w:p>
        </w:tc>
        <w:tc>
          <w:tcPr>
            <w:tcW w:type="dxa" w:w="6236"/>
          </w:tcPr>
          <w:p>
            <w:pPr>
              <w:spacing w:before="20" w:after="20" w:line="276" w:lineRule="auto"/>
              <w:ind w:firstLine="0"/>
            </w:pPr>
            <w:r/>
            <w:r>
              <w:rPr>
                <w:rFonts w:ascii="Times New Roman" w:hAnsi="Times New Roman" w:eastAsia="宋体"/>
                <w:b w:val="0"/>
                <w:i w:val="0"/>
                <w:sz w:val="21"/>
              </w:rPr>
              <w:t>提示必须先选择采购合同 / 必须先选择销售合同，阻止提交</w:t>
            </w:r>
          </w:p>
        </w:tc>
      </w:tr>
      <w:tr>
        <w:tc>
          <w:tcPr>
            <w:tcW w:type="dxa" w:w="2835"/>
          </w:tcPr>
          <w:p>
            <w:pPr>
              <w:spacing w:before="20" w:after="20" w:line="276" w:lineRule="auto"/>
              <w:ind w:firstLine="0"/>
            </w:pPr>
            <w:r/>
            <w:r>
              <w:rPr>
                <w:rFonts w:ascii="Times New Roman" w:hAnsi="Times New Roman" w:eastAsia="宋体"/>
                <w:b w:val="0"/>
                <w:i w:val="0"/>
                <w:sz w:val="21"/>
              </w:rPr>
              <w:t>采购与销售合同的业务类型不一致</w:t>
            </w:r>
          </w:p>
        </w:tc>
        <w:tc>
          <w:tcPr>
            <w:tcW w:type="dxa" w:w="6236"/>
          </w:tcPr>
          <w:p>
            <w:pPr>
              <w:spacing w:before="20" w:after="20" w:line="276" w:lineRule="auto"/>
              <w:ind w:firstLine="0"/>
            </w:pPr>
            <w:r/>
            <w:r>
              <w:rPr>
                <w:rFonts w:ascii="Times New Roman" w:hAnsi="Times New Roman" w:eastAsia="宋体"/>
                <w:b w:val="0"/>
                <w:i w:val="0"/>
                <w:sz w:val="21"/>
              </w:rPr>
              <w:t>提示采购 X 与销售 Y 业务类型不匹配，阻止提交</w:t>
            </w:r>
          </w:p>
        </w:tc>
      </w:tr>
      <w:tr>
        <w:tc>
          <w:tcPr>
            <w:tcW w:type="dxa" w:w="2835"/>
          </w:tcPr>
          <w:p>
            <w:pPr>
              <w:spacing w:before="20" w:after="20" w:line="276" w:lineRule="auto"/>
              <w:ind w:firstLine="0"/>
            </w:pPr>
            <w:r/>
            <w:r>
              <w:rPr>
                <w:rFonts w:ascii="Times New Roman" w:hAnsi="Times New Roman" w:eastAsia="宋体"/>
                <w:b w:val="0"/>
                <w:i w:val="0"/>
                <w:sz w:val="21"/>
              </w:rPr>
              <w:t>关联了非执行中状态的合同</w:t>
            </w:r>
          </w:p>
        </w:tc>
        <w:tc>
          <w:tcPr>
            <w:tcW w:type="dxa" w:w="6236"/>
          </w:tcPr>
          <w:p>
            <w:pPr>
              <w:spacing w:before="20" w:after="20" w:line="276" w:lineRule="auto"/>
              <w:ind w:firstLine="0"/>
            </w:pPr>
            <w:r/>
            <w:r>
              <w:rPr>
                <w:rFonts w:ascii="Times New Roman" w:hAnsi="Times New Roman" w:eastAsia="宋体"/>
                <w:b w:val="0"/>
                <w:i w:val="0"/>
                <w:sz w:val="21"/>
              </w:rPr>
              <w:t>红字提示请选择执行中状态的合同，阻止关联</w:t>
            </w:r>
          </w:p>
        </w:tc>
      </w:tr>
      <w:tr>
        <w:tc>
          <w:tcPr>
            <w:tcW w:type="dxa" w:w="2835"/>
          </w:tcPr>
          <w:p>
            <w:pPr>
              <w:spacing w:before="20" w:after="20" w:line="276" w:lineRule="auto"/>
              <w:ind w:firstLine="0"/>
            </w:pPr>
            <w:r/>
            <w:r>
              <w:rPr>
                <w:rFonts w:ascii="Times New Roman" w:hAnsi="Times New Roman" w:eastAsia="宋体"/>
                <w:b w:val="0"/>
                <w:i w:val="0"/>
                <w:sz w:val="21"/>
              </w:rPr>
              <w:t>业务线中任意合同已发生任意业务（如结算）时尝试解除</w:t>
            </w:r>
          </w:p>
        </w:tc>
        <w:tc>
          <w:tcPr>
            <w:tcW w:type="dxa" w:w="6236"/>
          </w:tcPr>
          <w:p>
            <w:pPr>
              <w:spacing w:before="20" w:after="20" w:line="276" w:lineRule="auto"/>
              <w:ind w:firstLine="0"/>
            </w:pPr>
            <w:r/>
            <w:r>
              <w:rPr>
                <w:rFonts w:ascii="Times New Roman" w:hAnsi="Times New Roman" w:eastAsia="宋体"/>
                <w:b w:val="0"/>
                <w:i w:val="0"/>
                <w:sz w:val="21"/>
              </w:rPr>
              <w:t>阻止解除并给出提示，提示文案待业务方按新条件补齐；已全部已完结状态下解除按钮不显示</w:t>
            </w:r>
          </w:p>
        </w:tc>
      </w:tr>
      <w:tr>
        <w:tc>
          <w:tcPr>
            <w:tcW w:type="dxa" w:w="2835"/>
          </w:tcPr>
          <w:p>
            <w:pPr>
              <w:spacing w:before="20" w:after="20" w:line="276" w:lineRule="auto"/>
              <w:ind w:firstLine="0"/>
            </w:pPr>
            <w:r/>
            <w:r>
              <w:rPr>
                <w:rFonts w:ascii="Times New Roman" w:hAnsi="Times New Roman" w:eastAsia="宋体"/>
                <w:b w:val="0"/>
                <w:i w:val="0"/>
                <w:sz w:val="21"/>
              </w:rPr>
              <w:t>同一业务线并发关联，二次校验被覆盖</w:t>
            </w:r>
          </w:p>
        </w:tc>
        <w:tc>
          <w:tcPr>
            <w:tcW w:type="dxa" w:w="6236"/>
          </w:tcPr>
          <w:p>
            <w:pPr>
              <w:spacing w:before="20" w:after="20" w:line="276" w:lineRule="auto"/>
              <w:ind w:firstLine="0"/>
            </w:pPr>
            <w:r/>
            <w:r>
              <w:rPr>
                <w:rFonts w:ascii="Times New Roman" w:hAnsi="Times New Roman" w:eastAsia="宋体"/>
                <w:b w:val="0"/>
                <w:i w:val="0"/>
                <w:sz w:val="21"/>
              </w:rPr>
              <w:t>提示已被其他操作覆盖，请刷新</w:t>
            </w:r>
          </w:p>
        </w:tc>
      </w:tr>
      <w:tr>
        <w:tc>
          <w:tcPr>
            <w:tcW w:type="dxa" w:w="2835"/>
          </w:tcPr>
          <w:p>
            <w:pPr>
              <w:spacing w:before="20" w:after="20" w:line="276" w:lineRule="auto"/>
              <w:ind w:firstLine="0"/>
            </w:pPr>
            <w:r/>
            <w:r>
              <w:rPr>
                <w:rFonts w:ascii="Times New Roman" w:hAnsi="Times New Roman" w:eastAsia="宋体"/>
                <w:b w:val="0"/>
                <w:i w:val="0"/>
                <w:sz w:val="21"/>
              </w:rPr>
              <w:t>采购与销售完结进度不一致（一方已完结另一方仍执行中）</w:t>
            </w:r>
          </w:p>
        </w:tc>
        <w:tc>
          <w:tcPr>
            <w:tcW w:type="dxa" w:w="6236"/>
          </w:tcPr>
          <w:p>
            <w:pPr>
              <w:spacing w:before="20" w:after="20" w:line="276" w:lineRule="auto"/>
              <w:ind w:firstLine="0"/>
            </w:pPr>
            <w:r/>
            <w:r>
              <w:rPr>
                <w:rFonts w:ascii="Times New Roman" w:hAnsi="Times New Roman" w:eastAsia="宋体"/>
                <w:b w:val="0"/>
                <w:i w:val="0"/>
                <w:sz w:val="21"/>
              </w:rPr>
              <w:t>黄灯提醒采购 X 已完结但销售 Y 仍执行中，不阻断业务；详情页同时展示双方状态标签</w:t>
            </w:r>
          </w:p>
        </w:tc>
      </w:tr>
    </w:tbl>
    <w:p>
      <w:pPr>
        <w:spacing w:before="0" w:after="0" w:line="240" w:lineRule="auto"/>
      </w:pPr>
    </w:p>
    <w:p>
      <w:pPr>
        <w:spacing w:before="120" w:after="60"/>
        <w:ind w:firstLine="0"/>
        <w:jc w:val="center"/>
      </w:pPr>
      <w:r>
        <w:drawing>
          <wp:inline xmlns:a="http://schemas.openxmlformats.org/drawingml/2006/main" xmlns:pic="http://schemas.openxmlformats.org/drawingml/2006/picture">
            <wp:extent cx="5616000" cy="3334500"/>
            <wp:docPr id="16" name="Picture 16"/>
            <wp:cNvGraphicFramePr>
              <a:graphicFrameLocks noChangeAspect="1"/>
            </wp:cNvGraphicFramePr>
            <a:graphic>
              <a:graphicData uri="http://schemas.openxmlformats.org/drawingml/2006/picture">
                <pic:pic>
                  <pic:nvPicPr>
                    <pic:cNvPr id="0" name="business-line.png"/>
                    <pic:cNvPicPr/>
                  </pic:nvPicPr>
                  <pic:blipFill>
                    <a:blip r:embed="rId26"/>
                    <a:stretch>
                      <a:fillRect/>
                    </a:stretch>
                  </pic:blipFill>
                  <pic:spPr>
                    <a:xfrm>
                      <a:off x="0" y="0"/>
                      <a:ext cx="5616000" cy="3334500"/>
                    </a:xfrm>
                    <a:prstGeom prst="rect"/>
                  </pic:spPr>
                </pic:pic>
              </a:graphicData>
            </a:graphic>
          </wp:inline>
        </w:drawing>
      </w:r>
    </w:p>
    <w:p>
      <w:pPr>
        <w:spacing w:before="0" w:after="200" w:line="240" w:lineRule="auto"/>
        <w:ind w:firstLine="0"/>
        <w:jc w:val="center"/>
      </w:pPr>
      <w:r>
        <w:rPr>
          <w:rFonts w:ascii="Times New Roman" w:hAnsi="Times New Roman" w:eastAsia="宋体"/>
          <w:b w:val="0"/>
          <w:i w:val="0"/>
          <w:sz w:val="21"/>
        </w:rPr>
        <w:t>图 4-8-2　业务线管理 原型页面</w:t>
      </w:r>
    </w:p>
    <w:p>
      <w:pPr>
        <w:spacing w:before="80" w:after="60" w:line="360" w:lineRule="auto"/>
      </w:pPr>
      <w:r>
        <w:rPr>
          <w:rFonts w:ascii="Times New Roman" w:hAnsi="Times New Roman" w:eastAsia="宋体"/>
          <w:b/>
          <w:i w:val="0"/>
          <w:sz w:val="24"/>
        </w:rPr>
        <w:t>页面级说明：</w:t>
      </w: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tblGrid>
      <w:tr>
        <w:trPr>
          <w:tblHeader w:val="true"/>
        </w:trPr>
        <w:tc>
          <w:tcPr>
            <w:tcW w:type="dxa" w:w="1178"/>
            <w:shd w:val="clear" w:color="auto" w:fill="DCE6F1"/>
          </w:tcPr>
          <w:p>
            <w:pPr>
              <w:spacing w:before="40" w:after="40" w:line="276" w:lineRule="auto"/>
              <w:jc w:val="center"/>
            </w:pPr>
            <w:r/>
            <w:r>
              <w:rPr>
                <w:rFonts w:ascii="Times New Roman" w:hAnsi="Times New Roman" w:eastAsia="黑体"/>
                <w:b/>
                <w:i w:val="0"/>
                <w:sz w:val="19"/>
              </w:rPr>
              <w:t>页面</w:t>
            </w:r>
          </w:p>
        </w:tc>
        <w:tc>
          <w:tcPr>
            <w:tcW w:type="dxa" w:w="1531"/>
            <w:shd w:val="clear" w:color="auto" w:fill="DCE6F1"/>
          </w:tcPr>
          <w:p>
            <w:pPr>
              <w:spacing w:before="40" w:after="40" w:line="276" w:lineRule="auto"/>
              <w:jc w:val="center"/>
            </w:pPr>
            <w:r/>
            <w:r>
              <w:rPr>
                <w:rFonts w:ascii="Times New Roman" w:hAnsi="Times New Roman" w:eastAsia="黑体"/>
                <w:b/>
                <w:i w:val="0"/>
                <w:sz w:val="19"/>
              </w:rPr>
              <w:t>原型文件</w:t>
            </w:r>
          </w:p>
        </w:tc>
        <w:tc>
          <w:tcPr>
            <w:tcW w:type="dxa" w:w="1119"/>
            <w:shd w:val="clear" w:color="auto" w:fill="DCE6F1"/>
          </w:tcPr>
          <w:p>
            <w:pPr>
              <w:spacing w:before="40" w:after="40" w:line="276" w:lineRule="auto"/>
              <w:jc w:val="center"/>
            </w:pPr>
            <w:r/>
            <w:r>
              <w:rPr>
                <w:rFonts w:ascii="Times New Roman" w:hAnsi="Times New Roman" w:eastAsia="黑体"/>
                <w:b/>
                <w:i w:val="0"/>
                <w:sz w:val="19"/>
              </w:rPr>
              <w:t>进入方式</w:t>
            </w:r>
          </w:p>
        </w:tc>
        <w:tc>
          <w:tcPr>
            <w:tcW w:type="dxa" w:w="2062"/>
            <w:shd w:val="clear" w:color="auto" w:fill="DCE6F1"/>
          </w:tcPr>
          <w:p>
            <w:pPr>
              <w:spacing w:before="40" w:after="40" w:line="276" w:lineRule="auto"/>
              <w:jc w:val="center"/>
            </w:pPr>
            <w:r/>
            <w:r>
              <w:rPr>
                <w:rFonts w:ascii="Times New Roman" w:hAnsi="Times New Roman" w:eastAsia="黑体"/>
                <w:b/>
                <w:i w:val="0"/>
                <w:sz w:val="19"/>
              </w:rPr>
              <w:t>关键区块</w:t>
            </w:r>
          </w:p>
        </w:tc>
        <w:tc>
          <w:tcPr>
            <w:tcW w:type="dxa" w:w="1767"/>
            <w:shd w:val="clear" w:color="auto" w:fill="DCE6F1"/>
          </w:tcPr>
          <w:p>
            <w:pPr>
              <w:spacing w:before="40" w:after="40" w:line="276" w:lineRule="auto"/>
              <w:jc w:val="center"/>
            </w:pPr>
            <w:r/>
            <w:r>
              <w:rPr>
                <w:rFonts w:ascii="Times New Roman" w:hAnsi="Times New Roman" w:eastAsia="黑体"/>
                <w:b/>
                <w:i w:val="0"/>
                <w:sz w:val="19"/>
              </w:rPr>
              <w:t>主要按钮与行为</w:t>
            </w:r>
          </w:p>
        </w:tc>
        <w:tc>
          <w:tcPr>
            <w:tcW w:type="dxa" w:w="1414"/>
            <w:shd w:val="clear" w:color="auto" w:fill="DCE6F1"/>
          </w:tcPr>
          <w:p>
            <w:pPr>
              <w:spacing w:before="40" w:after="40" w:line="276" w:lineRule="auto"/>
              <w:jc w:val="center"/>
            </w:pPr>
            <w:r/>
            <w:r>
              <w:rPr>
                <w:rFonts w:ascii="Times New Roman" w:hAnsi="Times New Roman" w:eastAsia="黑体"/>
                <w:b/>
                <w:i w:val="0"/>
                <w:sz w:val="19"/>
              </w:rPr>
              <w:t>跳转去向</w:t>
            </w:r>
          </w:p>
        </w:tc>
      </w:tr>
      <w:tr>
        <w:tc>
          <w:tcPr>
            <w:tcW w:type="dxa" w:w="1178"/>
          </w:tcPr>
          <w:p>
            <w:pPr>
              <w:spacing w:before="20" w:after="20" w:line="276" w:lineRule="auto"/>
              <w:ind w:firstLine="0"/>
            </w:pPr>
            <w:r/>
            <w:r>
              <w:rPr>
                <w:rFonts w:ascii="Times New Roman" w:hAnsi="Times New Roman" w:eastAsia="宋体"/>
                <w:b w:val="0"/>
                <w:i w:val="0"/>
                <w:sz w:val="19"/>
              </w:rPr>
              <w:t>业务线管理（列表）</w:t>
            </w:r>
          </w:p>
        </w:tc>
        <w:tc>
          <w:tcPr>
            <w:tcW w:type="dxa" w:w="1531"/>
          </w:tcPr>
          <w:p>
            <w:pPr>
              <w:spacing w:before="20" w:after="20" w:line="276" w:lineRule="auto"/>
              <w:ind w:firstLine="0"/>
            </w:pPr>
            <w:r/>
            <w:r>
              <w:rPr>
                <w:rFonts w:ascii="Times New Roman" w:hAnsi="Times New Roman" w:eastAsia="宋体"/>
                <w:b w:val="0"/>
                <w:i w:val="0"/>
                <w:sz w:val="19"/>
              </w:rPr>
              <w:t>business-line.html</w:t>
            </w:r>
          </w:p>
        </w:tc>
        <w:tc>
          <w:tcPr>
            <w:tcW w:type="dxa" w:w="1119"/>
          </w:tcPr>
          <w:p>
            <w:pPr>
              <w:spacing w:before="20" w:after="20" w:line="276" w:lineRule="auto"/>
              <w:ind w:firstLine="0"/>
            </w:pPr>
            <w:r/>
            <w:r>
              <w:rPr>
                <w:rFonts w:ascii="Times New Roman" w:hAnsi="Times New Roman" w:eastAsia="宋体"/>
                <w:b w:val="0"/>
                <w:i w:val="0"/>
                <w:sz w:val="19"/>
              </w:rPr>
              <w:t>数字供应链 → 业务线管理</w:t>
            </w:r>
          </w:p>
        </w:tc>
        <w:tc>
          <w:tcPr>
            <w:tcW w:type="dxa" w:w="2062"/>
          </w:tcPr>
          <w:p>
            <w:pPr>
              <w:spacing w:before="20" w:after="20" w:line="276" w:lineRule="auto"/>
              <w:ind w:firstLine="0"/>
            </w:pPr>
            <w:r/>
            <w:r>
              <w:rPr>
                <w:rFonts w:ascii="Times New Roman" w:hAnsi="Times New Roman" w:eastAsia="宋体"/>
                <w:b w:val="0"/>
                <w:i w:val="0"/>
                <w:sz w:val="19"/>
              </w:rPr>
              <w:t>状态 Tab（全部 / 执行中 / 采购已完结 / 销售已完结 / 全部已完结）、筛选区、业务线列表表格、分页、未关联合同右侧抽屉</w:t>
            </w:r>
          </w:p>
        </w:tc>
        <w:tc>
          <w:tcPr>
            <w:tcW w:type="dxa" w:w="1767"/>
          </w:tcPr>
          <w:p>
            <w:pPr>
              <w:spacing w:before="20" w:after="20" w:line="276" w:lineRule="auto"/>
              <w:ind w:firstLine="0"/>
            </w:pPr>
            <w:r/>
            <w:r>
              <w:rPr>
                <w:rFonts w:ascii="Times New Roman" w:hAnsi="Times New Roman" w:eastAsia="宋体"/>
                <w:b w:val="0"/>
                <w:i w:val="0"/>
                <w:sz w:val="19"/>
              </w:rPr>
              <w:t>数据导出（导出 Excel）、查看未关联业务线的合同（打开右侧抽屉）；行内：业务线详情、解除业务线（状态为全部已完结时不显示，解除前弹确认框）</w:t>
            </w:r>
          </w:p>
        </w:tc>
        <w:tc>
          <w:tcPr>
            <w:tcW w:type="dxa" w:w="1414"/>
          </w:tcPr>
          <w:p>
            <w:pPr>
              <w:spacing w:before="20" w:after="20" w:line="276" w:lineRule="auto"/>
              <w:ind w:firstLine="0"/>
            </w:pPr>
            <w:r/>
            <w:r>
              <w:rPr>
                <w:rFonts w:ascii="Times New Roman" w:hAnsi="Times New Roman" w:eastAsia="宋体"/>
                <w:b w:val="0"/>
                <w:i w:val="0"/>
                <w:sz w:val="19"/>
              </w:rPr>
              <w:t>业务线详情 → 业务线详情页；查看未关联业务线的合同 → 右侧抽屉内选择合同并提交关联 → 业务线详情</w:t>
            </w:r>
          </w:p>
        </w:tc>
      </w:tr>
      <w:tr>
        <w:tc>
          <w:tcPr>
            <w:tcW w:type="dxa" w:w="1178"/>
          </w:tcPr>
          <w:p>
            <w:pPr>
              <w:spacing w:before="20" w:after="20" w:line="276" w:lineRule="auto"/>
              <w:ind w:firstLine="0"/>
            </w:pPr>
            <w:r/>
            <w:r>
              <w:rPr>
                <w:rFonts w:ascii="Times New Roman" w:hAnsi="Times New Roman" w:eastAsia="宋体"/>
                <w:b w:val="0"/>
                <w:i w:val="0"/>
                <w:sz w:val="19"/>
              </w:rPr>
              <w:t>业务线关联</w:t>
            </w:r>
          </w:p>
        </w:tc>
        <w:tc>
          <w:tcPr>
            <w:tcW w:type="dxa" w:w="1531"/>
          </w:tcPr>
          <w:p>
            <w:pPr>
              <w:spacing w:before="20" w:after="20" w:line="276" w:lineRule="auto"/>
              <w:ind w:firstLine="0"/>
            </w:pPr>
            <w:r/>
            <w:r>
              <w:rPr>
                <w:rFonts w:ascii="Times New Roman" w:hAnsi="Times New Roman" w:eastAsia="宋体"/>
                <w:b w:val="0"/>
                <w:i w:val="0"/>
                <w:sz w:val="19"/>
              </w:rPr>
              <w:t>business-line-relate.html</w:t>
            </w:r>
          </w:p>
        </w:tc>
        <w:tc>
          <w:tcPr>
            <w:tcW w:type="dxa" w:w="1119"/>
          </w:tcPr>
          <w:p>
            <w:pPr>
              <w:spacing w:before="20" w:after="20" w:line="276" w:lineRule="auto"/>
              <w:ind w:firstLine="0"/>
            </w:pPr>
            <w:r/>
            <w:r>
              <w:rPr>
                <w:rFonts w:ascii="Times New Roman" w:hAnsi="Times New Roman" w:eastAsia="宋体"/>
                <w:b w:val="0"/>
                <w:i w:val="0"/>
                <w:sz w:val="19"/>
              </w:rPr>
              <w:t>业务线管理 → 新增业务线关联；或执行中采销订单单批次合同的操作项「关联合同」</w:t>
            </w:r>
          </w:p>
        </w:tc>
        <w:tc>
          <w:tcPr>
            <w:tcW w:type="dxa" w:w="2062"/>
          </w:tcPr>
          <w:p>
            <w:pPr>
              <w:spacing w:before="20" w:after="20" w:line="276" w:lineRule="auto"/>
              <w:ind w:firstLine="0"/>
            </w:pPr>
            <w:r/>
            <w:r>
              <w:rPr>
                <w:rFonts w:ascii="Times New Roman" w:hAnsi="Times New Roman" w:eastAsia="宋体"/>
                <w:b w:val="0"/>
                <w:i w:val="0"/>
                <w:sz w:val="19"/>
              </w:rPr>
              <w:t>已关联与待关联两个状态 Tab、合同信息表格、侧边菜单</w:t>
            </w:r>
          </w:p>
        </w:tc>
        <w:tc>
          <w:tcPr>
            <w:tcW w:type="dxa" w:w="1767"/>
          </w:tcPr>
          <w:p>
            <w:pPr>
              <w:spacing w:before="20" w:after="20" w:line="276" w:lineRule="auto"/>
              <w:ind w:firstLine="0"/>
            </w:pPr>
            <w:r/>
            <w:r>
              <w:rPr>
                <w:rFonts w:ascii="Times New Roman" w:hAnsi="Times New Roman" w:eastAsia="宋体"/>
                <w:b w:val="0"/>
                <w:i w:val="0"/>
                <w:sz w:val="19"/>
              </w:rPr>
              <w:t>新增业务线关联、提交关联、取消、解除关联</w:t>
            </w:r>
          </w:p>
        </w:tc>
        <w:tc>
          <w:tcPr>
            <w:tcW w:type="dxa" w:w="1414"/>
          </w:tcPr>
          <w:p>
            <w:pPr>
              <w:spacing w:before="20" w:after="20" w:line="276" w:lineRule="auto"/>
              <w:ind w:firstLine="0"/>
            </w:pPr>
            <w:r/>
            <w:r>
              <w:rPr>
                <w:rFonts w:ascii="Times New Roman" w:hAnsi="Times New Roman" w:eastAsia="宋体"/>
                <w:b w:val="0"/>
                <w:i w:val="0"/>
                <w:sz w:val="19"/>
              </w:rPr>
              <w:t>提交成功 → 业务线建立且状态为执行中，可进入业务线详情；取消 → 返回业务线管理列表</w:t>
            </w:r>
          </w:p>
        </w:tc>
      </w:tr>
      <w:tr>
        <w:tc>
          <w:tcPr>
            <w:tcW w:type="dxa" w:w="1178"/>
          </w:tcPr>
          <w:p>
            <w:pPr>
              <w:spacing w:before="20" w:after="20" w:line="276" w:lineRule="auto"/>
              <w:ind w:firstLine="0"/>
            </w:pPr>
            <w:r/>
            <w:r>
              <w:rPr>
                <w:rFonts w:ascii="Times New Roman" w:hAnsi="Times New Roman" w:eastAsia="宋体"/>
                <w:b w:val="0"/>
                <w:i w:val="0"/>
                <w:sz w:val="19"/>
              </w:rPr>
              <w:t>业务线详情</w:t>
            </w:r>
          </w:p>
        </w:tc>
        <w:tc>
          <w:tcPr>
            <w:tcW w:type="dxa" w:w="1531"/>
          </w:tcPr>
          <w:p>
            <w:pPr>
              <w:spacing w:before="20" w:after="20" w:line="276" w:lineRule="auto"/>
              <w:ind w:firstLine="0"/>
            </w:pPr>
            <w:r/>
            <w:r>
              <w:rPr>
                <w:rFonts w:ascii="Times New Roman" w:hAnsi="Times New Roman" w:eastAsia="宋体"/>
                <w:b w:val="0"/>
                <w:i w:val="0"/>
                <w:sz w:val="19"/>
              </w:rPr>
              <w:t>business-line-detail.html</w:t>
            </w:r>
          </w:p>
        </w:tc>
        <w:tc>
          <w:tcPr>
            <w:tcW w:type="dxa" w:w="1119"/>
          </w:tcPr>
          <w:p>
            <w:pPr>
              <w:spacing w:before="20" w:after="20" w:line="276" w:lineRule="auto"/>
              <w:ind w:firstLine="0"/>
            </w:pPr>
            <w:r/>
            <w:r>
              <w:rPr>
                <w:rFonts w:ascii="Times New Roman" w:hAnsi="Times New Roman" w:eastAsia="宋体"/>
                <w:b w:val="0"/>
                <w:i w:val="0"/>
                <w:sz w:val="19"/>
              </w:rPr>
              <w:t>业务线管理列表行「业务线详情」</w:t>
            </w:r>
          </w:p>
        </w:tc>
        <w:tc>
          <w:tcPr>
            <w:tcW w:type="dxa" w:w="2062"/>
          </w:tcPr>
          <w:p>
            <w:pPr>
              <w:spacing w:before="20" w:after="20" w:line="276" w:lineRule="auto"/>
              <w:ind w:firstLine="0"/>
            </w:pPr>
            <w:r/>
            <w:r>
              <w:rPr>
                <w:rFonts w:ascii="Times New Roman" w:hAnsi="Times New Roman" w:eastAsia="宋体"/>
                <w:b w:val="0"/>
                <w:i w:val="0"/>
                <w:sz w:val="19"/>
              </w:rPr>
              <w:t>区块 1 顶部业务线信息（业务线号、业务线名称、采购合同、销售合同、合同编号、创建时间、合同期限、运输方式、业务类型、资金来源）；区块 2 业务进度与单据状态（合同签署状态、货转数量、付款回款、采销结算、进销项发票）；2 行 5 列 KPI 网格；三段业务链路；合同基础信息与附件</w:t>
            </w:r>
          </w:p>
        </w:tc>
        <w:tc>
          <w:tcPr>
            <w:tcW w:type="dxa" w:w="1767"/>
          </w:tcPr>
          <w:p>
            <w:pPr>
              <w:spacing w:before="20" w:after="20" w:line="276" w:lineRule="auto"/>
              <w:ind w:firstLine="0"/>
            </w:pPr>
            <w:r/>
            <w:r>
              <w:rPr>
                <w:rFonts w:ascii="Times New Roman" w:hAnsi="Times New Roman" w:eastAsia="宋体"/>
                <w:b w:val="0"/>
                <w:i w:val="0"/>
                <w:sz w:val="19"/>
              </w:rPr>
              <w:t>返回（面包屑右侧）、返回顶部（右下角固定）、合同附件一键下载、解除业务线</w:t>
            </w:r>
          </w:p>
        </w:tc>
        <w:tc>
          <w:tcPr>
            <w:tcW w:type="dxa" w:w="1414"/>
          </w:tcPr>
          <w:p>
            <w:pPr>
              <w:spacing w:before="20" w:after="20" w:line="276" w:lineRule="auto"/>
              <w:ind w:firstLine="0"/>
            </w:pPr>
            <w:r/>
            <w:r>
              <w:rPr>
                <w:rFonts w:ascii="Times New Roman" w:hAnsi="Times New Roman" w:eastAsia="宋体"/>
                <w:b w:val="0"/>
                <w:i w:val="0"/>
                <w:sz w:val="19"/>
              </w:rPr>
              <w:t>返回 → 业务线管理列表；合同附件一键下载 → 下载合同附件文件；采购或销售合同编号 → 对应合同详情页</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4.8.8　验收标准与待确认项</w:t>
      </w:r>
    </w:p>
    <w:tbl>
      <w:tblPr>
        <w:tblStyle w:val="TableGrid"/>
        <w:tblW w:type="auto" w:w="0"/>
        <w:jc w:val="center"/>
        <w:tblLayout w:type="fixed"/>
        <w:tblLook w:firstColumn="1" w:firstRow="1" w:lastColumn="0" w:lastRow="0" w:noHBand="0" w:noVBand="1" w:val="04A0"/>
      </w:tblPr>
      <w:tblGrid>
        <w:gridCol w:w="4479"/>
        <w:gridCol w:w="4479"/>
      </w:tblGrid>
      <w:tr>
        <w:trPr>
          <w:tblHeader w:val="true"/>
        </w:trPr>
        <w:tc>
          <w:tcPr>
            <w:tcW w:type="dxa" w:w="1701"/>
            <w:shd w:val="clear" w:color="auto" w:fill="DCE6F1"/>
          </w:tcPr>
          <w:p>
            <w:pPr>
              <w:spacing w:before="40" w:after="40" w:line="276" w:lineRule="auto"/>
              <w:jc w:val="center"/>
            </w:pPr>
            <w:r/>
            <w:r>
              <w:rPr>
                <w:rFonts w:ascii="Times New Roman" w:hAnsi="Times New Roman" w:eastAsia="黑体"/>
                <w:b/>
                <w:i w:val="0"/>
                <w:sz w:val="21"/>
              </w:rPr>
              <w:t>功能</w:t>
            </w:r>
          </w:p>
        </w:tc>
        <w:tc>
          <w:tcPr>
            <w:tcW w:type="dxa" w:w="7370"/>
            <w:shd w:val="clear" w:color="auto" w:fill="DCE6F1"/>
          </w:tcPr>
          <w:p>
            <w:pPr>
              <w:spacing w:before="40" w:after="40" w:line="276" w:lineRule="auto"/>
              <w:jc w:val="center"/>
            </w:pPr>
            <w:r/>
            <w:r>
              <w:rPr>
                <w:rFonts w:ascii="Times New Roman" w:hAnsi="Times New Roman" w:eastAsia="黑体"/>
                <w:b/>
                <w:i w:val="0"/>
                <w:sz w:val="21"/>
              </w:rPr>
              <w:t>验收要点（由关键规则转写）</w:t>
            </w:r>
          </w:p>
        </w:tc>
      </w:tr>
      <w:tr>
        <w:tc>
          <w:tcPr>
            <w:tcW w:type="dxa" w:w="1701"/>
          </w:tcPr>
          <w:p>
            <w:pPr>
              <w:spacing w:before="20" w:after="20" w:line="276" w:lineRule="auto"/>
              <w:ind w:firstLine="0"/>
            </w:pPr>
            <w:r/>
            <w:r>
              <w:rPr>
                <w:rFonts w:ascii="Times New Roman" w:hAnsi="Times New Roman" w:eastAsia="宋体"/>
                <w:b w:val="0"/>
                <w:i w:val="0"/>
                <w:sz w:val="21"/>
              </w:rPr>
              <w:t>人工关联建立业务线</w:t>
            </w:r>
          </w:p>
        </w:tc>
        <w:tc>
          <w:tcPr>
            <w:tcW w:type="dxa" w:w="7370"/>
          </w:tcPr>
          <w:p>
            <w:pPr>
              <w:spacing w:before="20" w:after="20" w:line="276" w:lineRule="auto"/>
              <w:ind w:firstLine="0"/>
            </w:pPr>
            <w:r/>
            <w:r>
              <w:rPr>
                <w:rFonts w:ascii="Times New Roman" w:hAnsi="Times New Roman" w:eastAsia="宋体"/>
                <w:b w:val="0"/>
                <w:i w:val="0"/>
                <w:sz w:val="21"/>
              </w:rPr>
              <w:t>业务线一律由人工手动关联产生，不存在自动创建路径；被关联合同必须为执行中状态，非执行中合同提示请选择执行中状态的合同；创建时必须同时选定采购合同与销售合同</w:t>
            </w:r>
          </w:p>
        </w:tc>
      </w:tr>
      <w:tr>
        <w:tc>
          <w:tcPr>
            <w:tcW w:type="dxa" w:w="1701"/>
          </w:tcPr>
          <w:p>
            <w:pPr>
              <w:spacing w:before="20" w:after="20" w:line="276" w:lineRule="auto"/>
              <w:ind w:firstLine="0"/>
            </w:pPr>
            <w:r/>
            <w:r>
              <w:rPr>
                <w:rFonts w:ascii="Times New Roman" w:hAnsi="Times New Roman" w:eastAsia="宋体"/>
                <w:b w:val="0"/>
                <w:i w:val="0"/>
                <w:sz w:val="21"/>
              </w:rPr>
              <w:t>业务线状态机与合同状态同步</w:t>
            </w:r>
          </w:p>
        </w:tc>
        <w:tc>
          <w:tcPr>
            <w:tcW w:type="dxa" w:w="7370"/>
          </w:tcPr>
          <w:p>
            <w:pPr>
              <w:spacing w:before="20" w:after="20" w:line="276" w:lineRule="auto"/>
              <w:ind w:firstLine="0"/>
            </w:pPr>
            <w:r/>
            <w:r>
              <w:rPr>
                <w:rFonts w:ascii="Times New Roman" w:hAnsi="Times New Roman" w:eastAsia="宋体"/>
                <w:b w:val="0"/>
                <w:i w:val="0"/>
                <w:sz w:val="21"/>
              </w:rPr>
              <w:t>初始状态为执行中，采购合同全部已结清转采购已完结，销售合同全部已结清转销售已完结，两者都已结清转全部已完结，全部已完结为终态；待上传双签合同、已终止、已解除均不是业务线状态</w:t>
            </w:r>
          </w:p>
        </w:tc>
      </w:tr>
      <w:tr>
        <w:tc>
          <w:tcPr>
            <w:tcW w:type="dxa" w:w="1701"/>
          </w:tcPr>
          <w:p>
            <w:pPr>
              <w:spacing w:before="20" w:after="20" w:line="276" w:lineRule="auto"/>
              <w:ind w:firstLine="0"/>
            </w:pPr>
            <w:r/>
            <w:r>
              <w:rPr>
                <w:rFonts w:ascii="Times New Roman" w:hAnsi="Times New Roman" w:eastAsia="宋体"/>
                <w:b w:val="0"/>
                <w:i w:val="0"/>
                <w:sz w:val="21"/>
              </w:rPr>
              <w:t>五维度进度自动汇总</w:t>
            </w:r>
          </w:p>
        </w:tc>
        <w:tc>
          <w:tcPr>
            <w:tcW w:type="dxa" w:w="7370"/>
          </w:tcPr>
          <w:p>
            <w:pPr>
              <w:spacing w:before="20" w:after="20" w:line="276" w:lineRule="auto"/>
              <w:ind w:firstLine="0"/>
            </w:pPr>
            <w:r/>
            <w:r>
              <w:rPr>
                <w:rFonts w:ascii="Times New Roman" w:hAnsi="Times New Roman" w:eastAsia="宋体"/>
                <w:b w:val="0"/>
                <w:i w:val="0"/>
                <w:sz w:val="21"/>
              </w:rPr>
              <w:t>货物进度 = 上游货转数量 / 销售合同量；资金进度按对上游付款与对下游收款两个方向双向展示；结算进度 = 采购结算金额加销售结算金额；发票进度 = 进项发票金额加销项发票金额；四维度进度由系统自动汇总，人工不可编辑</w:t>
            </w:r>
          </w:p>
        </w:tc>
      </w:tr>
      <w:tr>
        <w:tc>
          <w:tcPr>
            <w:tcW w:type="dxa" w:w="1701"/>
          </w:tcPr>
          <w:p>
            <w:pPr>
              <w:spacing w:before="20" w:after="20" w:line="276" w:lineRule="auto"/>
              <w:ind w:firstLine="0"/>
            </w:pPr>
            <w:r/>
            <w:r>
              <w:rPr>
                <w:rFonts w:ascii="Times New Roman" w:hAnsi="Times New Roman" w:eastAsia="宋体"/>
                <w:b w:val="0"/>
                <w:i w:val="0"/>
                <w:sz w:val="21"/>
              </w:rPr>
              <w:t>账面库存与货值联动计算</w:t>
            </w:r>
          </w:p>
        </w:tc>
        <w:tc>
          <w:tcPr>
            <w:tcW w:type="dxa" w:w="7370"/>
          </w:tcPr>
          <w:p>
            <w:pPr>
              <w:spacing w:before="20" w:after="20" w:line="276" w:lineRule="auto"/>
              <w:ind w:firstLine="0"/>
            </w:pPr>
            <w:r/>
            <w:r>
              <w:rPr>
                <w:rFonts w:ascii="Times New Roman" w:hAnsi="Times New Roman" w:eastAsia="宋体"/>
                <w:b w:val="0"/>
                <w:i w:val="0"/>
                <w:sz w:val="21"/>
              </w:rPr>
              <w:t>账面库存 = 已收货转总数 − 已开货转总数；上游货转使账面库存增加、下游货转使账面库存减少；账面库存货值 = 账面库存数量 × 合同单价，累计入库货值 = 入库数量 × 合同单价，累计出库货值 = 出库数量 × 合同单价</w:t>
            </w:r>
          </w:p>
        </w:tc>
      </w:tr>
      <w:tr>
        <w:tc>
          <w:tcPr>
            <w:tcW w:type="dxa" w:w="1701"/>
          </w:tcPr>
          <w:p>
            <w:pPr>
              <w:spacing w:before="20" w:after="20" w:line="276" w:lineRule="auto"/>
              <w:ind w:firstLine="0"/>
            </w:pPr>
            <w:r/>
            <w:r>
              <w:rPr>
                <w:rFonts w:ascii="Times New Roman" w:hAnsi="Times New Roman" w:eastAsia="宋体"/>
                <w:b w:val="0"/>
                <w:i w:val="0"/>
                <w:sz w:val="21"/>
              </w:rPr>
              <w:t>业务线详情页两区块展示</w:t>
            </w:r>
          </w:p>
        </w:tc>
        <w:tc>
          <w:tcPr>
            <w:tcW w:type="dxa" w:w="7370"/>
          </w:tcPr>
          <w:p>
            <w:pPr>
              <w:spacing w:before="20" w:after="20" w:line="276" w:lineRule="auto"/>
              <w:ind w:firstLine="0"/>
            </w:pPr>
            <w:r/>
            <w:r>
              <w:rPr>
                <w:rFonts w:ascii="Times New Roman" w:hAnsi="Times New Roman" w:eastAsia="宋体"/>
                <w:b w:val="0"/>
                <w:i w:val="0"/>
                <w:sz w:val="21"/>
              </w:rPr>
              <w:t>区块 1 展示业务线号、业务线名称、采购合同、销售合同、合同编号、创建时间、合同期限、运输方式、业务类型、资金来源；区块 2 固定承载合同签署状态、货转数量、付款回款、采销结算、进销项发票 5 个指标</w:t>
            </w:r>
          </w:p>
        </w:tc>
      </w:tr>
      <w:tr>
        <w:tc>
          <w:tcPr>
            <w:tcW w:type="dxa" w:w="1701"/>
          </w:tcPr>
          <w:p>
            <w:pPr>
              <w:spacing w:before="20" w:after="20" w:line="276" w:lineRule="auto"/>
              <w:ind w:firstLine="0"/>
            </w:pPr>
            <w:r/>
            <w:r>
              <w:rPr>
                <w:rFonts w:ascii="Times New Roman" w:hAnsi="Times New Roman" w:eastAsia="宋体"/>
                <w:b w:val="0"/>
                <w:i w:val="0"/>
                <w:sz w:val="21"/>
              </w:rPr>
              <w:t>解除业务线与释放关联</w:t>
            </w:r>
          </w:p>
        </w:tc>
        <w:tc>
          <w:tcPr>
            <w:tcW w:type="dxa" w:w="7370"/>
          </w:tcPr>
          <w:p>
            <w:pPr>
              <w:spacing w:before="20" w:after="20" w:line="276" w:lineRule="auto"/>
              <w:ind w:firstLine="0"/>
            </w:pPr>
            <w:r/>
            <w:r>
              <w:rPr>
                <w:rFonts w:ascii="Times New Roman" w:hAnsi="Times New Roman" w:eastAsia="宋体"/>
                <w:b w:val="0"/>
                <w:i w:val="0"/>
                <w:sz w:val="21"/>
              </w:rPr>
              <w:t>解除前置条件为该业务线中任意合同未发生任何业务（如结算）；一旦任一合同已发生任意业务即不可解除；解除由业务人员直接操作、无需审批；解除后关联合同的业务线字段清空、台账数据保留为历史、合同可重新关联；已全部已完结状态下解除按钮不显示</w:t>
            </w:r>
          </w:p>
        </w:tc>
      </w:tr>
      <w:tr>
        <w:tc>
          <w:tcPr>
            <w:tcW w:type="dxa" w:w="1701"/>
          </w:tcPr>
          <w:p>
            <w:pPr>
              <w:spacing w:before="20" w:after="20" w:line="276" w:lineRule="auto"/>
              <w:ind w:firstLine="0"/>
            </w:pPr>
            <w:r/>
            <w:r>
              <w:rPr>
                <w:rFonts w:ascii="Times New Roman" w:hAnsi="Times New Roman" w:eastAsia="宋体"/>
                <w:b w:val="0"/>
                <w:i w:val="0"/>
                <w:sz w:val="21"/>
              </w:rPr>
              <w:t>未关联合同抽屉与筛选</w:t>
            </w:r>
          </w:p>
        </w:tc>
        <w:tc>
          <w:tcPr>
            <w:tcW w:type="dxa" w:w="7370"/>
          </w:tcPr>
          <w:p>
            <w:pPr>
              <w:spacing w:before="20" w:after="20" w:line="276" w:lineRule="auto"/>
              <w:ind w:firstLine="0"/>
            </w:pPr>
            <w:r/>
            <w:r>
              <w:rPr>
                <w:rFonts w:ascii="Times New Roman" w:hAnsi="Times New Roman" w:eastAsia="宋体"/>
                <w:b w:val="0"/>
                <w:i w:val="0"/>
                <w:sz w:val="21"/>
              </w:rPr>
              <w:t>抽屉内展示未关联业务线的合同供选择并关联；同一份合同允许同时与其他合同关联生成多个业务线，不建立采购合同加销售合同的唯一性约束</w:t>
            </w:r>
          </w:p>
        </w:tc>
      </w:tr>
      <w:tr>
        <w:tc>
          <w:tcPr>
            <w:tcW w:type="dxa" w:w="1701"/>
          </w:tcPr>
          <w:p>
            <w:pPr>
              <w:spacing w:before="20" w:after="20" w:line="276" w:lineRule="auto"/>
              <w:ind w:firstLine="0"/>
            </w:pPr>
            <w:r/>
            <w:r>
              <w:rPr>
                <w:rFonts w:ascii="Times New Roman" w:hAnsi="Times New Roman" w:eastAsia="宋体"/>
                <w:b w:val="0"/>
                <w:i w:val="0"/>
                <w:sz w:val="21"/>
              </w:rPr>
              <w:t>业务线编号与名称生成</w:t>
            </w:r>
          </w:p>
        </w:tc>
        <w:tc>
          <w:tcPr>
            <w:tcW w:type="dxa" w:w="7370"/>
          </w:tcPr>
          <w:p>
            <w:pPr>
              <w:spacing w:before="20" w:after="20" w:line="276" w:lineRule="auto"/>
              <w:ind w:firstLine="0"/>
            </w:pPr>
            <w:r/>
            <w:r>
              <w:rPr>
                <w:rFonts w:ascii="Times New Roman" w:hAnsi="Times New Roman" w:eastAsia="宋体"/>
                <w:b w:val="0"/>
                <w:i w:val="0"/>
                <w:sz w:val="21"/>
              </w:rPr>
              <w:t>业务线号格式为 YWX 加 8 位日期加 4 位流水，共 15 字符；业务线名称统一按品名缩写生成，缩写取字方式与字符数上限尚未明确</w:t>
            </w:r>
          </w:p>
        </w:tc>
      </w:tr>
      <w:tr>
        <w:tc>
          <w:tcPr>
            <w:tcW w:type="dxa" w:w="1701"/>
          </w:tcPr>
          <w:p>
            <w:pPr>
              <w:spacing w:before="20" w:after="20" w:line="276" w:lineRule="auto"/>
              <w:ind w:firstLine="0"/>
            </w:pPr>
            <w:r/>
            <w:r>
              <w:rPr>
                <w:rFonts w:ascii="Times New Roman" w:hAnsi="Times New Roman" w:eastAsia="宋体"/>
                <w:b w:val="0"/>
                <w:i w:val="0"/>
                <w:sz w:val="21"/>
              </w:rPr>
              <w:t>资金与单据登记结果同步</w:t>
            </w:r>
          </w:p>
        </w:tc>
        <w:tc>
          <w:tcPr>
            <w:tcW w:type="dxa" w:w="7370"/>
          </w:tcPr>
          <w:p>
            <w:pPr>
              <w:spacing w:before="20" w:after="20" w:line="276" w:lineRule="auto"/>
              <w:ind w:firstLine="0"/>
            </w:pPr>
            <w:r/>
            <w:r>
              <w:rPr>
                <w:rFonts w:ascii="Times New Roman" w:hAnsi="Times New Roman" w:eastAsia="宋体"/>
                <w:b w:val="0"/>
                <w:i w:val="0"/>
                <w:sz w:val="21"/>
              </w:rPr>
              <w:t>付款与回款的实际资金动作在线下完成，平台仅登记线下完成结果，并按具体合同记录付款与回款数据；登记结果直接取自各模块明细，不在业务线侧重复落库</w:t>
            </w:r>
          </w:p>
        </w:tc>
      </w:tr>
    </w:tbl>
    <w:p>
      <w:pPr>
        <w:spacing w:before="0" w:after="0" w:line="240" w:lineRule="auto"/>
      </w:pPr>
    </w:p>
    <w:p>
      <w:pPr>
        <w:spacing w:before="120" w:after="60" w:line="360" w:lineRule="auto"/>
      </w:pPr>
      <w:r>
        <w:rPr>
          <w:rFonts w:ascii="Times New Roman" w:hAnsi="Times New Roman" w:eastAsia="宋体"/>
          <w:b/>
          <w:i w:val="0"/>
          <w:sz w:val="24"/>
        </w:rPr>
        <w:t>待业务方确认：</w:t>
      </w:r>
    </w:p>
    <w:p>
      <w:pPr>
        <w:spacing w:before="0" w:after="60" w:line="336" w:lineRule="auto"/>
        <w:ind w:left="340" w:firstLine="0"/>
      </w:pPr>
      <w:r>
        <w:rPr>
          <w:rFonts w:ascii="Times New Roman" w:hAnsi="Times New Roman" w:eastAsia="宋体"/>
          <w:b w:val="0"/>
          <w:i w:val="0"/>
          <w:sz w:val="24"/>
        </w:rPr>
        <w:t>· 待业务方确认：业务线的业务类型有哪几种取值，现行文档并列了 4 值口径与 5 值口径两套说法</w:t>
      </w:r>
    </w:p>
    <w:p>
      <w:pPr>
        <w:spacing w:before="0" w:after="60" w:line="336" w:lineRule="auto"/>
        <w:ind w:left="340" w:firstLine="0"/>
      </w:pPr>
      <w:r>
        <w:rPr>
          <w:rFonts w:ascii="Times New Roman" w:hAnsi="Times New Roman" w:eastAsia="宋体"/>
          <w:b w:val="0"/>
          <w:i w:val="0"/>
          <w:sz w:val="24"/>
        </w:rPr>
        <w:t>· 待业务方确认：业务线详情页区块 2 的合同签署状态、货转数量、付款回款、采销结算、进销项发票 5 个指标，各自显示什么值、取数口径是什么</w:t>
      </w:r>
    </w:p>
    <w:p>
      <w:pPr>
        <w:spacing w:before="0" w:after="60" w:line="336" w:lineRule="auto"/>
        <w:ind w:left="340" w:firstLine="0"/>
      </w:pPr>
      <w:r>
        <w:rPr>
          <w:rFonts w:ascii="Times New Roman" w:hAnsi="Times New Roman" w:eastAsia="宋体"/>
          <w:b w:val="0"/>
          <w:i w:val="0"/>
          <w:sz w:val="24"/>
        </w:rPr>
        <w:t>· 待业务方确认：业务线台账需展示哪几类指标，原文存在 4 维度、6 大指标、9 个内容块三套体系且映射未定义</w:t>
      </w:r>
    </w:p>
    <w:p>
      <w:pPr>
        <w:spacing w:before="0" w:after="60" w:line="336" w:lineRule="auto"/>
        <w:ind w:left="340" w:firstLine="0"/>
      </w:pPr>
      <w:r>
        <w:rPr>
          <w:rFonts w:ascii="Times New Roman" w:hAnsi="Times New Roman" w:eastAsia="宋体"/>
          <w:b w:val="0"/>
          <w:i w:val="0"/>
          <w:sz w:val="24"/>
        </w:rPr>
        <w:t>· 待业务方确认：业务线状态枚举的落地命名，现行文档存在 finished / done、purchase_finished / purchase_done、sales_finished / sales_done 三组分歧</w:t>
      </w:r>
    </w:p>
    <w:p>
      <w:pPr>
        <w:spacing w:before="0" w:after="60" w:line="336" w:lineRule="auto"/>
        <w:ind w:left="340" w:firstLine="0"/>
      </w:pPr>
      <w:r>
        <w:rPr>
          <w:rFonts w:ascii="Times New Roman" w:hAnsi="Times New Roman" w:eastAsia="宋体"/>
          <w:b w:val="0"/>
          <w:i w:val="0"/>
          <w:sz w:val="24"/>
        </w:rPr>
        <w:t>· 待业务方确认：货物进度按上游货转数量除以销售合同量计算，与账面库存的加减算法并非同一个数，两者关系如何界定</w:t>
      </w:r>
    </w:p>
    <w:p>
      <w:pPr>
        <w:spacing w:before="0" w:after="60" w:line="336" w:lineRule="auto"/>
        <w:ind w:left="340" w:firstLine="0"/>
      </w:pPr>
      <w:r>
        <w:rPr>
          <w:rFonts w:ascii="Times New Roman" w:hAnsi="Times New Roman" w:eastAsia="宋体"/>
          <w:b w:val="0"/>
          <w:i w:val="0"/>
          <w:sz w:val="24"/>
        </w:rPr>
        <w:t>· 待业务方确认：解除业务线被阻止时的提示文案</w:t>
      </w:r>
    </w:p>
    <w:p>
      <w:pPr>
        <w:spacing w:before="0" w:after="60" w:line="336" w:lineRule="auto"/>
        <w:ind w:left="340" w:firstLine="0"/>
      </w:pPr>
      <w:r>
        <w:rPr>
          <w:rFonts w:ascii="Times New Roman" w:hAnsi="Times New Roman" w:eastAsia="宋体"/>
          <w:b w:val="0"/>
          <w:i w:val="0"/>
          <w:sz w:val="24"/>
        </w:rPr>
        <w:t>· 待业务方确认：业务线名称按品名缩写的具体取字方式与字符数上限</w:t>
      </w:r>
    </w:p>
    <w:p>
      <w:pPr>
        <w:spacing w:before="0" w:after="60" w:line="336" w:lineRule="auto"/>
        <w:ind w:left="340" w:firstLine="0"/>
      </w:pPr>
      <w:r>
        <w:rPr>
          <w:rFonts w:ascii="Times New Roman" w:hAnsi="Times New Roman" w:eastAsia="宋体"/>
          <w:b w:val="0"/>
          <w:i w:val="0"/>
          <w:sz w:val="24"/>
        </w:rPr>
        <w:t>· 待业务方确认：业务线关联页已关联与待关联两个状态 Tab 的划分口径</w:t>
      </w:r>
    </w:p>
    <w:p>
      <w:pPr>
        <w:spacing w:before="0" w:after="60" w:line="336" w:lineRule="auto"/>
        <w:ind w:left="340" w:firstLine="0"/>
      </w:pPr>
      <w:r>
        <w:rPr>
          <w:rFonts w:ascii="Times New Roman" w:hAnsi="Times New Roman" w:eastAsia="宋体"/>
          <w:b w:val="0"/>
          <w:i w:val="0"/>
          <w:sz w:val="24"/>
        </w:rPr>
        <w:t>· 待业务方确认：重复关联同一对采购合同与销售合同的校验规则与提示文案</w:t>
      </w:r>
    </w:p>
    <w:p>
      <w:r>
        <w:br w:type="page"/>
      </w:r>
    </w:p>
    <w:p>
      <w:pPr>
        <w:pStyle w:val="Heading2"/>
        <w:keepNext/>
        <w:spacing w:before="240" w:after="120" w:line="312" w:lineRule="auto"/>
        <w:ind w:firstLine="0"/>
      </w:pPr>
      <w:r>
        <w:rPr>
          <w:rFonts w:ascii="Times New Roman" w:hAnsi="Times New Roman" w:eastAsia="黑体"/>
          <w:b/>
          <w:i w:val="0"/>
          <w:sz w:val="28"/>
        </w:rPr>
        <w:t>4.9　收发货管理</w:t>
      </w:r>
    </w:p>
    <w:p>
      <w:pPr>
        <w:spacing w:before="0" w:after="160" w:line="360" w:lineRule="auto"/>
      </w:pPr>
      <w:r>
        <w:rPr>
          <w:rFonts w:ascii="Times New Roman" w:hAnsi="Times New Roman" w:eastAsia="宋体"/>
          <w:b w:val="0"/>
          <w:i w:val="0"/>
          <w:color w:val="595959"/>
          <w:sz w:val="21"/>
        </w:rPr>
        <w:t>菜单路径：数字供应链 / 收发货管理</w:t>
      </w:r>
    </w:p>
    <w:p>
      <w:pPr>
        <w:pStyle w:val="Heading3"/>
        <w:keepNext/>
        <w:spacing w:before="160" w:after="80" w:line="312" w:lineRule="auto"/>
        <w:ind w:firstLine="0"/>
      </w:pPr>
      <w:r>
        <w:rPr>
          <w:rFonts w:ascii="Times New Roman" w:hAnsi="Times New Roman" w:eastAsia="黑体"/>
          <w:b/>
          <w:i w:val="0"/>
          <w:sz w:val="24"/>
        </w:rPr>
        <w:t>4.9.1　一页结论</w:t>
      </w:r>
    </w:p>
    <w:p>
      <w:pPr>
        <w:spacing w:before="0" w:after="120" w:line="360" w:lineRule="auto"/>
      </w:pPr>
      <w:r>
        <w:rPr>
          <w:rFonts w:ascii="Times New Roman" w:hAnsi="Times New Roman" w:eastAsia="宋体"/>
          <w:b w:val="0"/>
          <w:i w:val="0"/>
          <w:sz w:val="24"/>
        </w:rPr>
        <w:t>记录货物从发货登记到收货确认的实际物理流转过程，同时管理上游到货与下游提货，为货权转移登记与仓储出入库提供依据。</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928"/>
            <w:shd w:val="clear" w:color="auto" w:fill="DCE6F1"/>
          </w:tcPr>
          <w:p>
            <w:pPr>
              <w:spacing w:before="40" w:after="40" w:line="276" w:lineRule="auto"/>
              <w:jc w:val="center"/>
            </w:pPr>
            <w:r/>
            <w:r>
              <w:rPr>
                <w:rFonts w:ascii="Times New Roman" w:hAnsi="Times New Roman" w:eastAsia="黑体"/>
                <w:b/>
                <w:i w:val="0"/>
                <w:sz w:val="21"/>
              </w:rPr>
              <w:t>问题</w:t>
            </w:r>
          </w:p>
        </w:tc>
        <w:tc>
          <w:tcPr>
            <w:tcW w:type="dxa" w:w="3572"/>
            <w:shd w:val="clear" w:color="auto" w:fill="DCE6F1"/>
          </w:tcPr>
          <w:p>
            <w:pPr>
              <w:spacing w:before="40" w:after="40" w:line="276" w:lineRule="auto"/>
              <w:jc w:val="center"/>
            </w:pPr>
            <w:r/>
            <w:r>
              <w:rPr>
                <w:rFonts w:ascii="Times New Roman" w:hAnsi="Times New Roman" w:eastAsia="黑体"/>
                <w:b/>
                <w:i w:val="0"/>
                <w:sz w:val="21"/>
              </w:rPr>
              <w:t>当前做法</w:t>
            </w:r>
          </w:p>
        </w:tc>
        <w:tc>
          <w:tcPr>
            <w:tcW w:type="dxa" w:w="3572"/>
            <w:shd w:val="clear" w:color="auto" w:fill="DCE6F1"/>
          </w:tcPr>
          <w:p>
            <w:pPr>
              <w:spacing w:before="40" w:after="40" w:line="276" w:lineRule="auto"/>
              <w:jc w:val="center"/>
            </w:pPr>
            <w:r/>
            <w:r>
              <w:rPr>
                <w:rFonts w:ascii="Times New Roman" w:hAnsi="Times New Roman" w:eastAsia="黑体"/>
                <w:b/>
                <w:i w:val="0"/>
                <w:sz w:val="21"/>
              </w:rPr>
              <w:t>本模块解法</w:t>
            </w:r>
          </w:p>
        </w:tc>
      </w:tr>
      <w:tr>
        <w:tc>
          <w:tcPr>
            <w:tcW w:type="dxa" w:w="1928"/>
          </w:tcPr>
          <w:p>
            <w:pPr>
              <w:spacing w:before="20" w:after="20" w:line="276" w:lineRule="auto"/>
              <w:ind w:firstLine="0"/>
            </w:pPr>
            <w:r/>
            <w:r>
              <w:rPr>
                <w:rFonts w:ascii="Times New Roman" w:hAnsi="Times New Roman" w:eastAsia="宋体"/>
                <w:b w:val="0"/>
                <w:i w:val="0"/>
                <w:sz w:val="21"/>
              </w:rPr>
              <w:t>货物实际发运与到货在线下发生，线上没有可追溯的流转记录</w:t>
            </w:r>
          </w:p>
        </w:tc>
        <w:tc>
          <w:tcPr>
            <w:tcW w:type="dxa" w:w="3572"/>
          </w:tcPr>
          <w:p>
            <w:pPr>
              <w:spacing w:before="20" w:after="20" w:line="276" w:lineRule="auto"/>
              <w:ind w:firstLine="0"/>
            </w:pPr>
            <w:r/>
            <w:r>
              <w:rPr>
                <w:rFonts w:ascii="Times New Roman" w:hAnsi="Times New Roman" w:eastAsia="宋体"/>
                <w:b w:val="0"/>
                <w:i w:val="0"/>
                <w:sz w:val="21"/>
              </w:rPr>
              <w:t>发货与到货靠纸质单据和口头通知，事后无法还原货物何时发出、走了哪条运输线路</w:t>
            </w:r>
          </w:p>
        </w:tc>
        <w:tc>
          <w:tcPr>
            <w:tcW w:type="dxa" w:w="3572"/>
          </w:tcPr>
          <w:p>
            <w:pPr>
              <w:spacing w:before="20" w:after="20" w:line="276" w:lineRule="auto"/>
              <w:ind w:firstLine="0"/>
            </w:pPr>
            <w:r/>
            <w:r>
              <w:rPr>
                <w:rFonts w:ascii="Times New Roman" w:hAnsi="Times New Roman" w:eastAsia="宋体"/>
                <w:b w:val="0"/>
                <w:i w:val="0"/>
                <w:sz w:val="21"/>
              </w:rPr>
              <w:t>发货登记强制录入运输信息与凭证附件，收货确认强制录入收货数量与日期，形成完整可查的双向留痕</w:t>
            </w:r>
          </w:p>
        </w:tc>
      </w:tr>
      <w:tr>
        <w:tc>
          <w:tcPr>
            <w:tcW w:type="dxa" w:w="1928"/>
          </w:tcPr>
          <w:p>
            <w:pPr>
              <w:spacing w:before="20" w:after="20" w:line="276" w:lineRule="auto"/>
              <w:ind w:firstLine="0"/>
            </w:pPr>
            <w:r/>
            <w:r>
              <w:rPr>
                <w:rFonts w:ascii="Times New Roman" w:hAnsi="Times New Roman" w:eastAsia="宋体"/>
                <w:b w:val="0"/>
                <w:i w:val="0"/>
                <w:sz w:val="21"/>
              </w:rPr>
              <w:t>上游到货与下游提货被拆成两套口径，业务规则不统一</w:t>
            </w:r>
          </w:p>
        </w:tc>
        <w:tc>
          <w:tcPr>
            <w:tcW w:type="dxa" w:w="3572"/>
          </w:tcPr>
          <w:p>
            <w:pPr>
              <w:spacing w:before="20" w:after="20" w:line="276" w:lineRule="auto"/>
              <w:ind w:firstLine="0"/>
            </w:pPr>
            <w:r/>
            <w:r>
              <w:rPr>
                <w:rFonts w:ascii="Times New Roman" w:hAnsi="Times New Roman" w:eastAsia="宋体"/>
                <w:b w:val="0"/>
                <w:i w:val="0"/>
                <w:sz w:val="21"/>
              </w:rPr>
              <w:t>上游到货走一套单据，下游提货走另一套单据，状态与校验规则各说各话</w:t>
            </w:r>
          </w:p>
        </w:tc>
        <w:tc>
          <w:tcPr>
            <w:tcW w:type="dxa" w:w="3572"/>
          </w:tcPr>
          <w:p>
            <w:pPr>
              <w:spacing w:before="20" w:after="20" w:line="276" w:lineRule="auto"/>
              <w:ind w:firstLine="0"/>
            </w:pPr>
            <w:r/>
            <w:r>
              <w:rPr>
                <w:rFonts w:ascii="Times New Roman" w:hAnsi="Times New Roman" w:eastAsia="宋体"/>
                <w:b w:val="0"/>
                <w:i w:val="0"/>
                <w:sz w:val="21"/>
              </w:rPr>
              <w:t>收货管理同时管理上下游货物，收哪一端取决于发货登记时登记的方向，两者共用同一套状态与校验规则</w:t>
            </w:r>
          </w:p>
        </w:tc>
      </w:tr>
      <w:tr>
        <w:tc>
          <w:tcPr>
            <w:tcW w:type="dxa" w:w="1928"/>
          </w:tcPr>
          <w:p>
            <w:pPr>
              <w:spacing w:before="20" w:after="20" w:line="276" w:lineRule="auto"/>
              <w:ind w:firstLine="0"/>
            </w:pPr>
            <w:r/>
            <w:r>
              <w:rPr>
                <w:rFonts w:ascii="Times New Roman" w:hAnsi="Times New Roman" w:eastAsia="宋体"/>
                <w:b w:val="0"/>
                <w:i w:val="0"/>
                <w:sz w:val="21"/>
              </w:rPr>
              <w:t>收货数量与日期缺乏系统校验，容易出现超收或倒填日期</w:t>
            </w:r>
          </w:p>
        </w:tc>
        <w:tc>
          <w:tcPr>
            <w:tcW w:type="dxa" w:w="3572"/>
          </w:tcPr>
          <w:p>
            <w:pPr>
              <w:spacing w:before="20" w:after="20" w:line="276" w:lineRule="auto"/>
              <w:ind w:firstLine="0"/>
            </w:pPr>
            <w:r/>
            <w:r>
              <w:rPr>
                <w:rFonts w:ascii="Times New Roman" w:hAnsi="Times New Roman" w:eastAsia="宋体"/>
                <w:b w:val="0"/>
                <w:i w:val="0"/>
                <w:sz w:val="21"/>
              </w:rPr>
              <w:t>收货数量与收货日期靠收货人自觉核对，超收与日期倒填时有发生</w:t>
            </w:r>
          </w:p>
        </w:tc>
        <w:tc>
          <w:tcPr>
            <w:tcW w:type="dxa" w:w="3572"/>
          </w:tcPr>
          <w:p>
            <w:pPr>
              <w:spacing w:before="20" w:after="20" w:line="276" w:lineRule="auto"/>
              <w:ind w:firstLine="0"/>
            </w:pPr>
            <w:r/>
            <w:r>
              <w:rPr>
                <w:rFonts w:ascii="Times New Roman" w:hAnsi="Times New Roman" w:eastAsia="宋体"/>
                <w:b w:val="0"/>
                <w:i w:val="0"/>
                <w:sz w:val="21"/>
              </w:rPr>
              <w:t>收货确认页内置数量与日期双重校验，超出未收货数量或早于发货日期一律阻止提交</w:t>
            </w:r>
          </w:p>
        </w:tc>
      </w:tr>
      <w:tr>
        <w:tc>
          <w:tcPr>
            <w:tcW w:type="dxa" w:w="1928"/>
          </w:tcPr>
          <w:p>
            <w:pPr>
              <w:spacing w:before="20" w:after="20" w:line="276" w:lineRule="auto"/>
              <w:ind w:firstLine="0"/>
            </w:pPr>
            <w:r/>
            <w:r>
              <w:rPr>
                <w:rFonts w:ascii="Times New Roman" w:hAnsi="Times New Roman" w:eastAsia="宋体"/>
                <w:b w:val="0"/>
                <w:i w:val="0"/>
                <w:sz w:val="21"/>
              </w:rPr>
              <w:t>运输信息录错后难以追溯修改过程</w:t>
            </w:r>
          </w:p>
        </w:tc>
        <w:tc>
          <w:tcPr>
            <w:tcW w:type="dxa" w:w="3572"/>
          </w:tcPr>
          <w:p>
            <w:pPr>
              <w:spacing w:before="20" w:after="20" w:line="276" w:lineRule="auto"/>
              <w:ind w:firstLine="0"/>
            </w:pPr>
            <w:r/>
            <w:r>
              <w:rPr>
                <w:rFonts w:ascii="Times New Roman" w:hAnsi="Times New Roman" w:eastAsia="宋体"/>
                <w:b w:val="0"/>
                <w:i w:val="0"/>
                <w:sz w:val="21"/>
              </w:rPr>
              <w:t>运输信息录错只能电话通知相关方，平台内无变更留痕</w:t>
            </w:r>
          </w:p>
        </w:tc>
        <w:tc>
          <w:tcPr>
            <w:tcW w:type="dxa" w:w="3572"/>
          </w:tcPr>
          <w:p>
            <w:pPr>
              <w:spacing w:before="20" w:after="20" w:line="276" w:lineRule="auto"/>
              <w:ind w:firstLine="0"/>
            </w:pPr>
            <w:r/>
            <w:r>
              <w:rPr>
                <w:rFonts w:ascii="Times New Roman" w:hAnsi="Times New Roman" w:eastAsia="宋体"/>
                <w:b w:val="0"/>
                <w:i w:val="0"/>
                <w:sz w:val="21"/>
              </w:rPr>
              <w:t>运输信息提交后不可编辑，任何角色均不可修改；录错只能作废整条发货单重新登记</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4.9.2　背景与目标</w:t>
      </w:r>
    </w:p>
    <w:tbl>
      <w:tblPr>
        <w:tblStyle w:val="TableGrid"/>
        <w:tblW w:type="auto" w:w="0"/>
        <w:jc w:val="center"/>
        <w:tblLayout w:type="fixed"/>
        <w:tblLook w:firstColumn="1" w:firstRow="1" w:lastColumn="0" w:lastRow="0" w:noHBand="0" w:noVBand="1" w:val="04A0"/>
      </w:tblPr>
      <w:tblGrid>
        <w:gridCol w:w="8958"/>
      </w:tblGrid>
      <w:tr>
        <w:trPr>
          <w:tblHeader w:val="true"/>
        </w:trPr>
        <w:tc>
          <w:tcPr>
            <w:tcW w:type="dxa" w:w="9071"/>
            <w:shd w:val="clear" w:color="auto" w:fill="DCE6F1"/>
          </w:tcPr>
          <w:p>
            <w:pPr>
              <w:spacing w:before="40" w:after="40" w:line="276" w:lineRule="auto"/>
              <w:jc w:val="center"/>
            </w:pPr>
            <w:r/>
            <w:r>
              <w:rPr>
                <w:rFonts w:ascii="Times New Roman" w:hAnsi="Times New Roman" w:eastAsia="黑体"/>
                <w:b/>
                <w:i w:val="0"/>
                <w:sz w:val="21"/>
              </w:rPr>
              <w:t>目标 / 衡量口径</w:t>
            </w:r>
          </w:p>
        </w:tc>
      </w:tr>
      <w:tr>
        <w:tc>
          <w:tcPr>
            <w:tcW w:type="dxa" w:w="9071"/>
          </w:tcPr>
          <w:p>
            <w:pPr>
              <w:spacing w:before="20" w:after="20" w:line="276" w:lineRule="auto"/>
              <w:ind w:firstLine="0"/>
            </w:pPr>
            <w:r/>
            <w:r>
              <w:rPr>
                <w:rFonts w:ascii="Times New Roman" w:hAnsi="Times New Roman" w:eastAsia="宋体"/>
                <w:b w:val="0"/>
                <w:i w:val="0"/>
                <w:sz w:val="21"/>
              </w:rPr>
              <w:t>收发货状态口径全平台统一为 4 态（全部 / 待收货 / 已收货 / 已作废），发货与收货共用同一套状态机</w:t>
            </w:r>
          </w:p>
        </w:tc>
      </w:tr>
      <w:tr>
        <w:tc>
          <w:tcPr>
            <w:tcW w:type="dxa" w:w="9071"/>
          </w:tcPr>
          <w:p>
            <w:pPr>
              <w:spacing w:before="20" w:after="20" w:line="276" w:lineRule="auto"/>
              <w:ind w:firstLine="0"/>
            </w:pPr>
            <w:r/>
            <w:r>
              <w:rPr>
                <w:rFonts w:ascii="Times New Roman" w:hAnsi="Times New Roman" w:eastAsia="宋体"/>
                <w:b w:val="0"/>
                <w:i w:val="0"/>
                <w:sz w:val="21"/>
              </w:rPr>
              <w:t>发货登记与收货确认各形成 6 步线上闭环，运输信息、批次、凭证与收货数量日期全部在系统内留痕</w:t>
            </w:r>
          </w:p>
        </w:tc>
      </w:tr>
      <w:tr>
        <w:tc>
          <w:tcPr>
            <w:tcW w:type="dxa" w:w="9071"/>
          </w:tcPr>
          <w:p>
            <w:pPr>
              <w:spacing w:before="20" w:after="20" w:line="276" w:lineRule="auto"/>
              <w:ind w:firstLine="0"/>
            </w:pPr>
            <w:r/>
            <w:r>
              <w:rPr>
                <w:rFonts w:ascii="Times New Roman" w:hAnsi="Times New Roman" w:eastAsia="宋体"/>
                <w:b w:val="0"/>
                <w:i w:val="0"/>
                <w:sz w:val="21"/>
              </w:rPr>
              <w:t>业务凭证附件必传，单文件大小上限 100MB，未上传时提交按钮禁用</w:t>
            </w:r>
          </w:p>
        </w:tc>
      </w:tr>
      <w:tr>
        <w:tc>
          <w:tcPr>
            <w:tcW w:type="dxa" w:w="9071"/>
          </w:tcPr>
          <w:p>
            <w:pPr>
              <w:spacing w:before="20" w:after="20" w:line="276" w:lineRule="auto"/>
              <w:ind w:firstLine="0"/>
            </w:pPr>
            <w:r/>
            <w:r>
              <w:rPr>
                <w:rFonts w:ascii="Times New Roman" w:hAnsi="Times New Roman" w:eastAsia="宋体"/>
                <w:b w:val="0"/>
                <w:i w:val="0"/>
                <w:sz w:val="21"/>
              </w:rPr>
              <w:t>发货单、提货申请单、提货单、放货指令各单号统一采用前缀加 8 位日期加 4 位流水格式</w:t>
            </w:r>
          </w:p>
        </w:tc>
      </w:tr>
    </w:tbl>
    <w:p>
      <w:pPr>
        <w:spacing w:before="0" w:after="0" w:line="240" w:lineRule="auto"/>
      </w:pPr>
    </w:p>
    <w:p>
      <w:pPr>
        <w:spacing w:before="80" w:after="120" w:line="360" w:lineRule="auto"/>
      </w:pPr>
      <w:r>
        <w:rPr>
          <w:rFonts w:ascii="Times New Roman" w:hAnsi="Times New Roman" w:eastAsia="宋体"/>
          <w:b w:val="0"/>
          <w:i w:val="0"/>
          <w:color w:val="595959"/>
          <w:sz w:val="21"/>
        </w:rPr>
        <w:t>说明：文中口径以业务方已确认结论为准；未确认项集中列于本章末与第 5 章。</w:t>
      </w:r>
    </w:p>
    <w:p>
      <w:pPr>
        <w:pStyle w:val="Heading3"/>
        <w:keepNext/>
        <w:spacing w:before="160" w:after="80" w:line="312" w:lineRule="auto"/>
        <w:ind w:firstLine="0"/>
      </w:pPr>
      <w:r>
        <w:rPr>
          <w:rFonts w:ascii="Times New Roman" w:hAnsi="Times New Roman" w:eastAsia="黑体"/>
          <w:b/>
          <w:i w:val="0"/>
          <w:sz w:val="24"/>
        </w:rPr>
        <w:t>4.9.3　角色与用户需求</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361"/>
            <w:shd w:val="clear" w:color="auto" w:fill="DCE6F1"/>
          </w:tcPr>
          <w:p>
            <w:pPr>
              <w:spacing w:before="40" w:after="40" w:line="276" w:lineRule="auto"/>
              <w:jc w:val="center"/>
            </w:pPr>
            <w:r/>
            <w:r>
              <w:rPr>
                <w:rFonts w:ascii="Times New Roman" w:hAnsi="Times New Roman" w:eastAsia="黑体"/>
                <w:b/>
                <w:i w:val="0"/>
                <w:sz w:val="21"/>
              </w:rPr>
              <w:t>角色</w:t>
            </w:r>
          </w:p>
        </w:tc>
        <w:tc>
          <w:tcPr>
            <w:tcW w:type="dxa" w:w="1247"/>
            <w:shd w:val="clear" w:color="auto" w:fill="DCE6F1"/>
          </w:tcPr>
          <w:p>
            <w:pPr>
              <w:spacing w:before="40" w:after="40" w:line="276" w:lineRule="auto"/>
              <w:jc w:val="center"/>
            </w:pPr>
            <w:r/>
            <w:r>
              <w:rPr>
                <w:rFonts w:ascii="Times New Roman" w:hAnsi="Times New Roman" w:eastAsia="黑体"/>
                <w:b/>
                <w:i w:val="0"/>
                <w:sz w:val="21"/>
              </w:rPr>
              <w:t>所属部门</w:t>
            </w:r>
          </w:p>
        </w:tc>
        <w:tc>
          <w:tcPr>
            <w:tcW w:type="dxa" w:w="6463"/>
            <w:shd w:val="clear" w:color="auto" w:fill="DCE6F1"/>
          </w:tcPr>
          <w:p>
            <w:pPr>
              <w:spacing w:before="40" w:after="40" w:line="276" w:lineRule="auto"/>
              <w:jc w:val="center"/>
            </w:pPr>
            <w:r/>
            <w:r>
              <w:rPr>
                <w:rFonts w:ascii="Times New Roman" w:hAnsi="Times New Roman" w:eastAsia="黑体"/>
                <w:b/>
                <w:i w:val="0"/>
                <w:sz w:val="21"/>
              </w:rPr>
              <w:t>用户需求（我要…以便…）</w:t>
            </w:r>
          </w:p>
        </w:tc>
      </w:tr>
      <w:tr>
        <w:tc>
          <w:tcPr>
            <w:tcW w:type="dxa" w:w="1361"/>
          </w:tcPr>
          <w:p>
            <w:pPr>
              <w:spacing w:before="20" w:after="20" w:line="276" w:lineRule="auto"/>
              <w:ind w:firstLine="0"/>
            </w:pPr>
            <w:r/>
            <w:r>
              <w:rPr>
                <w:rFonts w:ascii="Times New Roman" w:hAnsi="Times New Roman" w:eastAsia="宋体"/>
                <w:b w:val="0"/>
                <w:i w:val="0"/>
                <w:sz w:val="21"/>
              </w:rPr>
              <w:t>库管员</w:t>
            </w:r>
          </w:p>
        </w:tc>
        <w:tc>
          <w:tcPr>
            <w:tcW w:type="dxa" w:w="1247"/>
          </w:tcPr>
          <w:p>
            <w:pPr>
              <w:spacing w:before="20" w:after="20" w:line="276" w:lineRule="auto"/>
              <w:ind w:firstLine="0"/>
            </w:pPr>
            <w:r/>
            <w:r>
              <w:rPr>
                <w:rFonts w:ascii="Times New Roman" w:hAnsi="Times New Roman" w:eastAsia="宋体"/>
                <w:b w:val="0"/>
                <w:i w:val="0"/>
                <w:sz w:val="21"/>
              </w:rPr>
              <w:t>仓储条线</w:t>
            </w:r>
          </w:p>
        </w:tc>
        <w:tc>
          <w:tcPr>
            <w:tcW w:type="dxa" w:w="6463"/>
          </w:tcPr>
          <w:p>
            <w:pPr>
              <w:spacing w:before="20" w:after="20" w:line="276" w:lineRule="auto"/>
              <w:ind w:firstLine="0"/>
            </w:pPr>
            <w:r/>
            <w:r>
              <w:rPr>
                <w:rFonts w:ascii="Times New Roman" w:hAnsi="Times New Roman" w:eastAsia="宋体"/>
                <w:b w:val="0"/>
                <w:i w:val="0"/>
                <w:sz w:val="21"/>
              </w:rPr>
              <w:t>我要在收货管理查看待收货货物并确认收货，以便货物入库有据可查</w:t>
            </w:r>
          </w:p>
        </w:tc>
      </w:tr>
      <w:tr>
        <w:tc>
          <w:tcPr>
            <w:tcW w:type="dxa" w:w="1361"/>
          </w:tcPr>
          <w:p>
            <w:pPr>
              <w:spacing w:before="20" w:after="20" w:line="276" w:lineRule="auto"/>
              <w:ind w:firstLine="0"/>
            </w:pPr>
            <w:r/>
            <w:r>
              <w:rPr>
                <w:rFonts w:ascii="Times New Roman" w:hAnsi="Times New Roman" w:eastAsia="宋体"/>
                <w:b w:val="0"/>
                <w:i w:val="0"/>
                <w:sz w:val="21"/>
              </w:rPr>
              <w:t>仓储员</w:t>
            </w:r>
          </w:p>
        </w:tc>
        <w:tc>
          <w:tcPr>
            <w:tcW w:type="dxa" w:w="1247"/>
          </w:tcPr>
          <w:p>
            <w:pPr>
              <w:spacing w:before="20" w:after="20" w:line="276" w:lineRule="auto"/>
              <w:ind w:firstLine="0"/>
            </w:pPr>
            <w:r/>
            <w:r>
              <w:rPr>
                <w:rFonts w:ascii="Times New Roman" w:hAnsi="Times New Roman" w:eastAsia="宋体"/>
                <w:b w:val="0"/>
                <w:i w:val="0"/>
                <w:sz w:val="21"/>
              </w:rPr>
              <w:t>仓储条线</w:t>
            </w:r>
          </w:p>
        </w:tc>
        <w:tc>
          <w:tcPr>
            <w:tcW w:type="dxa" w:w="6463"/>
          </w:tcPr>
          <w:p>
            <w:pPr>
              <w:spacing w:before="20" w:after="20" w:line="276" w:lineRule="auto"/>
              <w:ind w:firstLine="0"/>
            </w:pPr>
            <w:r/>
            <w:r>
              <w:rPr>
                <w:rFonts w:ascii="Times New Roman" w:hAnsi="Times New Roman" w:eastAsia="宋体"/>
                <w:b w:val="0"/>
                <w:i w:val="0"/>
                <w:sz w:val="21"/>
              </w:rPr>
              <w:t>我要查看发货与收货清单，以便按现场单据核对数量</w:t>
            </w:r>
          </w:p>
        </w:tc>
      </w:tr>
      <w:tr>
        <w:tc>
          <w:tcPr>
            <w:tcW w:type="dxa" w:w="1361"/>
          </w:tcPr>
          <w:p>
            <w:pPr>
              <w:spacing w:before="20" w:after="20" w:line="276" w:lineRule="auto"/>
              <w:ind w:firstLine="0"/>
            </w:pPr>
            <w:r/>
            <w:r>
              <w:rPr>
                <w:rFonts w:ascii="Times New Roman" w:hAnsi="Times New Roman" w:eastAsia="宋体"/>
                <w:b w:val="0"/>
                <w:i w:val="0"/>
                <w:sz w:val="21"/>
              </w:rPr>
              <w:t>业务员</w:t>
            </w:r>
          </w:p>
        </w:tc>
        <w:tc>
          <w:tcPr>
            <w:tcW w:type="dxa" w:w="1247"/>
          </w:tcPr>
          <w:p>
            <w:pPr>
              <w:spacing w:before="20" w:after="20" w:line="276" w:lineRule="auto"/>
              <w:ind w:firstLine="0"/>
            </w:pPr>
            <w:r/>
            <w:r>
              <w:rPr>
                <w:rFonts w:ascii="Times New Roman" w:hAnsi="Times New Roman" w:eastAsia="宋体"/>
                <w:b w:val="0"/>
                <w:i w:val="0"/>
                <w:sz w:val="21"/>
              </w:rPr>
              <w:t>业务部</w:t>
            </w:r>
          </w:p>
        </w:tc>
        <w:tc>
          <w:tcPr>
            <w:tcW w:type="dxa" w:w="6463"/>
          </w:tcPr>
          <w:p>
            <w:pPr>
              <w:spacing w:before="20" w:after="20" w:line="276" w:lineRule="auto"/>
              <w:ind w:firstLine="0"/>
            </w:pPr>
            <w:r/>
            <w:r>
              <w:rPr>
                <w:rFonts w:ascii="Times New Roman" w:hAnsi="Times New Roman" w:eastAsia="宋体"/>
                <w:b w:val="0"/>
                <w:i w:val="0"/>
                <w:sz w:val="21"/>
              </w:rPr>
              <w:t>我要登记发货数据并发起收货确认，以便货物流转在系统内形成闭环</w:t>
            </w:r>
          </w:p>
        </w:tc>
      </w:tr>
      <w:tr>
        <w:tc>
          <w:tcPr>
            <w:tcW w:type="dxa" w:w="1361"/>
          </w:tcPr>
          <w:p>
            <w:pPr>
              <w:spacing w:before="20" w:after="20" w:line="276" w:lineRule="auto"/>
              <w:ind w:firstLine="0"/>
            </w:pPr>
            <w:r/>
            <w:r>
              <w:rPr>
                <w:rFonts w:ascii="Times New Roman" w:hAnsi="Times New Roman" w:eastAsia="宋体"/>
                <w:b w:val="0"/>
                <w:i w:val="0"/>
                <w:sz w:val="21"/>
              </w:rPr>
              <w:t>业务负责人</w:t>
            </w:r>
          </w:p>
        </w:tc>
        <w:tc>
          <w:tcPr>
            <w:tcW w:type="dxa" w:w="1247"/>
          </w:tcPr>
          <w:p>
            <w:pPr>
              <w:spacing w:before="20" w:after="20" w:line="276" w:lineRule="auto"/>
              <w:ind w:firstLine="0"/>
            </w:pPr>
            <w:r/>
            <w:r>
              <w:rPr>
                <w:rFonts w:ascii="Times New Roman" w:hAnsi="Times New Roman" w:eastAsia="宋体"/>
                <w:b w:val="0"/>
                <w:i w:val="0"/>
                <w:sz w:val="21"/>
              </w:rPr>
              <w:t>业务部</w:t>
            </w:r>
          </w:p>
        </w:tc>
        <w:tc>
          <w:tcPr>
            <w:tcW w:type="dxa" w:w="6463"/>
          </w:tcPr>
          <w:p>
            <w:pPr>
              <w:spacing w:before="20" w:after="20" w:line="276" w:lineRule="auto"/>
              <w:ind w:firstLine="0"/>
            </w:pPr>
            <w:r/>
            <w:r>
              <w:rPr>
                <w:rFonts w:ascii="Times New Roman" w:hAnsi="Times New Roman" w:eastAsia="宋体"/>
                <w:b w:val="0"/>
                <w:i w:val="0"/>
                <w:sz w:val="21"/>
              </w:rPr>
              <w:t>我要在发货收货出错时作废单据，以便纠正错误而不留脏数据</w:t>
            </w:r>
          </w:p>
        </w:tc>
      </w:tr>
      <w:tr>
        <w:tc>
          <w:tcPr>
            <w:tcW w:type="dxa" w:w="1361"/>
          </w:tcPr>
          <w:p>
            <w:pPr>
              <w:spacing w:before="20" w:after="20" w:line="276" w:lineRule="auto"/>
              <w:ind w:firstLine="0"/>
            </w:pPr>
            <w:r/>
            <w:r>
              <w:rPr>
                <w:rFonts w:ascii="Times New Roman" w:hAnsi="Times New Roman" w:eastAsia="宋体"/>
                <w:b w:val="0"/>
                <w:i w:val="0"/>
                <w:sz w:val="21"/>
              </w:rPr>
              <w:t>风控</w:t>
            </w:r>
          </w:p>
        </w:tc>
        <w:tc>
          <w:tcPr>
            <w:tcW w:type="dxa" w:w="1247"/>
          </w:tcPr>
          <w:p>
            <w:pPr>
              <w:spacing w:before="20" w:after="20" w:line="276" w:lineRule="auto"/>
              <w:ind w:firstLine="0"/>
            </w:pPr>
            <w:r/>
            <w:r>
              <w:rPr>
                <w:rFonts w:ascii="Times New Roman" w:hAnsi="Times New Roman" w:eastAsia="宋体"/>
                <w:b w:val="0"/>
                <w:i w:val="0"/>
                <w:sz w:val="21"/>
              </w:rPr>
              <w:t>风控部</w:t>
            </w:r>
          </w:p>
        </w:tc>
        <w:tc>
          <w:tcPr>
            <w:tcW w:type="dxa" w:w="6463"/>
          </w:tcPr>
          <w:p>
            <w:pPr>
              <w:spacing w:before="20" w:after="20" w:line="276" w:lineRule="auto"/>
              <w:ind w:firstLine="0"/>
            </w:pPr>
            <w:r/>
            <w:r>
              <w:rPr>
                <w:rFonts w:ascii="Times New Roman" w:hAnsi="Times New Roman" w:eastAsia="宋体"/>
                <w:b w:val="0"/>
                <w:i w:val="0"/>
                <w:sz w:val="21"/>
              </w:rPr>
              <w:t>我要在下游提货前完成风控校验，以便拦截有风险的放货</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4.9.4　功能结构与范围</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474"/>
            <w:shd w:val="clear" w:color="auto" w:fill="DCE6F1"/>
          </w:tcPr>
          <w:p>
            <w:pPr>
              <w:spacing w:before="40" w:after="40" w:line="276" w:lineRule="auto"/>
              <w:jc w:val="center"/>
            </w:pPr>
            <w:r/>
            <w:r>
              <w:rPr>
                <w:rFonts w:ascii="Times New Roman" w:hAnsi="Times New Roman" w:eastAsia="黑体"/>
                <w:b/>
                <w:i w:val="0"/>
                <w:sz w:val="21"/>
              </w:rPr>
              <w:t>功能</w:t>
            </w:r>
          </w:p>
        </w:tc>
        <w:tc>
          <w:tcPr>
            <w:tcW w:type="dxa" w:w="3175"/>
            <w:shd w:val="clear" w:color="auto" w:fill="DCE6F1"/>
          </w:tcPr>
          <w:p>
            <w:pPr>
              <w:spacing w:before="40" w:after="40" w:line="276" w:lineRule="auto"/>
              <w:jc w:val="center"/>
            </w:pPr>
            <w:r/>
            <w:r>
              <w:rPr>
                <w:rFonts w:ascii="Times New Roman" w:hAnsi="Times New Roman" w:eastAsia="黑体"/>
                <w:b/>
                <w:i w:val="0"/>
                <w:sz w:val="21"/>
              </w:rPr>
              <w:t>功能说明</w:t>
            </w:r>
          </w:p>
        </w:tc>
        <w:tc>
          <w:tcPr>
            <w:tcW w:type="dxa" w:w="4422"/>
            <w:shd w:val="clear" w:color="auto" w:fill="DCE6F1"/>
          </w:tcPr>
          <w:p>
            <w:pPr>
              <w:spacing w:before="40" w:after="40" w:line="276" w:lineRule="auto"/>
              <w:jc w:val="center"/>
            </w:pPr>
            <w:r/>
            <w:r>
              <w:rPr>
                <w:rFonts w:ascii="Times New Roman" w:hAnsi="Times New Roman" w:eastAsia="黑体"/>
                <w:b/>
                <w:i w:val="0"/>
                <w:sz w:val="21"/>
              </w:rPr>
              <w:t>关键规则</w:t>
            </w:r>
          </w:p>
        </w:tc>
      </w:tr>
      <w:tr>
        <w:tc>
          <w:tcPr>
            <w:tcW w:type="dxa" w:w="1474"/>
          </w:tcPr>
          <w:p>
            <w:pPr>
              <w:spacing w:before="20" w:after="20" w:line="276" w:lineRule="auto"/>
              <w:ind w:firstLine="0"/>
            </w:pPr>
            <w:r/>
            <w:r>
              <w:rPr>
                <w:rFonts w:ascii="Times New Roman" w:hAnsi="Times New Roman" w:eastAsia="宋体"/>
                <w:b w:val="0"/>
                <w:i w:val="0"/>
                <w:sz w:val="21"/>
              </w:rPr>
              <w:t>发货登记六步流程</w:t>
            </w:r>
          </w:p>
        </w:tc>
        <w:tc>
          <w:tcPr>
            <w:tcW w:type="dxa" w:w="3175"/>
          </w:tcPr>
          <w:p>
            <w:pPr>
              <w:spacing w:before="20" w:after="20" w:line="276" w:lineRule="auto"/>
              <w:ind w:firstLine="0"/>
            </w:pPr>
            <w:r/>
            <w:r>
              <w:rPr>
                <w:rFonts w:ascii="Times New Roman" w:hAnsi="Times New Roman" w:eastAsia="宋体"/>
                <w:b w:val="0"/>
                <w:i w:val="0"/>
                <w:sz w:val="21"/>
              </w:rPr>
              <w:t>业务员从发货管理登记入口出发，依次完成登记类型、合同选择、发货信息、运输信息与凭证上传</w:t>
            </w:r>
          </w:p>
        </w:tc>
        <w:tc>
          <w:tcPr>
            <w:tcW w:type="dxa" w:w="4422"/>
          </w:tcPr>
          <w:p>
            <w:pPr>
              <w:spacing w:before="20" w:after="20" w:line="276" w:lineRule="auto"/>
              <w:ind w:firstLine="0"/>
            </w:pPr>
            <w:r/>
            <w:r>
              <w:rPr>
                <w:rFonts w:ascii="Times New Roman" w:hAnsi="Times New Roman" w:eastAsia="宋体"/>
                <w:b w:val="0"/>
                <w:i w:val="0"/>
                <w:sz w:val="21"/>
              </w:rPr>
              <w:t>登记类型为采购或销售二选一；合同单选且须为执行中状态；第 4 步发货信息含运输方式、发货批次、发货数量、发货日期、发货地址、收货地址、货运车数；第 5 步运输信息支持新增多条，含车牌号码、装车数量、发车时间、预计到站时间、运单号；提交后合同状态转待收货</w:t>
            </w:r>
          </w:p>
        </w:tc>
      </w:tr>
      <w:tr>
        <w:tc>
          <w:tcPr>
            <w:tcW w:type="dxa" w:w="1474"/>
          </w:tcPr>
          <w:p>
            <w:pPr>
              <w:spacing w:before="20" w:after="20" w:line="276" w:lineRule="auto"/>
              <w:ind w:firstLine="0"/>
            </w:pPr>
            <w:r/>
            <w:r>
              <w:rPr>
                <w:rFonts w:ascii="Times New Roman" w:hAnsi="Times New Roman" w:eastAsia="宋体"/>
                <w:b w:val="0"/>
                <w:i w:val="0"/>
                <w:sz w:val="21"/>
              </w:rPr>
              <w:t>运输方式与合同一致性校验</w:t>
            </w:r>
          </w:p>
        </w:tc>
        <w:tc>
          <w:tcPr>
            <w:tcW w:type="dxa" w:w="3175"/>
          </w:tcPr>
          <w:p>
            <w:pPr>
              <w:spacing w:before="20" w:after="20" w:line="276" w:lineRule="auto"/>
              <w:ind w:firstLine="0"/>
            </w:pPr>
            <w:r/>
            <w:r>
              <w:rPr>
                <w:rFonts w:ascii="Times New Roman" w:hAnsi="Times New Roman" w:eastAsia="宋体"/>
                <w:b w:val="0"/>
                <w:i w:val="0"/>
                <w:sz w:val="21"/>
              </w:rPr>
              <w:t>发货登记时选择的运输方式必须与合同登记的货运方式一致</w:t>
            </w:r>
          </w:p>
        </w:tc>
        <w:tc>
          <w:tcPr>
            <w:tcW w:type="dxa" w:w="4422"/>
          </w:tcPr>
          <w:p>
            <w:pPr>
              <w:spacing w:before="20" w:after="20" w:line="276" w:lineRule="auto"/>
              <w:ind w:firstLine="0"/>
            </w:pPr>
            <w:r/>
            <w:r>
              <w:rPr>
                <w:rFonts w:ascii="Times New Roman" w:hAnsi="Times New Roman" w:eastAsia="宋体"/>
                <w:b w:val="0"/>
                <w:i w:val="0"/>
                <w:sz w:val="21"/>
              </w:rPr>
              <w:t>运输方式取值为汽车、火车、船三选一；与合同货运方式不一致时红字提示运输方式必须与合同一致；火车运输时铁路运单号必填，未上传时阻止提交并提示火车运输必须上传铁路运单</w:t>
            </w:r>
          </w:p>
        </w:tc>
      </w:tr>
      <w:tr>
        <w:tc>
          <w:tcPr>
            <w:tcW w:type="dxa" w:w="1474"/>
          </w:tcPr>
          <w:p>
            <w:pPr>
              <w:spacing w:before="20" w:after="20" w:line="276" w:lineRule="auto"/>
              <w:ind w:firstLine="0"/>
            </w:pPr>
            <w:r/>
            <w:r>
              <w:rPr>
                <w:rFonts w:ascii="Times New Roman" w:hAnsi="Times New Roman" w:eastAsia="宋体"/>
                <w:b w:val="0"/>
                <w:i w:val="0"/>
                <w:sz w:val="21"/>
              </w:rPr>
              <w:t>多批次与多式联运分段</w:t>
            </w:r>
          </w:p>
        </w:tc>
        <w:tc>
          <w:tcPr>
            <w:tcW w:type="dxa" w:w="3175"/>
          </w:tcPr>
          <w:p>
            <w:pPr>
              <w:spacing w:before="20" w:after="20" w:line="276" w:lineRule="auto"/>
              <w:ind w:firstLine="0"/>
            </w:pPr>
            <w:r/>
            <w:r>
              <w:rPr>
                <w:rFonts w:ascii="Times New Roman" w:hAnsi="Times New Roman" w:eastAsia="宋体"/>
                <w:b w:val="0"/>
                <w:i w:val="0"/>
                <w:sz w:val="21"/>
              </w:rPr>
              <w:t>发货支持单批次发货与多批次发货两种模式，同一发货单可拆分为多段运输</w:t>
            </w:r>
          </w:p>
        </w:tc>
        <w:tc>
          <w:tcPr>
            <w:tcW w:type="dxa" w:w="4422"/>
          </w:tcPr>
          <w:p>
            <w:pPr>
              <w:spacing w:before="20" w:after="20" w:line="276" w:lineRule="auto"/>
              <w:ind w:firstLine="0"/>
            </w:pPr>
            <w:r/>
            <w:r>
              <w:rPr>
                <w:rFonts w:ascii="Times New Roman" w:hAnsi="Times New Roman" w:eastAsia="宋体"/>
                <w:b w:val="0"/>
                <w:i w:val="0"/>
                <w:sz w:val="21"/>
              </w:rPr>
              <w:t>多段运输以分行显示实现，每段一行运输信息，不新建分段载体表，也不新增分段序号与各段起止地字段</w:t>
            </w:r>
          </w:p>
        </w:tc>
      </w:tr>
      <w:tr>
        <w:tc>
          <w:tcPr>
            <w:tcW w:type="dxa" w:w="1474"/>
          </w:tcPr>
          <w:p>
            <w:pPr>
              <w:spacing w:before="20" w:after="20" w:line="276" w:lineRule="auto"/>
              <w:ind w:firstLine="0"/>
            </w:pPr>
            <w:r/>
            <w:r>
              <w:rPr>
                <w:rFonts w:ascii="Times New Roman" w:hAnsi="Times New Roman" w:eastAsia="宋体"/>
                <w:b w:val="0"/>
                <w:i w:val="0"/>
                <w:sz w:val="21"/>
              </w:rPr>
              <w:t>收货确认六步流程</w:t>
            </w:r>
          </w:p>
        </w:tc>
        <w:tc>
          <w:tcPr>
            <w:tcW w:type="dxa" w:w="3175"/>
          </w:tcPr>
          <w:p>
            <w:pPr>
              <w:spacing w:before="20" w:after="20" w:line="276" w:lineRule="auto"/>
              <w:ind w:firstLine="0"/>
            </w:pPr>
            <w:r/>
            <w:r>
              <w:rPr>
                <w:rFonts w:ascii="Times New Roman" w:hAnsi="Times New Roman" w:eastAsia="宋体"/>
                <w:b w:val="0"/>
                <w:i w:val="0"/>
                <w:sz w:val="21"/>
              </w:rPr>
              <w:t>从收货管理找到待收货货物，进入确认收货页后填写收货信息并提交</w:t>
            </w:r>
          </w:p>
        </w:tc>
        <w:tc>
          <w:tcPr>
            <w:tcW w:type="dxa" w:w="4422"/>
          </w:tcPr>
          <w:p>
            <w:pPr>
              <w:spacing w:before="20" w:after="20" w:line="276" w:lineRule="auto"/>
              <w:ind w:firstLine="0"/>
            </w:pPr>
            <w:r/>
            <w:r>
              <w:rPr>
                <w:rFonts w:ascii="Times New Roman" w:hAnsi="Times New Roman" w:eastAsia="宋体"/>
                <w:b w:val="0"/>
                <w:i w:val="0"/>
                <w:sz w:val="21"/>
              </w:rPr>
              <w:t>选择对应的发货信息可多选；收货方式为全部收货或部分收货二选一；收货数量与收货日期均必填；提交后发货单状态转已收货，部分收货不产生独立状态，在列表中仍显示为待收货</w:t>
            </w:r>
          </w:p>
        </w:tc>
      </w:tr>
      <w:tr>
        <w:tc>
          <w:tcPr>
            <w:tcW w:type="dxa" w:w="1474"/>
          </w:tcPr>
          <w:p>
            <w:pPr>
              <w:spacing w:before="20" w:after="20" w:line="276" w:lineRule="auto"/>
              <w:ind w:firstLine="0"/>
            </w:pPr>
            <w:r/>
            <w:r>
              <w:rPr>
                <w:rFonts w:ascii="Times New Roman" w:hAnsi="Times New Roman" w:eastAsia="宋体"/>
                <w:b w:val="0"/>
                <w:i w:val="0"/>
                <w:sz w:val="21"/>
              </w:rPr>
              <w:t>收货数量与日期校验</w:t>
            </w:r>
          </w:p>
        </w:tc>
        <w:tc>
          <w:tcPr>
            <w:tcW w:type="dxa" w:w="3175"/>
          </w:tcPr>
          <w:p>
            <w:pPr>
              <w:spacing w:before="20" w:after="20" w:line="276" w:lineRule="auto"/>
              <w:ind w:firstLine="0"/>
            </w:pPr>
            <w:r/>
            <w:r>
              <w:rPr>
                <w:rFonts w:ascii="Times New Roman" w:hAnsi="Times New Roman" w:eastAsia="宋体"/>
                <w:b w:val="0"/>
                <w:i w:val="0"/>
                <w:sz w:val="21"/>
              </w:rPr>
              <w:t>收货确认页对数量与日期做双重校验</w:t>
            </w:r>
          </w:p>
        </w:tc>
        <w:tc>
          <w:tcPr>
            <w:tcW w:type="dxa" w:w="4422"/>
          </w:tcPr>
          <w:p>
            <w:pPr>
              <w:spacing w:before="20" w:after="20" w:line="276" w:lineRule="auto"/>
              <w:ind w:firstLine="0"/>
            </w:pPr>
            <w:r/>
            <w:r>
              <w:rPr>
                <w:rFonts w:ascii="Times New Roman" w:hAnsi="Times New Roman" w:eastAsia="宋体"/>
                <w:b w:val="0"/>
                <w:i w:val="0"/>
                <w:sz w:val="21"/>
              </w:rPr>
              <w:t>收货数量不得大于发货数量减已收货数量，否则红字提示收货数量不能大于发货数量 - 已收货数量；收货日期不得早于发货日期，否则红字提示收货日期不能早于发货日期；已收货或已作废的发货单再次收货时顶部红色条提示该发货单已收货/已作废并阻止</w:t>
            </w:r>
          </w:p>
        </w:tc>
      </w:tr>
      <w:tr>
        <w:tc>
          <w:tcPr>
            <w:tcW w:type="dxa" w:w="1474"/>
          </w:tcPr>
          <w:p>
            <w:pPr>
              <w:spacing w:before="20" w:after="20" w:line="276" w:lineRule="auto"/>
              <w:ind w:firstLine="0"/>
            </w:pPr>
            <w:r/>
            <w:r>
              <w:rPr>
                <w:rFonts w:ascii="Times New Roman" w:hAnsi="Times New Roman" w:eastAsia="宋体"/>
                <w:b w:val="0"/>
                <w:i w:val="0"/>
                <w:sz w:val="21"/>
              </w:rPr>
              <w:t>业务凭证附件强制上传</w:t>
            </w:r>
          </w:p>
        </w:tc>
        <w:tc>
          <w:tcPr>
            <w:tcW w:type="dxa" w:w="3175"/>
          </w:tcPr>
          <w:p>
            <w:pPr>
              <w:spacing w:before="20" w:after="20" w:line="276" w:lineRule="auto"/>
              <w:ind w:firstLine="0"/>
            </w:pPr>
            <w:r/>
            <w:r>
              <w:rPr>
                <w:rFonts w:ascii="Times New Roman" w:hAnsi="Times New Roman" w:eastAsia="宋体"/>
                <w:b w:val="0"/>
                <w:i w:val="0"/>
                <w:sz w:val="21"/>
              </w:rPr>
              <w:t>发货登记第 6 步必须上传业务凭证附件，附件行按运输方式条件显示</w:t>
            </w:r>
          </w:p>
        </w:tc>
        <w:tc>
          <w:tcPr>
            <w:tcW w:type="dxa" w:w="4422"/>
          </w:tcPr>
          <w:p>
            <w:pPr>
              <w:spacing w:before="20" w:after="20" w:line="276" w:lineRule="auto"/>
              <w:ind w:firstLine="0"/>
            </w:pPr>
            <w:r/>
            <w:r>
              <w:rPr>
                <w:rFonts w:ascii="Times New Roman" w:hAnsi="Times New Roman" w:eastAsia="宋体"/>
                <w:b w:val="0"/>
                <w:i w:val="0"/>
                <w:sz w:val="21"/>
              </w:rPr>
              <w:t>附件类型限定为铁路运单、车辆照片、质检报告三类；单文件大小上限 100MB；未上传凭证附件时提交按钮禁用并红字提示，不弹确认框</w:t>
            </w:r>
          </w:p>
        </w:tc>
      </w:tr>
      <w:tr>
        <w:tc>
          <w:tcPr>
            <w:tcW w:type="dxa" w:w="1474"/>
          </w:tcPr>
          <w:p>
            <w:pPr>
              <w:spacing w:before="20" w:after="20" w:line="276" w:lineRule="auto"/>
              <w:ind w:firstLine="0"/>
            </w:pPr>
            <w:r/>
            <w:r>
              <w:rPr>
                <w:rFonts w:ascii="Times New Roman" w:hAnsi="Times New Roman" w:eastAsia="宋体"/>
                <w:b w:val="0"/>
                <w:i w:val="0"/>
                <w:sz w:val="21"/>
              </w:rPr>
              <w:t>下游提货的校验链</w:t>
            </w:r>
          </w:p>
        </w:tc>
        <w:tc>
          <w:tcPr>
            <w:tcW w:type="dxa" w:w="3175"/>
          </w:tcPr>
          <w:p>
            <w:pPr>
              <w:spacing w:before="20" w:after="20" w:line="276" w:lineRule="auto"/>
              <w:ind w:firstLine="0"/>
            </w:pPr>
            <w:r/>
            <w:r>
              <w:rPr>
                <w:rFonts w:ascii="Times New Roman" w:hAnsi="Times New Roman" w:eastAsia="宋体"/>
                <w:b w:val="0"/>
                <w:i w:val="0"/>
                <w:sz w:val="21"/>
              </w:rPr>
              <w:t>下游方向的提货申请需依次通过回款校验、风控校验与财务审批才能放货</w:t>
            </w:r>
          </w:p>
        </w:tc>
        <w:tc>
          <w:tcPr>
            <w:tcW w:type="dxa" w:w="4422"/>
          </w:tcPr>
          <w:p>
            <w:pPr>
              <w:spacing w:before="20" w:after="20" w:line="276" w:lineRule="auto"/>
              <w:ind w:firstLine="0"/>
            </w:pPr>
            <w:r/>
            <w:r>
              <w:rPr>
                <w:rFonts w:ascii="Times New Roman" w:hAnsi="Times New Roman" w:eastAsia="宋体"/>
                <w:b w:val="0"/>
                <w:i w:val="0"/>
                <w:sz w:val="21"/>
              </w:rPr>
              <w:t>回款校验比对提货金额与销售合同实际登记的回款金额，回款金额仅取自销售合同回款登记数据，与客户额度无关；回款不足、客户被冻结、命中黑名单、风控不通过、财务驳回一律阻止该笔业务，收发货不产生已驳回状态</w:t>
            </w:r>
          </w:p>
        </w:tc>
      </w:tr>
      <w:tr>
        <w:tc>
          <w:tcPr>
            <w:tcW w:type="dxa" w:w="1474"/>
          </w:tcPr>
          <w:p>
            <w:pPr>
              <w:spacing w:before="20" w:after="20" w:line="276" w:lineRule="auto"/>
              <w:ind w:firstLine="0"/>
            </w:pPr>
            <w:r/>
            <w:r>
              <w:rPr>
                <w:rFonts w:ascii="Times New Roman" w:hAnsi="Times New Roman" w:eastAsia="宋体"/>
                <w:b w:val="0"/>
                <w:i w:val="0"/>
                <w:sz w:val="21"/>
              </w:rPr>
              <w:t>作废与不可逆终态</w:t>
            </w:r>
          </w:p>
        </w:tc>
        <w:tc>
          <w:tcPr>
            <w:tcW w:type="dxa" w:w="3175"/>
          </w:tcPr>
          <w:p>
            <w:pPr>
              <w:spacing w:before="20" w:after="20" w:line="276" w:lineRule="auto"/>
              <w:ind w:firstLine="0"/>
            </w:pPr>
            <w:r/>
            <w:r>
              <w:rPr>
                <w:rFonts w:ascii="Times New Roman" w:hAnsi="Times New Roman" w:eastAsia="宋体"/>
                <w:b w:val="0"/>
                <w:i w:val="0"/>
                <w:sz w:val="21"/>
              </w:rPr>
              <w:t>发货登记与收货登记各操作流均提供作废入口，作废后进入已作废状态</w:t>
            </w:r>
          </w:p>
        </w:tc>
        <w:tc>
          <w:tcPr>
            <w:tcW w:type="dxa" w:w="4422"/>
          </w:tcPr>
          <w:p>
            <w:pPr>
              <w:spacing w:before="20" w:after="20" w:line="276" w:lineRule="auto"/>
              <w:ind w:firstLine="0"/>
            </w:pPr>
            <w:r/>
            <w:r>
              <w:rPr>
                <w:rFonts w:ascii="Times New Roman" w:hAnsi="Times New Roman" w:eastAsia="宋体"/>
                <w:b w:val="0"/>
                <w:i w:val="0"/>
                <w:sz w:val="21"/>
              </w:rPr>
              <w:t>已作废为收发货各操作流共用的终态且不可再激活；已收货的数据同样可作废；作废需二次确认，提示作废后不可恢复，确定作废该发货单</w:t>
            </w:r>
          </w:p>
        </w:tc>
      </w:tr>
      <w:tr>
        <w:tc>
          <w:tcPr>
            <w:tcW w:type="dxa" w:w="1474"/>
          </w:tcPr>
          <w:p>
            <w:pPr>
              <w:spacing w:before="20" w:after="20" w:line="276" w:lineRule="auto"/>
              <w:ind w:firstLine="0"/>
            </w:pPr>
            <w:r/>
            <w:r>
              <w:rPr>
                <w:rFonts w:ascii="Times New Roman" w:hAnsi="Times New Roman" w:eastAsia="宋体"/>
                <w:b w:val="0"/>
                <w:i w:val="0"/>
                <w:sz w:val="21"/>
              </w:rPr>
              <w:t>运输信息提交后不可编辑</w:t>
            </w:r>
          </w:p>
        </w:tc>
        <w:tc>
          <w:tcPr>
            <w:tcW w:type="dxa" w:w="3175"/>
          </w:tcPr>
          <w:p>
            <w:pPr>
              <w:spacing w:before="20" w:after="20" w:line="276" w:lineRule="auto"/>
              <w:ind w:firstLine="0"/>
            </w:pPr>
            <w:r/>
            <w:r>
              <w:rPr>
                <w:rFonts w:ascii="Times New Roman" w:hAnsi="Times New Roman" w:eastAsia="宋体"/>
                <w:b w:val="0"/>
                <w:i w:val="0"/>
                <w:sz w:val="21"/>
              </w:rPr>
              <w:t>发货登记提交后，已录入的运输信息任何角色均不可再修改</w:t>
            </w:r>
          </w:p>
        </w:tc>
        <w:tc>
          <w:tcPr>
            <w:tcW w:type="dxa" w:w="4422"/>
          </w:tcPr>
          <w:p>
            <w:pPr>
              <w:spacing w:before="20" w:after="20" w:line="276" w:lineRule="auto"/>
              <w:ind w:firstLine="0"/>
            </w:pPr>
            <w:r/>
            <w:r>
              <w:rPr>
                <w:rFonts w:ascii="Times New Roman" w:hAnsi="Times New Roman" w:eastAsia="宋体"/>
                <w:b w:val="0"/>
                <w:i w:val="0"/>
                <w:sz w:val="21"/>
              </w:rPr>
              <w:t>车牌号码、装车数量、发车时间、预计到站时间、运单号在提交后全部锁定；录错只能作废整条发货单后重新登记</w:t>
            </w:r>
          </w:p>
        </w:tc>
      </w:tr>
    </w:tbl>
    <w:p>
      <w:pPr>
        <w:spacing w:before="0" w:after="0" w:line="240" w:lineRule="auto"/>
      </w:pP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tblGrid>
      <w:tr>
        <w:trPr>
          <w:tblHeader w:val="true"/>
        </w:trPr>
        <w:tc>
          <w:tcPr>
            <w:tcW w:type="dxa" w:w="1247"/>
            <w:shd w:val="clear" w:color="auto" w:fill="DCE6F1"/>
          </w:tcPr>
          <w:p>
            <w:pPr>
              <w:spacing w:before="40" w:after="40" w:line="276" w:lineRule="auto"/>
              <w:jc w:val="center"/>
            </w:pPr>
            <w:r/>
            <w:r>
              <w:rPr>
                <w:rFonts w:ascii="Times New Roman" w:hAnsi="Times New Roman" w:eastAsia="黑体"/>
                <w:b/>
                <w:i w:val="0"/>
                <w:sz w:val="19"/>
              </w:rPr>
              <w:t>页面</w:t>
            </w:r>
          </w:p>
        </w:tc>
        <w:tc>
          <w:tcPr>
            <w:tcW w:type="dxa" w:w="1474"/>
            <w:shd w:val="clear" w:color="auto" w:fill="DCE6F1"/>
          </w:tcPr>
          <w:p>
            <w:pPr>
              <w:spacing w:before="40" w:after="40" w:line="276" w:lineRule="auto"/>
              <w:jc w:val="center"/>
            </w:pPr>
            <w:r/>
            <w:r>
              <w:rPr>
                <w:rFonts w:ascii="Times New Roman" w:hAnsi="Times New Roman" w:eastAsia="黑体"/>
                <w:b/>
                <w:i w:val="0"/>
                <w:sz w:val="19"/>
              </w:rPr>
              <w:t>文件</w:t>
            </w:r>
          </w:p>
        </w:tc>
        <w:tc>
          <w:tcPr>
            <w:tcW w:type="dxa" w:w="1134"/>
            <w:shd w:val="clear" w:color="auto" w:fill="DCE6F1"/>
          </w:tcPr>
          <w:p>
            <w:pPr>
              <w:spacing w:before="40" w:after="40" w:line="276" w:lineRule="auto"/>
              <w:jc w:val="center"/>
            </w:pPr>
            <w:r/>
            <w:r>
              <w:rPr>
                <w:rFonts w:ascii="Times New Roman" w:hAnsi="Times New Roman" w:eastAsia="黑体"/>
                <w:b/>
                <w:i w:val="0"/>
                <w:sz w:val="19"/>
              </w:rPr>
              <w:t>入口</w:t>
            </w:r>
          </w:p>
        </w:tc>
        <w:tc>
          <w:tcPr>
            <w:tcW w:type="dxa" w:w="2041"/>
            <w:shd w:val="clear" w:color="auto" w:fill="DCE6F1"/>
          </w:tcPr>
          <w:p>
            <w:pPr>
              <w:spacing w:before="40" w:after="40" w:line="276" w:lineRule="auto"/>
              <w:jc w:val="center"/>
            </w:pPr>
            <w:r/>
            <w:r>
              <w:rPr>
                <w:rFonts w:ascii="Times New Roman" w:hAnsi="Times New Roman" w:eastAsia="黑体"/>
                <w:b/>
                <w:i w:val="0"/>
                <w:sz w:val="19"/>
              </w:rPr>
              <w:t>主要区块</w:t>
            </w:r>
          </w:p>
        </w:tc>
        <w:tc>
          <w:tcPr>
            <w:tcW w:type="dxa" w:w="1701"/>
            <w:shd w:val="clear" w:color="auto" w:fill="DCE6F1"/>
          </w:tcPr>
          <w:p>
            <w:pPr>
              <w:spacing w:before="40" w:after="40" w:line="276" w:lineRule="auto"/>
              <w:jc w:val="center"/>
            </w:pPr>
            <w:r/>
            <w:r>
              <w:rPr>
                <w:rFonts w:ascii="Times New Roman" w:hAnsi="Times New Roman" w:eastAsia="黑体"/>
                <w:b/>
                <w:i w:val="0"/>
                <w:sz w:val="19"/>
              </w:rPr>
              <w:t>主要操作</w:t>
            </w:r>
          </w:p>
        </w:tc>
        <w:tc>
          <w:tcPr>
            <w:tcW w:type="dxa" w:w="1474"/>
            <w:shd w:val="clear" w:color="auto" w:fill="DCE6F1"/>
          </w:tcPr>
          <w:p>
            <w:pPr>
              <w:spacing w:before="40" w:after="40" w:line="276" w:lineRule="auto"/>
              <w:jc w:val="center"/>
            </w:pPr>
            <w:r/>
            <w:r>
              <w:rPr>
                <w:rFonts w:ascii="Times New Roman" w:hAnsi="Times New Roman" w:eastAsia="黑体"/>
                <w:b/>
                <w:i w:val="0"/>
                <w:sz w:val="19"/>
              </w:rPr>
              <w:t>跳转</w:t>
            </w:r>
          </w:p>
        </w:tc>
      </w:tr>
      <w:tr>
        <w:tc>
          <w:tcPr>
            <w:tcW w:type="dxa" w:w="1247"/>
          </w:tcPr>
          <w:p>
            <w:pPr>
              <w:spacing w:before="20" w:after="20" w:line="276" w:lineRule="auto"/>
              <w:ind w:firstLine="0"/>
            </w:pPr>
            <w:r/>
            <w:r>
              <w:rPr>
                <w:rFonts w:ascii="Times New Roman" w:hAnsi="Times New Roman" w:eastAsia="宋体"/>
                <w:b w:val="0"/>
                <w:i w:val="0"/>
                <w:sz w:val="19"/>
              </w:rPr>
              <w:t>发货管理（列表）</w:t>
            </w:r>
          </w:p>
        </w:tc>
        <w:tc>
          <w:tcPr>
            <w:tcW w:type="dxa" w:w="1474"/>
          </w:tcPr>
          <w:p>
            <w:pPr>
              <w:spacing w:before="20" w:after="20" w:line="276" w:lineRule="auto"/>
              <w:ind w:firstLine="0"/>
            </w:pPr>
            <w:r/>
            <w:r>
              <w:rPr>
                <w:rFonts w:ascii="Times New Roman" w:hAnsi="Times New Roman" w:eastAsia="宋体"/>
                <w:b w:val="0"/>
                <w:i w:val="0"/>
                <w:sz w:val="19"/>
              </w:rPr>
              <w:t>shipment-out.html</w:t>
            </w:r>
          </w:p>
        </w:tc>
        <w:tc>
          <w:tcPr>
            <w:tcW w:type="dxa" w:w="1134"/>
          </w:tcPr>
          <w:p>
            <w:pPr>
              <w:spacing w:before="20" w:after="20" w:line="276" w:lineRule="auto"/>
              <w:ind w:firstLine="0"/>
            </w:pPr>
            <w:r/>
            <w:r>
              <w:rPr>
                <w:rFonts w:ascii="Times New Roman" w:hAnsi="Times New Roman" w:eastAsia="宋体"/>
                <w:b w:val="0"/>
                <w:i w:val="0"/>
                <w:sz w:val="19"/>
              </w:rPr>
              <w:t>数字供应链 → 收发货管理 → 发货管理</w:t>
            </w:r>
          </w:p>
        </w:tc>
        <w:tc>
          <w:tcPr>
            <w:tcW w:type="dxa" w:w="2041"/>
          </w:tcPr>
          <w:p>
            <w:pPr>
              <w:spacing w:before="20" w:after="20" w:line="276" w:lineRule="auto"/>
              <w:ind w:firstLine="0"/>
            </w:pPr>
            <w:r/>
            <w:r>
              <w:rPr>
                <w:rFonts w:ascii="Times New Roman" w:hAnsi="Times New Roman" w:eastAsia="宋体"/>
                <w:b w:val="0"/>
                <w:i w:val="0"/>
                <w:sz w:val="19"/>
              </w:rPr>
              <w:t>状态 Tab（全部 / 待收货 / 已收货 / 已作废）、筛选区（含货转开具状态筛选）、发货单列表表格（点全部时待收货、已收货、已作废三张表堆叠显示）、分页</w:t>
            </w:r>
          </w:p>
        </w:tc>
        <w:tc>
          <w:tcPr>
            <w:tcW w:type="dxa" w:w="1701"/>
          </w:tcPr>
          <w:p>
            <w:pPr>
              <w:spacing w:before="20" w:after="20" w:line="276" w:lineRule="auto"/>
              <w:ind w:firstLine="0"/>
            </w:pPr>
            <w:r/>
            <w:r>
              <w:rPr>
                <w:rFonts w:ascii="Times New Roman" w:hAnsi="Times New Roman" w:eastAsia="宋体"/>
                <w:b w:val="0"/>
                <w:i w:val="0"/>
                <w:sz w:val="19"/>
              </w:rPr>
              <w:t>登记订单发货数据（下拉菜单）、新增发货申请；行内：详情、作废（弹作废确认框）</w:t>
            </w:r>
          </w:p>
        </w:tc>
        <w:tc>
          <w:tcPr>
            <w:tcW w:type="dxa" w:w="1474"/>
          </w:tcPr>
          <w:p>
            <w:pPr>
              <w:spacing w:before="20" w:after="20" w:line="276" w:lineRule="auto"/>
              <w:ind w:firstLine="0"/>
            </w:pPr>
            <w:r/>
            <w:r>
              <w:rPr>
                <w:rFonts w:ascii="Times New Roman" w:hAnsi="Times New Roman" w:eastAsia="宋体"/>
                <w:b w:val="0"/>
                <w:i w:val="0"/>
                <w:sz w:val="19"/>
              </w:rPr>
              <w:t>登记订单发货数据 → 新增发货申请；详情 → 发货申请详情</w:t>
            </w:r>
          </w:p>
        </w:tc>
      </w:tr>
      <w:tr>
        <w:tc>
          <w:tcPr>
            <w:tcW w:type="dxa" w:w="1247"/>
          </w:tcPr>
          <w:p>
            <w:pPr>
              <w:spacing w:before="20" w:after="20" w:line="276" w:lineRule="auto"/>
              <w:ind w:firstLine="0"/>
            </w:pPr>
            <w:r/>
            <w:r>
              <w:rPr>
                <w:rFonts w:ascii="Times New Roman" w:hAnsi="Times New Roman" w:eastAsia="宋体"/>
                <w:b w:val="0"/>
                <w:i w:val="0"/>
                <w:sz w:val="19"/>
              </w:rPr>
              <w:t>新增发货申请</w:t>
            </w:r>
          </w:p>
        </w:tc>
        <w:tc>
          <w:tcPr>
            <w:tcW w:type="dxa" w:w="1474"/>
          </w:tcPr>
          <w:p>
            <w:pPr>
              <w:spacing w:before="20" w:after="20" w:line="276" w:lineRule="auto"/>
              <w:ind w:firstLine="0"/>
            </w:pPr>
            <w:r/>
            <w:r>
              <w:rPr>
                <w:rFonts w:ascii="Times New Roman" w:hAnsi="Times New Roman" w:eastAsia="宋体"/>
                <w:b w:val="0"/>
                <w:i w:val="0"/>
                <w:sz w:val="19"/>
              </w:rPr>
              <w:t>shipment-out-new.html</w:t>
            </w:r>
          </w:p>
        </w:tc>
        <w:tc>
          <w:tcPr>
            <w:tcW w:type="dxa" w:w="1134"/>
          </w:tcPr>
          <w:p>
            <w:pPr>
              <w:spacing w:before="20" w:after="20" w:line="276" w:lineRule="auto"/>
              <w:ind w:firstLine="0"/>
            </w:pPr>
            <w:r/>
            <w:r>
              <w:rPr>
                <w:rFonts w:ascii="Times New Roman" w:hAnsi="Times New Roman" w:eastAsia="宋体"/>
                <w:b w:val="0"/>
                <w:i w:val="0"/>
                <w:sz w:val="19"/>
              </w:rPr>
              <w:t>发货管理列表「登记订单发货数据」或「新增发货申请」</w:t>
            </w:r>
          </w:p>
        </w:tc>
        <w:tc>
          <w:tcPr>
            <w:tcW w:type="dxa" w:w="2041"/>
          </w:tcPr>
          <w:p>
            <w:pPr>
              <w:spacing w:before="20" w:after="20" w:line="276" w:lineRule="auto"/>
              <w:ind w:firstLine="0"/>
            </w:pPr>
            <w:r/>
            <w:r>
              <w:rPr>
                <w:rFonts w:ascii="Times New Roman" w:hAnsi="Times New Roman" w:eastAsia="宋体"/>
                <w:b w:val="0"/>
                <w:i w:val="0"/>
                <w:sz w:val="19"/>
              </w:rPr>
              <w:t>合同信息（选中合同后回显的 11 字段只读表格）、发货信息（运输方式、发货批次、运单号、发货地址、收货地址、发站、到站）、运输信息（运单号、车种、车号、票重，支持多条）、附件信息（按运输方式条件显示）</w:t>
            </w:r>
          </w:p>
        </w:tc>
        <w:tc>
          <w:tcPr>
            <w:tcW w:type="dxa" w:w="1701"/>
          </w:tcPr>
          <w:p>
            <w:pPr>
              <w:spacing w:before="20" w:after="20" w:line="276" w:lineRule="auto"/>
              <w:ind w:firstLine="0"/>
            </w:pPr>
            <w:r/>
            <w:r>
              <w:rPr>
                <w:rFonts w:ascii="Times New Roman" w:hAnsi="Times New Roman" w:eastAsia="宋体"/>
                <w:b w:val="0"/>
                <w:i w:val="0"/>
                <w:sz w:val="19"/>
              </w:rPr>
              <w:t>提交（未上传凭证附件时禁用）、取消、附件上传与删除、附件下载</w:t>
            </w:r>
          </w:p>
        </w:tc>
        <w:tc>
          <w:tcPr>
            <w:tcW w:type="dxa" w:w="1474"/>
          </w:tcPr>
          <w:p>
            <w:pPr>
              <w:spacing w:before="20" w:after="20" w:line="276" w:lineRule="auto"/>
              <w:ind w:firstLine="0"/>
            </w:pPr>
            <w:r/>
            <w:r>
              <w:rPr>
                <w:rFonts w:ascii="Times New Roman" w:hAnsi="Times New Roman" w:eastAsia="宋体"/>
                <w:b w:val="0"/>
                <w:i w:val="0"/>
                <w:sz w:val="19"/>
              </w:rPr>
              <w:t>提交成功 → 发货管理列表且状态为待收货；取消 → 返回发货管理列表</w:t>
            </w:r>
          </w:p>
        </w:tc>
      </w:tr>
      <w:tr>
        <w:tc>
          <w:tcPr>
            <w:tcW w:type="dxa" w:w="1247"/>
          </w:tcPr>
          <w:p>
            <w:pPr>
              <w:spacing w:before="20" w:after="20" w:line="276" w:lineRule="auto"/>
              <w:ind w:firstLine="0"/>
            </w:pPr>
            <w:r/>
            <w:r>
              <w:rPr>
                <w:rFonts w:ascii="Times New Roman" w:hAnsi="Times New Roman" w:eastAsia="宋体"/>
                <w:b w:val="0"/>
                <w:i w:val="0"/>
                <w:sz w:val="19"/>
              </w:rPr>
              <w:t>发货申请详情</w:t>
            </w:r>
          </w:p>
        </w:tc>
        <w:tc>
          <w:tcPr>
            <w:tcW w:type="dxa" w:w="1474"/>
          </w:tcPr>
          <w:p>
            <w:pPr>
              <w:spacing w:before="20" w:after="20" w:line="276" w:lineRule="auto"/>
              <w:ind w:firstLine="0"/>
            </w:pPr>
            <w:r/>
            <w:r>
              <w:rPr>
                <w:rFonts w:ascii="Times New Roman" w:hAnsi="Times New Roman" w:eastAsia="宋体"/>
                <w:b w:val="0"/>
                <w:i w:val="0"/>
                <w:sz w:val="19"/>
              </w:rPr>
              <w:t>shipment-out-detail.html</w:t>
            </w:r>
          </w:p>
        </w:tc>
        <w:tc>
          <w:tcPr>
            <w:tcW w:type="dxa" w:w="1134"/>
          </w:tcPr>
          <w:p>
            <w:pPr>
              <w:spacing w:before="20" w:after="20" w:line="276" w:lineRule="auto"/>
              <w:ind w:firstLine="0"/>
            </w:pPr>
            <w:r/>
            <w:r>
              <w:rPr>
                <w:rFonts w:ascii="Times New Roman" w:hAnsi="Times New Roman" w:eastAsia="宋体"/>
                <w:b w:val="0"/>
                <w:i w:val="0"/>
                <w:sz w:val="19"/>
              </w:rPr>
              <w:t>发货管理列表行「详情」</w:t>
            </w:r>
          </w:p>
        </w:tc>
        <w:tc>
          <w:tcPr>
            <w:tcW w:type="dxa" w:w="2041"/>
          </w:tcPr>
          <w:p>
            <w:pPr>
              <w:spacing w:before="20" w:after="20" w:line="276" w:lineRule="auto"/>
              <w:ind w:firstLine="0"/>
            </w:pPr>
            <w:r/>
            <w:r>
              <w:rPr>
                <w:rFonts w:ascii="Times New Roman" w:hAnsi="Times New Roman" w:eastAsia="宋体"/>
                <w:b w:val="0"/>
                <w:i w:val="0"/>
                <w:sz w:val="19"/>
              </w:rPr>
              <w:t>合同信息、发货信息、运输信息、附件信息、状态时间线</w:t>
            </w:r>
          </w:p>
        </w:tc>
        <w:tc>
          <w:tcPr>
            <w:tcW w:type="dxa" w:w="1701"/>
          </w:tcPr>
          <w:p>
            <w:pPr>
              <w:spacing w:before="20" w:after="20" w:line="276" w:lineRule="auto"/>
              <w:ind w:firstLine="0"/>
            </w:pPr>
            <w:r/>
            <w:r>
              <w:rPr>
                <w:rFonts w:ascii="Times New Roman" w:hAnsi="Times New Roman" w:eastAsia="宋体"/>
                <w:b w:val="0"/>
                <w:i w:val="0"/>
                <w:sz w:val="19"/>
              </w:rPr>
              <w:t>作废（弹作废确认框，提示作废后不可恢复）、附件下载</w:t>
            </w:r>
          </w:p>
        </w:tc>
        <w:tc>
          <w:tcPr>
            <w:tcW w:type="dxa" w:w="1474"/>
          </w:tcPr>
          <w:p>
            <w:pPr>
              <w:spacing w:before="20" w:after="20" w:line="276" w:lineRule="auto"/>
              <w:ind w:firstLine="0"/>
            </w:pPr>
            <w:r/>
            <w:r>
              <w:rPr>
                <w:rFonts w:ascii="Times New Roman" w:hAnsi="Times New Roman" w:eastAsia="宋体"/>
                <w:b w:val="0"/>
                <w:i w:val="0"/>
                <w:sz w:val="19"/>
              </w:rPr>
              <w:t>作废确认 → 发货单状态转为已作废并回到列表；附件下载 → 下载发货附件文件</w:t>
            </w:r>
          </w:p>
        </w:tc>
      </w:tr>
      <w:tr>
        <w:tc>
          <w:tcPr>
            <w:tcW w:type="dxa" w:w="1247"/>
          </w:tcPr>
          <w:p>
            <w:pPr>
              <w:spacing w:before="20" w:after="20" w:line="276" w:lineRule="auto"/>
              <w:ind w:firstLine="0"/>
            </w:pPr>
            <w:r/>
            <w:r>
              <w:rPr>
                <w:rFonts w:ascii="Times New Roman" w:hAnsi="Times New Roman" w:eastAsia="宋体"/>
                <w:b w:val="0"/>
                <w:i w:val="0"/>
                <w:sz w:val="19"/>
              </w:rPr>
              <w:t>收货管理（列表）</w:t>
            </w:r>
          </w:p>
        </w:tc>
        <w:tc>
          <w:tcPr>
            <w:tcW w:type="dxa" w:w="1474"/>
          </w:tcPr>
          <w:p>
            <w:pPr>
              <w:spacing w:before="20" w:after="20" w:line="276" w:lineRule="auto"/>
              <w:ind w:firstLine="0"/>
            </w:pPr>
            <w:r/>
            <w:r>
              <w:rPr>
                <w:rFonts w:ascii="Times New Roman" w:hAnsi="Times New Roman" w:eastAsia="宋体"/>
                <w:b w:val="0"/>
                <w:i w:val="0"/>
                <w:sz w:val="19"/>
              </w:rPr>
              <w:t>shipment-in.html</w:t>
            </w:r>
          </w:p>
        </w:tc>
        <w:tc>
          <w:tcPr>
            <w:tcW w:type="dxa" w:w="1134"/>
          </w:tcPr>
          <w:p>
            <w:pPr>
              <w:spacing w:before="20" w:after="20" w:line="276" w:lineRule="auto"/>
              <w:ind w:firstLine="0"/>
            </w:pPr>
            <w:r/>
            <w:r>
              <w:rPr>
                <w:rFonts w:ascii="Times New Roman" w:hAnsi="Times New Roman" w:eastAsia="宋体"/>
                <w:b w:val="0"/>
                <w:i w:val="0"/>
                <w:sz w:val="19"/>
              </w:rPr>
              <w:t>数字供应链 → 收发货管理 → 收货管理</w:t>
            </w:r>
          </w:p>
        </w:tc>
        <w:tc>
          <w:tcPr>
            <w:tcW w:type="dxa" w:w="2041"/>
          </w:tcPr>
          <w:p>
            <w:pPr>
              <w:spacing w:before="20" w:after="20" w:line="276" w:lineRule="auto"/>
              <w:ind w:firstLine="0"/>
            </w:pPr>
            <w:r/>
            <w:r>
              <w:rPr>
                <w:rFonts w:ascii="Times New Roman" w:hAnsi="Times New Roman" w:eastAsia="宋体"/>
                <w:b w:val="0"/>
                <w:i w:val="0"/>
                <w:sz w:val="19"/>
              </w:rPr>
              <w:t>状态筛选下拉（全部 / 待收货 / 已收货 / 已作废）、收货列表（按合同与客户筛选）、已收货数据操作区、分页</w:t>
            </w:r>
          </w:p>
        </w:tc>
        <w:tc>
          <w:tcPr>
            <w:tcW w:type="dxa" w:w="1701"/>
          </w:tcPr>
          <w:p>
            <w:pPr>
              <w:spacing w:before="20" w:after="20" w:line="276" w:lineRule="auto"/>
              <w:ind w:firstLine="0"/>
            </w:pPr>
            <w:r/>
            <w:r>
              <w:rPr>
                <w:rFonts w:ascii="Times New Roman" w:hAnsi="Times New Roman" w:eastAsia="宋体"/>
                <w:b w:val="0"/>
                <w:i w:val="0"/>
                <w:sz w:val="19"/>
              </w:rPr>
              <w:t>查看（跳发货详情）、确认收货（带入发货单号参数）、作废</w:t>
            </w:r>
          </w:p>
        </w:tc>
        <w:tc>
          <w:tcPr>
            <w:tcW w:type="dxa" w:w="1474"/>
          </w:tcPr>
          <w:p>
            <w:pPr>
              <w:spacing w:before="20" w:after="20" w:line="276" w:lineRule="auto"/>
              <w:ind w:firstLine="0"/>
            </w:pPr>
            <w:r/>
            <w:r>
              <w:rPr>
                <w:rFonts w:ascii="Times New Roman" w:hAnsi="Times New Roman" w:eastAsia="宋体"/>
                <w:b w:val="0"/>
                <w:i w:val="0"/>
                <w:sz w:val="19"/>
              </w:rPr>
              <w:t>确认收货 → 填写收货信息页；查看 → 发货申请详情</w:t>
            </w:r>
          </w:p>
        </w:tc>
      </w:tr>
      <w:tr>
        <w:tc>
          <w:tcPr>
            <w:tcW w:type="dxa" w:w="1247"/>
          </w:tcPr>
          <w:p>
            <w:pPr>
              <w:spacing w:before="20" w:after="20" w:line="276" w:lineRule="auto"/>
              <w:ind w:firstLine="0"/>
            </w:pPr>
            <w:r/>
            <w:r>
              <w:rPr>
                <w:rFonts w:ascii="Times New Roman" w:hAnsi="Times New Roman" w:eastAsia="宋体"/>
                <w:b w:val="0"/>
                <w:i w:val="0"/>
                <w:sz w:val="19"/>
              </w:rPr>
              <w:t>填写收货信息（确认收货）</w:t>
            </w:r>
          </w:p>
        </w:tc>
        <w:tc>
          <w:tcPr>
            <w:tcW w:type="dxa" w:w="1474"/>
          </w:tcPr>
          <w:p>
            <w:pPr>
              <w:spacing w:before="20" w:after="20" w:line="276" w:lineRule="auto"/>
              <w:ind w:firstLine="0"/>
            </w:pPr>
            <w:r/>
            <w:r>
              <w:rPr>
                <w:rFonts w:ascii="Times New Roman" w:hAnsi="Times New Roman" w:eastAsia="宋体"/>
                <w:b w:val="0"/>
                <w:i w:val="0"/>
                <w:sz w:val="19"/>
              </w:rPr>
              <w:t>receipt-confirm.html</w:t>
            </w:r>
          </w:p>
        </w:tc>
        <w:tc>
          <w:tcPr>
            <w:tcW w:type="dxa" w:w="1134"/>
          </w:tcPr>
          <w:p>
            <w:pPr>
              <w:spacing w:before="20" w:after="20" w:line="276" w:lineRule="auto"/>
              <w:ind w:firstLine="0"/>
            </w:pPr>
            <w:r/>
            <w:r>
              <w:rPr>
                <w:rFonts w:ascii="Times New Roman" w:hAnsi="Times New Roman" w:eastAsia="宋体"/>
                <w:b w:val="0"/>
                <w:i w:val="0"/>
                <w:sz w:val="19"/>
              </w:rPr>
              <w:t>收货管理列表「确认收货」</w:t>
            </w:r>
          </w:p>
        </w:tc>
        <w:tc>
          <w:tcPr>
            <w:tcW w:type="dxa" w:w="2041"/>
          </w:tcPr>
          <w:p>
            <w:pPr>
              <w:spacing w:before="20" w:after="20" w:line="276" w:lineRule="auto"/>
              <w:ind w:firstLine="0"/>
            </w:pPr>
            <w:r/>
            <w:r>
              <w:rPr>
                <w:rFonts w:ascii="Times New Roman" w:hAnsi="Times New Roman" w:eastAsia="宋体"/>
                <w:b w:val="0"/>
                <w:i w:val="0"/>
                <w:sz w:val="19"/>
              </w:rPr>
              <w:t>区块 1 合同信息（5 字段 3 列只读，含已收货数量）、区块 2 发货清单（含已收货数量）、区块 3 填写收货信息（收货方式单选、收货数量、收货日期、凭证上传）</w:t>
            </w:r>
          </w:p>
        </w:tc>
        <w:tc>
          <w:tcPr>
            <w:tcW w:type="dxa" w:w="1701"/>
          </w:tcPr>
          <w:p>
            <w:pPr>
              <w:spacing w:before="20" w:after="20" w:line="276" w:lineRule="auto"/>
              <w:ind w:firstLine="0"/>
            </w:pPr>
            <w:r/>
            <w:r>
              <w:rPr>
                <w:rFonts w:ascii="Times New Roman" w:hAnsi="Times New Roman" w:eastAsia="宋体"/>
                <w:b w:val="0"/>
                <w:i w:val="0"/>
                <w:sz w:val="19"/>
              </w:rPr>
              <w:t>提交（弹提交确认弹窗，确认后写入收货记录）、取消、附件上传与删除、附件下载</w:t>
            </w:r>
          </w:p>
        </w:tc>
        <w:tc>
          <w:tcPr>
            <w:tcW w:type="dxa" w:w="1474"/>
          </w:tcPr>
          <w:p>
            <w:pPr>
              <w:spacing w:before="20" w:after="20" w:line="276" w:lineRule="auto"/>
              <w:ind w:firstLine="0"/>
            </w:pPr>
            <w:r/>
            <w:r>
              <w:rPr>
                <w:rFonts w:ascii="Times New Roman" w:hAnsi="Times New Roman" w:eastAsia="宋体"/>
                <w:b w:val="0"/>
                <w:i w:val="0"/>
                <w:sz w:val="19"/>
              </w:rPr>
              <w:t>提交成功 → 收货管理列表且状态为已收货；取消 → 返回收货管理列表</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4.9.5　数据关系</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474"/>
            <w:shd w:val="clear" w:color="auto" w:fill="DCE6F1"/>
          </w:tcPr>
          <w:p>
            <w:pPr>
              <w:spacing w:before="40" w:after="40" w:line="276" w:lineRule="auto"/>
              <w:jc w:val="center"/>
            </w:pPr>
            <w:r/>
            <w:r>
              <w:rPr>
                <w:rFonts w:ascii="Times New Roman" w:hAnsi="Times New Roman" w:eastAsia="黑体"/>
                <w:b/>
                <w:i w:val="0"/>
                <w:sz w:val="21"/>
              </w:rPr>
              <w:t>业务对象</w:t>
            </w:r>
          </w:p>
        </w:tc>
        <w:tc>
          <w:tcPr>
            <w:tcW w:type="dxa" w:w="4195"/>
            <w:shd w:val="clear" w:color="auto" w:fill="DCE6F1"/>
          </w:tcPr>
          <w:p>
            <w:pPr>
              <w:spacing w:before="40" w:after="40" w:line="276" w:lineRule="auto"/>
              <w:jc w:val="center"/>
            </w:pPr>
            <w:r/>
            <w:r>
              <w:rPr>
                <w:rFonts w:ascii="Times New Roman" w:hAnsi="Times New Roman" w:eastAsia="黑体"/>
                <w:b/>
                <w:i w:val="0"/>
                <w:sz w:val="21"/>
              </w:rPr>
              <w:t>关键字段与口径</w:t>
            </w:r>
          </w:p>
        </w:tc>
        <w:tc>
          <w:tcPr>
            <w:tcW w:type="dxa" w:w="3402"/>
            <w:shd w:val="clear" w:color="auto" w:fill="DCE6F1"/>
          </w:tcPr>
          <w:p>
            <w:pPr>
              <w:spacing w:before="40" w:after="40" w:line="276" w:lineRule="auto"/>
              <w:jc w:val="center"/>
            </w:pPr>
            <w:r/>
            <w:r>
              <w:rPr>
                <w:rFonts w:ascii="Times New Roman" w:hAnsi="Times New Roman" w:eastAsia="黑体"/>
                <w:b/>
                <w:i w:val="0"/>
                <w:sz w:val="21"/>
              </w:rPr>
              <w:t>与其他对象的关系</w:t>
            </w:r>
          </w:p>
        </w:tc>
      </w:tr>
      <w:tr>
        <w:tc>
          <w:tcPr>
            <w:tcW w:type="dxa" w:w="1474"/>
          </w:tcPr>
          <w:p>
            <w:pPr>
              <w:spacing w:before="20" w:after="20" w:line="276" w:lineRule="auto"/>
              <w:ind w:firstLine="0"/>
            </w:pPr>
            <w:r/>
            <w:r>
              <w:rPr>
                <w:rFonts w:ascii="Times New Roman" w:hAnsi="Times New Roman" w:eastAsia="宋体"/>
                <w:b w:val="0"/>
                <w:i w:val="0"/>
                <w:sz w:val="21"/>
              </w:rPr>
              <w:t>发货单</w:t>
            </w:r>
          </w:p>
        </w:tc>
        <w:tc>
          <w:tcPr>
            <w:tcW w:type="dxa" w:w="4195"/>
          </w:tcPr>
          <w:p>
            <w:pPr>
              <w:spacing w:before="20" w:after="20" w:line="276" w:lineRule="auto"/>
              <w:ind w:firstLine="0"/>
            </w:pPr>
            <w:r/>
            <w:r>
              <w:rPr>
                <w:rFonts w:ascii="Times New Roman" w:hAnsi="Times New Roman" w:eastAsia="宋体"/>
                <w:b w:val="0"/>
                <w:i w:val="0"/>
                <w:sz w:val="21"/>
              </w:rPr>
              <w:t>发货单号：前缀加 8 位日期加 4 位流水，系统自动生成</w:t>
            </w:r>
            <w:r>
              <w:br/>
            </w:r>
            <w:r>
              <w:rPr>
                <w:rFonts w:ascii="Times New Roman" w:hAnsi="Times New Roman" w:eastAsia="宋体"/>
                <w:b w:val="0"/>
                <w:i w:val="0"/>
                <w:sz w:val="21"/>
              </w:rPr>
              <w:t>供应商</w:t>
            </w:r>
            <w:r>
              <w:br/>
            </w:r>
            <w:r>
              <w:rPr>
                <w:rFonts w:ascii="Times New Roman" w:hAnsi="Times New Roman" w:eastAsia="宋体"/>
                <w:b w:val="0"/>
                <w:i w:val="0"/>
                <w:sz w:val="21"/>
              </w:rPr>
              <w:t>关联合同：执行中状态的采销框架合同或采销订单单批次合同</w:t>
            </w:r>
            <w:r>
              <w:br/>
            </w:r>
            <w:r>
              <w:rPr>
                <w:rFonts w:ascii="Times New Roman" w:hAnsi="Times New Roman" w:eastAsia="宋体"/>
                <w:b w:val="0"/>
                <w:i w:val="0"/>
                <w:sz w:val="21"/>
              </w:rPr>
              <w:t>商品与数量：4 位小数</w:t>
            </w:r>
            <w:r>
              <w:br/>
            </w:r>
            <w:r>
              <w:rPr>
                <w:rFonts w:ascii="Times New Roman" w:hAnsi="Times New Roman" w:eastAsia="宋体"/>
                <w:b w:val="0"/>
                <w:i w:val="0"/>
                <w:sz w:val="21"/>
              </w:rPr>
              <w:t>运输方式：汽车 / 火车 / 船</w:t>
            </w:r>
            <w:r>
              <w:br/>
            </w:r>
            <w:r>
              <w:rPr>
                <w:rFonts w:ascii="Times New Roman" w:hAnsi="Times New Roman" w:eastAsia="宋体"/>
                <w:b w:val="0"/>
                <w:i w:val="0"/>
                <w:sz w:val="21"/>
              </w:rPr>
              <w:t>提货日期、预计到达日期、实际到达日期</w:t>
            </w:r>
            <w:r>
              <w:br/>
            </w:r>
            <w:r>
              <w:rPr>
                <w:rFonts w:ascii="Times New Roman" w:hAnsi="Times New Roman" w:eastAsia="宋体"/>
                <w:b w:val="0"/>
                <w:i w:val="0"/>
                <w:sz w:val="21"/>
              </w:rPr>
              <w:t>状态：待收货 / 已收货 / 已作废</w:t>
            </w:r>
          </w:p>
        </w:tc>
        <w:tc>
          <w:tcPr>
            <w:tcW w:type="dxa" w:w="3402"/>
          </w:tcPr>
          <w:p>
            <w:pPr>
              <w:spacing w:before="20" w:after="20" w:line="276" w:lineRule="auto"/>
              <w:ind w:firstLine="0"/>
            </w:pPr>
            <w:r/>
            <w:r>
              <w:rPr>
                <w:rFonts w:ascii="Times New Roman" w:hAnsi="Times New Roman" w:eastAsia="宋体"/>
                <w:b w:val="0"/>
                <w:i w:val="0"/>
                <w:sz w:val="21"/>
              </w:rPr>
              <w:t>作为收货确认的关联对象；一条发货单对应多条运输信息；发货完成且收货完成后联动仓储入库</w:t>
            </w:r>
          </w:p>
        </w:tc>
      </w:tr>
      <w:tr>
        <w:tc>
          <w:tcPr>
            <w:tcW w:type="dxa" w:w="1474"/>
          </w:tcPr>
          <w:p>
            <w:pPr>
              <w:spacing w:before="20" w:after="20" w:line="276" w:lineRule="auto"/>
              <w:ind w:firstLine="0"/>
            </w:pPr>
            <w:r/>
            <w:r>
              <w:rPr>
                <w:rFonts w:ascii="Times New Roman" w:hAnsi="Times New Roman" w:eastAsia="宋体"/>
                <w:b w:val="0"/>
                <w:i w:val="0"/>
                <w:sz w:val="21"/>
              </w:rPr>
              <w:t>运输信息</w:t>
            </w:r>
          </w:p>
        </w:tc>
        <w:tc>
          <w:tcPr>
            <w:tcW w:type="dxa" w:w="4195"/>
          </w:tcPr>
          <w:p>
            <w:pPr>
              <w:spacing w:before="20" w:after="20" w:line="276" w:lineRule="auto"/>
              <w:ind w:firstLine="0"/>
            </w:pPr>
            <w:r/>
            <w:r>
              <w:rPr>
                <w:rFonts w:ascii="Times New Roman" w:hAnsi="Times New Roman" w:eastAsia="宋体"/>
                <w:b w:val="0"/>
                <w:i w:val="0"/>
                <w:sz w:val="21"/>
              </w:rPr>
              <w:t>关联发货单</w:t>
            </w:r>
            <w:r>
              <w:br/>
            </w:r>
            <w:r>
              <w:rPr>
                <w:rFonts w:ascii="Times New Roman" w:hAnsi="Times New Roman" w:eastAsia="宋体"/>
                <w:b w:val="0"/>
                <w:i w:val="0"/>
                <w:sz w:val="21"/>
              </w:rPr>
              <w:t>铁路运单号：火车运输时必填</w:t>
            </w:r>
            <w:r>
              <w:br/>
            </w:r>
            <w:r>
              <w:rPr>
                <w:rFonts w:ascii="Times New Roman" w:hAnsi="Times New Roman" w:eastAsia="宋体"/>
                <w:b w:val="0"/>
                <w:i w:val="0"/>
                <w:sz w:val="21"/>
              </w:rPr>
              <w:t>车牌号或船次：汽车与船运输时使用</w:t>
            </w:r>
            <w:r>
              <w:br/>
            </w:r>
            <w:r>
              <w:rPr>
                <w:rFonts w:ascii="Times New Roman" w:hAnsi="Times New Roman" w:eastAsia="宋体"/>
                <w:b w:val="0"/>
                <w:i w:val="0"/>
                <w:sz w:val="21"/>
              </w:rPr>
              <w:t>司机姓名或船长、联系电话：联系电话按脱敏规范处理</w:t>
            </w:r>
            <w:r>
              <w:br/>
            </w:r>
            <w:r>
              <w:rPr>
                <w:rFonts w:ascii="Times New Roman" w:hAnsi="Times New Roman" w:eastAsia="宋体"/>
                <w:b w:val="0"/>
                <w:i w:val="0"/>
                <w:sz w:val="21"/>
              </w:rPr>
              <w:t>始发地与目的地</w:t>
            </w:r>
            <w:r>
              <w:br/>
            </w:r>
            <w:r>
              <w:rPr>
                <w:rFonts w:ascii="Times New Roman" w:hAnsi="Times New Roman" w:eastAsia="宋体"/>
                <w:b w:val="0"/>
                <w:i w:val="0"/>
                <w:sz w:val="21"/>
              </w:rPr>
              <w:t>实际数量</w:t>
            </w:r>
          </w:p>
        </w:tc>
        <w:tc>
          <w:tcPr>
            <w:tcW w:type="dxa" w:w="3402"/>
          </w:tcPr>
          <w:p>
            <w:pPr>
              <w:spacing w:before="20" w:after="20" w:line="276" w:lineRule="auto"/>
              <w:ind w:firstLine="0"/>
            </w:pPr>
            <w:r/>
            <w:r>
              <w:rPr>
                <w:rFonts w:ascii="Times New Roman" w:hAnsi="Times New Roman" w:eastAsia="宋体"/>
                <w:b w:val="0"/>
                <w:i w:val="0"/>
                <w:sz w:val="21"/>
              </w:rPr>
              <w:t>与发货单为一对多关系，多式联运多段运输以分行显示实现；提交后不可编辑</w:t>
            </w:r>
          </w:p>
        </w:tc>
      </w:tr>
      <w:tr>
        <w:tc>
          <w:tcPr>
            <w:tcW w:type="dxa" w:w="1474"/>
          </w:tcPr>
          <w:p>
            <w:pPr>
              <w:spacing w:before="20" w:after="20" w:line="276" w:lineRule="auto"/>
              <w:ind w:firstLine="0"/>
            </w:pPr>
            <w:r/>
            <w:r>
              <w:rPr>
                <w:rFonts w:ascii="Times New Roman" w:hAnsi="Times New Roman" w:eastAsia="宋体"/>
                <w:b w:val="0"/>
                <w:i w:val="0"/>
                <w:sz w:val="21"/>
              </w:rPr>
              <w:t>发货附件</w:t>
            </w:r>
          </w:p>
        </w:tc>
        <w:tc>
          <w:tcPr>
            <w:tcW w:type="dxa" w:w="4195"/>
          </w:tcPr>
          <w:p>
            <w:pPr>
              <w:spacing w:before="20" w:after="20" w:line="276" w:lineRule="auto"/>
              <w:ind w:firstLine="0"/>
            </w:pPr>
            <w:r/>
            <w:r>
              <w:rPr>
                <w:rFonts w:ascii="Times New Roman" w:hAnsi="Times New Roman" w:eastAsia="宋体"/>
                <w:b w:val="0"/>
                <w:i w:val="0"/>
                <w:sz w:val="21"/>
              </w:rPr>
              <w:t>关联发货单</w:t>
            </w:r>
            <w:r>
              <w:br/>
            </w:r>
            <w:r>
              <w:rPr>
                <w:rFonts w:ascii="Times New Roman" w:hAnsi="Times New Roman" w:eastAsia="宋体"/>
                <w:b w:val="0"/>
                <w:i w:val="0"/>
                <w:sz w:val="21"/>
              </w:rPr>
              <w:t>附件类型：铁路运单 / 车辆照片 / 质检报告</w:t>
            </w:r>
            <w:r>
              <w:br/>
            </w:r>
            <w:r>
              <w:rPr>
                <w:rFonts w:ascii="Times New Roman" w:hAnsi="Times New Roman" w:eastAsia="宋体"/>
                <w:b w:val="0"/>
                <w:i w:val="0"/>
                <w:sz w:val="21"/>
              </w:rPr>
              <w:t>文件、上传人、上传时间</w:t>
            </w:r>
          </w:p>
        </w:tc>
        <w:tc>
          <w:tcPr>
            <w:tcW w:type="dxa" w:w="3402"/>
          </w:tcPr>
          <w:p>
            <w:pPr>
              <w:spacing w:before="20" w:after="20" w:line="276" w:lineRule="auto"/>
              <w:ind w:firstLine="0"/>
            </w:pPr>
            <w:r/>
            <w:r>
              <w:rPr>
                <w:rFonts w:ascii="Times New Roman" w:hAnsi="Times New Roman" w:eastAsia="宋体"/>
                <w:b w:val="0"/>
                <w:i w:val="0"/>
                <w:sz w:val="21"/>
              </w:rPr>
              <w:t>凭证附件为发货提交的必填项，单文件不超过 100MB；附件行随运输方式条件显示</w:t>
            </w:r>
          </w:p>
        </w:tc>
      </w:tr>
      <w:tr>
        <w:tc>
          <w:tcPr>
            <w:tcW w:type="dxa" w:w="1474"/>
          </w:tcPr>
          <w:p>
            <w:pPr>
              <w:spacing w:before="20" w:after="20" w:line="276" w:lineRule="auto"/>
              <w:ind w:firstLine="0"/>
            </w:pPr>
            <w:r/>
            <w:r>
              <w:rPr>
                <w:rFonts w:ascii="Times New Roman" w:hAnsi="Times New Roman" w:eastAsia="宋体"/>
                <w:b w:val="0"/>
                <w:i w:val="0"/>
                <w:sz w:val="21"/>
              </w:rPr>
              <w:t>收货质检</w:t>
            </w:r>
          </w:p>
        </w:tc>
        <w:tc>
          <w:tcPr>
            <w:tcW w:type="dxa" w:w="4195"/>
          </w:tcPr>
          <w:p>
            <w:pPr>
              <w:spacing w:before="20" w:after="20" w:line="276" w:lineRule="auto"/>
              <w:ind w:firstLine="0"/>
            </w:pPr>
            <w:r/>
            <w:r>
              <w:rPr>
                <w:rFonts w:ascii="Times New Roman" w:hAnsi="Times New Roman" w:eastAsia="宋体"/>
                <w:b w:val="0"/>
                <w:i w:val="0"/>
                <w:sz w:val="21"/>
              </w:rPr>
              <w:t>关联发货单</w:t>
            </w:r>
            <w:r>
              <w:br/>
            </w:r>
            <w:r>
              <w:rPr>
                <w:rFonts w:ascii="Times New Roman" w:hAnsi="Times New Roman" w:eastAsia="宋体"/>
                <w:b w:val="0"/>
                <w:i w:val="0"/>
                <w:sz w:val="21"/>
              </w:rPr>
              <w:t>质检结果：通过 / 不通过 / 部分通过</w:t>
            </w:r>
            <w:r>
              <w:br/>
            </w:r>
            <w:r>
              <w:rPr>
                <w:rFonts w:ascii="Times New Roman" w:hAnsi="Times New Roman" w:eastAsia="宋体"/>
                <w:b w:val="0"/>
                <w:i w:val="0"/>
                <w:sz w:val="21"/>
              </w:rPr>
              <w:t>质检数量、合格数量、不合格数量：4 位小数</w:t>
            </w:r>
            <w:r>
              <w:br/>
            </w:r>
            <w:r>
              <w:rPr>
                <w:rFonts w:ascii="Times New Roman" w:hAnsi="Times New Roman" w:eastAsia="宋体"/>
                <w:b w:val="0"/>
                <w:i w:val="0"/>
                <w:sz w:val="21"/>
              </w:rPr>
              <w:t>质检备注、质检人、质检时间</w:t>
            </w:r>
          </w:p>
        </w:tc>
        <w:tc>
          <w:tcPr>
            <w:tcW w:type="dxa" w:w="3402"/>
          </w:tcPr>
          <w:p>
            <w:pPr>
              <w:spacing w:before="20" w:after="20" w:line="276" w:lineRule="auto"/>
              <w:ind w:firstLine="0"/>
            </w:pPr>
            <w:r/>
            <w:r>
              <w:rPr>
                <w:rFonts w:ascii="Times New Roman" w:hAnsi="Times New Roman" w:eastAsia="宋体"/>
                <w:b w:val="0"/>
                <w:i w:val="0"/>
                <w:sz w:val="21"/>
              </w:rPr>
              <w:t>挂在发货单下；质检不合格时启动补发或调整流程</w:t>
            </w:r>
          </w:p>
        </w:tc>
      </w:tr>
      <w:tr>
        <w:tc>
          <w:tcPr>
            <w:tcW w:type="dxa" w:w="1474"/>
          </w:tcPr>
          <w:p>
            <w:pPr>
              <w:spacing w:before="20" w:after="20" w:line="276" w:lineRule="auto"/>
              <w:ind w:firstLine="0"/>
            </w:pPr>
            <w:r/>
            <w:r>
              <w:rPr>
                <w:rFonts w:ascii="Times New Roman" w:hAnsi="Times New Roman" w:eastAsia="宋体"/>
                <w:b w:val="0"/>
                <w:i w:val="0"/>
                <w:sz w:val="21"/>
              </w:rPr>
              <w:t>提货申请单</w:t>
            </w:r>
          </w:p>
        </w:tc>
        <w:tc>
          <w:tcPr>
            <w:tcW w:type="dxa" w:w="4195"/>
          </w:tcPr>
          <w:p>
            <w:pPr>
              <w:spacing w:before="20" w:after="20" w:line="276" w:lineRule="auto"/>
              <w:ind w:firstLine="0"/>
            </w:pPr>
            <w:r/>
            <w:r>
              <w:rPr>
                <w:rFonts w:ascii="Times New Roman" w:hAnsi="Times New Roman" w:eastAsia="宋体"/>
                <w:b w:val="0"/>
                <w:i w:val="0"/>
                <w:sz w:val="21"/>
              </w:rPr>
              <w:t>提货申请单号：前缀加 8 位日期加 4 位流水</w:t>
            </w:r>
            <w:r>
              <w:br/>
            </w:r>
            <w:r>
              <w:rPr>
                <w:rFonts w:ascii="Times New Roman" w:hAnsi="Times New Roman" w:eastAsia="宋体"/>
                <w:b w:val="0"/>
                <w:i w:val="0"/>
                <w:sz w:val="21"/>
              </w:rPr>
              <w:t>客户</w:t>
            </w:r>
            <w:r>
              <w:br/>
            </w:r>
            <w:r>
              <w:rPr>
                <w:rFonts w:ascii="Times New Roman" w:hAnsi="Times New Roman" w:eastAsia="宋体"/>
                <w:b w:val="0"/>
                <w:i w:val="0"/>
                <w:sz w:val="21"/>
              </w:rPr>
              <w:t>关联销售合同</w:t>
            </w:r>
            <w:r>
              <w:br/>
            </w:r>
            <w:r>
              <w:rPr>
                <w:rFonts w:ascii="Times New Roman" w:hAnsi="Times New Roman" w:eastAsia="宋体"/>
                <w:b w:val="0"/>
                <w:i w:val="0"/>
                <w:sz w:val="21"/>
              </w:rPr>
              <w:t>提货数量、提货日期</w:t>
            </w:r>
            <w:r>
              <w:br/>
            </w:r>
            <w:r>
              <w:rPr>
                <w:rFonts w:ascii="Times New Roman" w:hAnsi="Times New Roman" w:eastAsia="宋体"/>
                <w:b w:val="0"/>
                <w:i w:val="0"/>
                <w:sz w:val="21"/>
              </w:rPr>
              <w:t>付款凭证 ID、回款是否足额标记</w:t>
            </w:r>
            <w:r>
              <w:br/>
            </w:r>
            <w:r>
              <w:rPr>
                <w:rFonts w:ascii="Times New Roman" w:hAnsi="Times New Roman" w:eastAsia="宋体"/>
                <w:b w:val="0"/>
                <w:i w:val="0"/>
                <w:sz w:val="21"/>
              </w:rPr>
              <w:t>风控校验结果：通过 / 不通过</w:t>
            </w:r>
          </w:p>
        </w:tc>
        <w:tc>
          <w:tcPr>
            <w:tcW w:type="dxa" w:w="3402"/>
          </w:tcPr>
          <w:p>
            <w:pPr>
              <w:spacing w:before="20" w:after="20" w:line="276" w:lineRule="auto"/>
              <w:ind w:firstLine="0"/>
            </w:pPr>
            <w:r/>
            <w:r>
              <w:rPr>
                <w:rFonts w:ascii="Times New Roman" w:hAnsi="Times New Roman" w:eastAsia="宋体"/>
                <w:b w:val="0"/>
                <w:i w:val="0"/>
                <w:sz w:val="21"/>
              </w:rPr>
              <w:t>对应收货管理的下游方向；校验不通过时阻止该笔业务，不产生驳回状态</w:t>
            </w:r>
          </w:p>
        </w:tc>
      </w:tr>
      <w:tr>
        <w:tc>
          <w:tcPr>
            <w:tcW w:type="dxa" w:w="1474"/>
          </w:tcPr>
          <w:p>
            <w:pPr>
              <w:spacing w:before="20" w:after="20" w:line="276" w:lineRule="auto"/>
              <w:ind w:firstLine="0"/>
            </w:pPr>
            <w:r/>
            <w:r>
              <w:rPr>
                <w:rFonts w:ascii="Times New Roman" w:hAnsi="Times New Roman" w:eastAsia="宋体"/>
                <w:b w:val="0"/>
                <w:i w:val="0"/>
                <w:sz w:val="21"/>
              </w:rPr>
              <w:t>提货单与放货指令</w:t>
            </w:r>
          </w:p>
        </w:tc>
        <w:tc>
          <w:tcPr>
            <w:tcW w:type="dxa" w:w="4195"/>
          </w:tcPr>
          <w:p>
            <w:pPr>
              <w:spacing w:before="20" w:after="20" w:line="276" w:lineRule="auto"/>
              <w:ind w:firstLine="0"/>
            </w:pPr>
            <w:r/>
            <w:r>
              <w:rPr>
                <w:rFonts w:ascii="Times New Roman" w:hAnsi="Times New Roman" w:eastAsia="宋体"/>
                <w:b w:val="0"/>
                <w:i w:val="0"/>
                <w:sz w:val="21"/>
              </w:rPr>
              <w:t>提货单号与放货指令号：前缀加 8 位日期加 4 位流水</w:t>
            </w:r>
            <w:r>
              <w:br/>
            </w:r>
            <w:r>
              <w:rPr>
                <w:rFonts w:ascii="Times New Roman" w:hAnsi="Times New Roman" w:eastAsia="宋体"/>
                <w:b w:val="0"/>
                <w:i w:val="0"/>
                <w:sz w:val="21"/>
              </w:rPr>
              <w:t>关联提货申请</w:t>
            </w:r>
            <w:r>
              <w:br/>
            </w:r>
            <w:r>
              <w:rPr>
                <w:rFonts w:ascii="Times New Roman" w:hAnsi="Times New Roman" w:eastAsia="宋体"/>
                <w:b w:val="0"/>
                <w:i w:val="0"/>
                <w:sz w:val="21"/>
              </w:rPr>
              <w:t>提货方、提货地点、提货方式：自提 / 委托</w:t>
            </w:r>
            <w:r>
              <w:br/>
            </w:r>
            <w:r>
              <w:rPr>
                <w:rFonts w:ascii="Times New Roman" w:hAnsi="Times New Roman" w:eastAsia="宋体"/>
                <w:b w:val="0"/>
                <w:i w:val="0"/>
                <w:sz w:val="21"/>
              </w:rPr>
              <w:t>委托方、车牌号、司机、实际提货日期</w:t>
            </w:r>
            <w:r>
              <w:br/>
            </w:r>
            <w:r>
              <w:rPr>
                <w:rFonts w:ascii="Times New Roman" w:hAnsi="Times New Roman" w:eastAsia="宋体"/>
                <w:b w:val="0"/>
                <w:i w:val="0"/>
                <w:sz w:val="21"/>
              </w:rPr>
              <w:t>仓库、放货数量、放货日期、放货执行人</w:t>
            </w:r>
          </w:p>
        </w:tc>
        <w:tc>
          <w:tcPr>
            <w:tcW w:type="dxa" w:w="3402"/>
          </w:tcPr>
          <w:p>
            <w:pPr>
              <w:spacing w:before="20" w:after="20" w:line="276" w:lineRule="auto"/>
              <w:ind w:firstLine="0"/>
            </w:pPr>
            <w:r/>
            <w:r>
              <w:rPr>
                <w:rFonts w:ascii="Times New Roman" w:hAnsi="Times New Roman" w:eastAsia="宋体"/>
                <w:b w:val="0"/>
                <w:i w:val="0"/>
                <w:sz w:val="21"/>
              </w:rPr>
              <w:t>提货单承接提货申请；放货指令在财务审批通过后生成并联动仓储出库</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4.9.6　角色权限与数据权限</w:t>
      </w:r>
    </w:p>
    <w:p>
      <w:pPr>
        <w:spacing w:before="0" w:after="120" w:line="360" w:lineRule="auto"/>
      </w:pPr>
      <w:r>
        <w:rPr>
          <w:rFonts w:ascii="Times New Roman" w:hAnsi="Times New Roman" w:eastAsia="宋体"/>
          <w:b w:val="0"/>
          <w:i w:val="0"/>
          <w:sz w:val="24"/>
        </w:rPr>
        <w:t>本期为系统全量权限（业务方裁决 D17 / QA-012；收发货模块另经 QA-088 确认业务端 12 类角色均为全量权限）；下表角色为典型使用角色，非权限分级。源文档明确的按钮可见性差异为状态相关而非角色相关（来源：收发货管理 02.05 §2.2.2 与 §3.3）：已收货或已作废状态下的确认收货入口不渲染；发货凭证未上传时提交按钮禁用；运输信息与附件区块按运输方式条件显隐。全量权限不免除业务校验与危险操作二次确认。</w:t>
      </w:r>
    </w:p>
    <w:p>
      <w:pPr>
        <w:spacing w:before="0" w:after="80" w:line="360" w:lineRule="auto"/>
      </w:pPr>
      <w:r>
        <w:rPr>
          <w:rFonts w:ascii="Times New Roman" w:hAnsi="Times New Roman" w:eastAsia="宋体"/>
          <w:b w:val="0"/>
          <w:i w:val="0"/>
          <w:sz w:val="24"/>
        </w:rPr>
        <w:t>数据可见性：按单据归属与业务筛选查看；手机号、统一社会信用代码等敏感字段默认打码，手动点击查看完整值且查看行为留痕。</w:t>
      </w:r>
    </w:p>
    <w:p>
      <w:pPr>
        <w:pStyle w:val="Heading3"/>
        <w:keepNext/>
        <w:spacing w:before="160" w:after="80" w:line="312" w:lineRule="auto"/>
        <w:ind w:firstLine="0"/>
      </w:pPr>
      <w:r>
        <w:rPr>
          <w:rFonts w:ascii="Times New Roman" w:hAnsi="Times New Roman" w:eastAsia="黑体"/>
          <w:b/>
          <w:i w:val="0"/>
          <w:sz w:val="24"/>
        </w:rPr>
        <w:t>4.9.7　业务流程与页面</w:t>
      </w:r>
    </w:p>
    <w:p>
      <w:pPr>
        <w:spacing w:before="120" w:after="60"/>
        <w:ind w:firstLine="0"/>
        <w:jc w:val="center"/>
      </w:pPr>
      <w:r>
        <w:drawing>
          <wp:inline xmlns:a="http://schemas.openxmlformats.org/drawingml/2006/main" xmlns:pic="http://schemas.openxmlformats.org/drawingml/2006/picture">
            <wp:extent cx="5616000" cy="4002207"/>
            <wp:docPr id="17" name="Picture 17"/>
            <wp:cNvGraphicFramePr>
              <a:graphicFrameLocks noChangeAspect="1"/>
            </wp:cNvGraphicFramePr>
            <a:graphic>
              <a:graphicData uri="http://schemas.openxmlformats.org/drawingml/2006/picture">
                <pic:pic>
                  <pic:nvPicPr>
                    <pic:cNvPr id="0" name="mermaid-shipment.png"/>
                    <pic:cNvPicPr/>
                  </pic:nvPicPr>
                  <pic:blipFill>
                    <a:blip r:embed="rId27"/>
                    <a:stretch>
                      <a:fillRect/>
                    </a:stretch>
                  </pic:blipFill>
                  <pic:spPr>
                    <a:xfrm>
                      <a:off x="0" y="0"/>
                      <a:ext cx="5616000" cy="4002207"/>
                    </a:xfrm>
                    <a:prstGeom prst="rect"/>
                  </pic:spPr>
                </pic:pic>
              </a:graphicData>
            </a:graphic>
          </wp:inline>
        </w:drawing>
      </w:r>
    </w:p>
    <w:p>
      <w:pPr>
        <w:spacing w:before="0" w:after="200" w:line="240" w:lineRule="auto"/>
        <w:ind w:firstLine="0"/>
        <w:jc w:val="center"/>
      </w:pPr>
      <w:r>
        <w:rPr>
          <w:rFonts w:ascii="Times New Roman" w:hAnsi="Times New Roman" w:eastAsia="宋体"/>
          <w:b w:val="0"/>
          <w:i w:val="0"/>
          <w:sz w:val="21"/>
        </w:rPr>
        <w:t>图 4-9-1　收发货管理 主业务流程</w:t>
      </w:r>
    </w:p>
    <w:p>
      <w:pPr>
        <w:spacing w:before="0" w:after="60" w:line="360" w:lineRule="auto"/>
      </w:pPr>
      <w:r>
        <w:rPr>
          <w:rFonts w:ascii="Times New Roman" w:hAnsi="Times New Roman" w:eastAsia="宋体"/>
          <w:b/>
          <w:i w:val="0"/>
          <w:sz w:val="24"/>
        </w:rPr>
        <w:t>主流程步骤：</w:t>
      </w:r>
    </w:p>
    <w:p>
      <w:pPr>
        <w:spacing w:before="0" w:after="60" w:line="336" w:lineRule="auto"/>
        <w:ind w:left="510" w:hanging="510"/>
      </w:pPr>
      <w:r>
        <w:rPr>
          <w:rFonts w:ascii="Times New Roman" w:hAnsi="Times New Roman" w:eastAsia="宋体"/>
          <w:b w:val="0"/>
          <w:i w:val="0"/>
          <w:sz w:val="24"/>
        </w:rPr>
        <w:t>1. 业务员在发货管理点击登记订单发货数据，选择登记类型为采购或销售</w:t>
      </w:r>
    </w:p>
    <w:p>
      <w:pPr>
        <w:spacing w:before="0" w:after="60" w:line="336" w:lineRule="auto"/>
        <w:ind w:left="510" w:hanging="510"/>
      </w:pPr>
      <w:r>
        <w:rPr>
          <w:rFonts w:ascii="Times New Roman" w:hAnsi="Times New Roman" w:eastAsia="宋体"/>
          <w:b w:val="0"/>
          <w:i w:val="0"/>
          <w:sz w:val="24"/>
        </w:rPr>
        <w:t>2. 选择对应合同（单选），系统回显合同信息只读表格</w:t>
      </w:r>
    </w:p>
    <w:p>
      <w:pPr>
        <w:spacing w:before="0" w:after="60" w:line="336" w:lineRule="auto"/>
        <w:ind w:left="510" w:hanging="510"/>
      </w:pPr>
      <w:r>
        <w:rPr>
          <w:rFonts w:ascii="Times New Roman" w:hAnsi="Times New Roman" w:eastAsia="宋体"/>
          <w:b w:val="0"/>
          <w:i w:val="0"/>
          <w:sz w:val="24"/>
        </w:rPr>
        <w:t>3. 录入发货信息：运输方式（须与合同一致）、发货批次（单批次或多批次）、发货数量、发货日期、发货地址、收货地址、货运车数</w:t>
      </w:r>
    </w:p>
    <w:p>
      <w:pPr>
        <w:spacing w:before="0" w:after="60" w:line="336" w:lineRule="auto"/>
        <w:ind w:left="510" w:hanging="510"/>
      </w:pPr>
      <w:r>
        <w:rPr>
          <w:rFonts w:ascii="Times New Roman" w:hAnsi="Times New Roman" w:eastAsia="宋体"/>
          <w:b w:val="0"/>
          <w:i w:val="0"/>
          <w:sz w:val="24"/>
        </w:rPr>
        <w:t>4. 录入运输信息，可新增多条：车牌号码、装车数量、发车时间、预计到站时间、运单号</w:t>
      </w:r>
    </w:p>
    <w:p>
      <w:pPr>
        <w:spacing w:before="0" w:after="60" w:line="336" w:lineRule="auto"/>
        <w:ind w:left="510" w:hanging="510"/>
      </w:pPr>
      <w:r>
        <w:rPr>
          <w:rFonts w:ascii="Times New Roman" w:hAnsi="Times New Roman" w:eastAsia="宋体"/>
          <w:b w:val="0"/>
          <w:i w:val="0"/>
          <w:sz w:val="24"/>
        </w:rPr>
        <w:t>5. 上传业务凭证附件，未上传时提交按钮禁用</w:t>
      </w:r>
    </w:p>
    <w:p>
      <w:pPr>
        <w:spacing w:before="0" w:after="60" w:line="336" w:lineRule="auto"/>
        <w:ind w:left="510" w:hanging="510"/>
      </w:pPr>
      <w:r>
        <w:rPr>
          <w:rFonts w:ascii="Times New Roman" w:hAnsi="Times New Roman" w:eastAsia="宋体"/>
          <w:b w:val="0"/>
          <w:i w:val="0"/>
          <w:sz w:val="24"/>
        </w:rPr>
        <w:t>6. 提交成功，发货单状态转为待收货，并按运输方式同步校验铁路运单等条件项</w:t>
      </w:r>
    </w:p>
    <w:p>
      <w:pPr>
        <w:spacing w:before="0" w:after="60" w:line="336" w:lineRule="auto"/>
        <w:ind w:left="510" w:hanging="510"/>
      </w:pPr>
      <w:r>
        <w:rPr>
          <w:rFonts w:ascii="Times New Roman" w:hAnsi="Times New Roman" w:eastAsia="宋体"/>
          <w:b w:val="0"/>
          <w:i w:val="0"/>
          <w:sz w:val="24"/>
        </w:rPr>
        <w:t>7. 收货方在收货管理找到待收货货物，通过查看入口核对发货详情，或直接进入确认收货页</w:t>
      </w:r>
    </w:p>
    <w:p>
      <w:pPr>
        <w:spacing w:before="0" w:after="60" w:line="336" w:lineRule="auto"/>
        <w:ind w:left="510" w:hanging="510"/>
      </w:pPr>
      <w:r>
        <w:rPr>
          <w:rFonts w:ascii="Times New Roman" w:hAnsi="Times New Roman" w:eastAsia="宋体"/>
          <w:b w:val="0"/>
          <w:i w:val="0"/>
          <w:sz w:val="24"/>
        </w:rPr>
        <w:t>8. 确认收货页选择对应的发货信息（可多选）、填写实际到站时间、选择全部收货或部分收货、填写收货数量与收货日期、上传收货单据</w:t>
      </w:r>
    </w:p>
    <w:p>
      <w:pPr>
        <w:spacing w:before="0" w:after="60" w:line="336" w:lineRule="auto"/>
        <w:ind w:left="510" w:hanging="510"/>
      </w:pPr>
      <w:r>
        <w:rPr>
          <w:rFonts w:ascii="Times New Roman" w:hAnsi="Times New Roman" w:eastAsia="宋体"/>
          <w:b w:val="0"/>
          <w:i w:val="0"/>
          <w:sz w:val="24"/>
        </w:rPr>
        <w:t>9. 系统校验收货数量与未收货数量的关系及收货日期与发货日期的关系，通过后状态转为已收货并同步已收货数量</w:t>
      </w:r>
    </w:p>
    <w:p>
      <w:pPr>
        <w:spacing w:before="0" w:after="60" w:line="336" w:lineRule="auto"/>
        <w:ind w:left="510" w:hanging="510"/>
      </w:pPr>
      <w:r>
        <w:rPr>
          <w:rFonts w:ascii="Times New Roman" w:hAnsi="Times New Roman" w:eastAsia="宋体"/>
          <w:b w:val="0"/>
          <w:i w:val="0"/>
          <w:sz w:val="24"/>
        </w:rPr>
        <w:t>10. 发货或收货异常时由业务人员主动作废，发货单转入已作废终态且不可再激活</w:t>
      </w:r>
    </w:p>
    <w:p>
      <w:pPr>
        <w:spacing w:before="120" w:after="60" w:line="360" w:lineRule="auto"/>
      </w:pPr>
      <w:r>
        <w:rPr>
          <w:rFonts w:ascii="Times New Roman" w:hAnsi="Times New Roman" w:eastAsia="宋体"/>
          <w:b/>
          <w:i w:val="0"/>
          <w:sz w:val="24"/>
        </w:rPr>
        <w:t>异常分支：</w:t>
      </w:r>
    </w:p>
    <w:tbl>
      <w:tblPr>
        <w:tblStyle w:val="TableGrid"/>
        <w:tblW w:type="auto" w:w="0"/>
        <w:jc w:val="center"/>
        <w:tblLayout w:type="fixed"/>
        <w:tblLook w:firstColumn="1" w:firstRow="1" w:lastColumn="0" w:lastRow="0" w:noHBand="0" w:noVBand="1" w:val="04A0"/>
      </w:tblPr>
      <w:tblGrid>
        <w:gridCol w:w="4479"/>
        <w:gridCol w:w="4479"/>
      </w:tblGrid>
      <w:tr>
        <w:trPr>
          <w:tblHeader w:val="true"/>
        </w:trPr>
        <w:tc>
          <w:tcPr>
            <w:tcW w:type="dxa" w:w="2835"/>
            <w:shd w:val="clear" w:color="auto" w:fill="DCE6F1"/>
          </w:tcPr>
          <w:p>
            <w:pPr>
              <w:spacing w:before="40" w:after="40" w:line="276" w:lineRule="auto"/>
              <w:jc w:val="center"/>
            </w:pPr>
            <w:r/>
            <w:r>
              <w:rPr>
                <w:rFonts w:ascii="Times New Roman" w:hAnsi="Times New Roman" w:eastAsia="黑体"/>
                <w:b/>
                <w:i w:val="0"/>
                <w:sz w:val="21"/>
              </w:rPr>
              <w:t>异常场景</w:t>
            </w:r>
          </w:p>
        </w:tc>
        <w:tc>
          <w:tcPr>
            <w:tcW w:type="dxa" w:w="6236"/>
            <w:shd w:val="clear" w:color="auto" w:fill="DCE6F1"/>
          </w:tcPr>
          <w:p>
            <w:pPr>
              <w:spacing w:before="40" w:after="40" w:line="276" w:lineRule="auto"/>
              <w:jc w:val="center"/>
            </w:pPr>
            <w:r/>
            <w:r>
              <w:rPr>
                <w:rFonts w:ascii="Times New Roman" w:hAnsi="Times New Roman" w:eastAsia="黑体"/>
                <w:b/>
                <w:i w:val="0"/>
                <w:sz w:val="21"/>
              </w:rPr>
              <w:t>系统处理</w:t>
            </w:r>
          </w:p>
        </w:tc>
      </w:tr>
      <w:tr>
        <w:tc>
          <w:tcPr>
            <w:tcW w:type="dxa" w:w="2835"/>
          </w:tcPr>
          <w:p>
            <w:pPr>
              <w:spacing w:before="20" w:after="20" w:line="276" w:lineRule="auto"/>
              <w:ind w:firstLine="0"/>
            </w:pPr>
            <w:r/>
            <w:r>
              <w:rPr>
                <w:rFonts w:ascii="Times New Roman" w:hAnsi="Times New Roman" w:eastAsia="宋体"/>
                <w:b w:val="0"/>
                <w:i w:val="0"/>
                <w:sz w:val="21"/>
              </w:rPr>
              <w:t>运输方式与合同登记的货运方式不一致</w:t>
            </w:r>
          </w:p>
        </w:tc>
        <w:tc>
          <w:tcPr>
            <w:tcW w:type="dxa" w:w="6236"/>
          </w:tcPr>
          <w:p>
            <w:pPr>
              <w:spacing w:before="20" w:after="20" w:line="276" w:lineRule="auto"/>
              <w:ind w:firstLine="0"/>
            </w:pPr>
            <w:r/>
            <w:r>
              <w:rPr>
                <w:rFonts w:ascii="Times New Roman" w:hAnsi="Times New Roman" w:eastAsia="宋体"/>
                <w:b w:val="0"/>
                <w:i w:val="0"/>
                <w:sz w:val="21"/>
              </w:rPr>
              <w:t>红字提示运输方式必须与合同一致</w:t>
            </w:r>
          </w:p>
        </w:tc>
      </w:tr>
      <w:tr>
        <w:tc>
          <w:tcPr>
            <w:tcW w:type="dxa" w:w="2835"/>
          </w:tcPr>
          <w:p>
            <w:pPr>
              <w:spacing w:before="20" w:after="20" w:line="276" w:lineRule="auto"/>
              <w:ind w:firstLine="0"/>
            </w:pPr>
            <w:r/>
            <w:r>
              <w:rPr>
                <w:rFonts w:ascii="Times New Roman" w:hAnsi="Times New Roman" w:eastAsia="宋体"/>
                <w:b w:val="0"/>
                <w:i w:val="0"/>
                <w:sz w:val="21"/>
              </w:rPr>
              <w:t>发货数量超过合同剩余数量</w:t>
            </w:r>
          </w:p>
        </w:tc>
        <w:tc>
          <w:tcPr>
            <w:tcW w:type="dxa" w:w="6236"/>
          </w:tcPr>
          <w:p>
            <w:pPr>
              <w:spacing w:before="20" w:after="20" w:line="276" w:lineRule="auto"/>
              <w:ind w:firstLine="0"/>
            </w:pPr>
            <w:r/>
            <w:r>
              <w:rPr>
                <w:rFonts w:ascii="Times New Roman" w:hAnsi="Times New Roman" w:eastAsia="宋体"/>
                <w:b w:val="0"/>
                <w:i w:val="0"/>
                <w:sz w:val="21"/>
              </w:rPr>
              <w:t>提示发货数量 X 超过合同剩余数量 Y，阻止提交</w:t>
            </w:r>
          </w:p>
        </w:tc>
      </w:tr>
      <w:tr>
        <w:tc>
          <w:tcPr>
            <w:tcW w:type="dxa" w:w="2835"/>
          </w:tcPr>
          <w:p>
            <w:pPr>
              <w:spacing w:before="20" w:after="20" w:line="276" w:lineRule="auto"/>
              <w:ind w:firstLine="0"/>
            </w:pPr>
            <w:r/>
            <w:r>
              <w:rPr>
                <w:rFonts w:ascii="Times New Roman" w:hAnsi="Times New Roman" w:eastAsia="宋体"/>
                <w:b w:val="0"/>
                <w:i w:val="0"/>
                <w:sz w:val="21"/>
              </w:rPr>
              <w:t>火车运输未上传铁路运单</w:t>
            </w:r>
          </w:p>
        </w:tc>
        <w:tc>
          <w:tcPr>
            <w:tcW w:type="dxa" w:w="6236"/>
          </w:tcPr>
          <w:p>
            <w:pPr>
              <w:spacing w:before="20" w:after="20" w:line="276" w:lineRule="auto"/>
              <w:ind w:firstLine="0"/>
            </w:pPr>
            <w:r/>
            <w:r>
              <w:rPr>
                <w:rFonts w:ascii="Times New Roman" w:hAnsi="Times New Roman" w:eastAsia="宋体"/>
                <w:b w:val="0"/>
                <w:i w:val="0"/>
                <w:sz w:val="21"/>
              </w:rPr>
              <w:t>提示火车运输必须上传铁路运单，阻止提交</w:t>
            </w:r>
          </w:p>
        </w:tc>
      </w:tr>
      <w:tr>
        <w:tc>
          <w:tcPr>
            <w:tcW w:type="dxa" w:w="2835"/>
          </w:tcPr>
          <w:p>
            <w:pPr>
              <w:spacing w:before="20" w:after="20" w:line="276" w:lineRule="auto"/>
              <w:ind w:firstLine="0"/>
            </w:pPr>
            <w:r/>
            <w:r>
              <w:rPr>
                <w:rFonts w:ascii="Times New Roman" w:hAnsi="Times New Roman" w:eastAsia="宋体"/>
                <w:b w:val="0"/>
                <w:i w:val="0"/>
                <w:sz w:val="21"/>
              </w:rPr>
              <w:t>收货数量大于发货数量减已收货数量，或收货日期早于发货日期</w:t>
            </w:r>
          </w:p>
        </w:tc>
        <w:tc>
          <w:tcPr>
            <w:tcW w:type="dxa" w:w="6236"/>
          </w:tcPr>
          <w:p>
            <w:pPr>
              <w:spacing w:before="20" w:after="20" w:line="276" w:lineRule="auto"/>
              <w:ind w:firstLine="0"/>
            </w:pPr>
            <w:r/>
            <w:r>
              <w:rPr>
                <w:rFonts w:ascii="Times New Roman" w:hAnsi="Times New Roman" w:eastAsia="宋体"/>
                <w:b w:val="0"/>
                <w:i w:val="0"/>
                <w:sz w:val="21"/>
              </w:rPr>
              <w:t>分别红字提示收货数量不能大于发货数量 - 已收货数量、收货日期不能早于发货日期，阻止提交</w:t>
            </w:r>
          </w:p>
        </w:tc>
      </w:tr>
      <w:tr>
        <w:tc>
          <w:tcPr>
            <w:tcW w:type="dxa" w:w="2835"/>
          </w:tcPr>
          <w:p>
            <w:pPr>
              <w:spacing w:before="20" w:after="20" w:line="276" w:lineRule="auto"/>
              <w:ind w:firstLine="0"/>
            </w:pPr>
            <w:r/>
            <w:r>
              <w:rPr>
                <w:rFonts w:ascii="Times New Roman" w:hAnsi="Times New Roman" w:eastAsia="宋体"/>
                <w:b w:val="0"/>
                <w:i w:val="0"/>
                <w:sz w:val="21"/>
              </w:rPr>
              <w:t>已收货或已作废的发货单再次发起收货，或同一发货单并发收货</w:t>
            </w:r>
          </w:p>
        </w:tc>
        <w:tc>
          <w:tcPr>
            <w:tcW w:type="dxa" w:w="6236"/>
          </w:tcPr>
          <w:p>
            <w:pPr>
              <w:spacing w:before="20" w:after="20" w:line="276" w:lineRule="auto"/>
              <w:ind w:firstLine="0"/>
            </w:pPr>
            <w:r/>
            <w:r>
              <w:rPr>
                <w:rFonts w:ascii="Times New Roman" w:hAnsi="Times New Roman" w:eastAsia="宋体"/>
                <w:b w:val="0"/>
                <w:i w:val="0"/>
                <w:sz w:val="21"/>
              </w:rPr>
              <w:t>顶部红色条提示该发货单已收货/已作废并阻止；并发场景提示已被其他收货覆盖，请刷新</w:t>
            </w:r>
          </w:p>
        </w:tc>
      </w:tr>
      <w:tr>
        <w:tc>
          <w:tcPr>
            <w:tcW w:type="dxa" w:w="2835"/>
          </w:tcPr>
          <w:p>
            <w:pPr>
              <w:spacing w:before="20" w:after="20" w:line="276" w:lineRule="auto"/>
              <w:ind w:firstLine="0"/>
            </w:pPr>
            <w:r/>
            <w:r>
              <w:rPr>
                <w:rFonts w:ascii="Times New Roman" w:hAnsi="Times New Roman" w:eastAsia="宋体"/>
                <w:b w:val="0"/>
                <w:i w:val="0"/>
                <w:sz w:val="21"/>
              </w:rPr>
              <w:t>下游提货的回款不足、客户被冻结、命中黑名单、风控不通过或财务驳回</w:t>
            </w:r>
          </w:p>
        </w:tc>
        <w:tc>
          <w:tcPr>
            <w:tcW w:type="dxa" w:w="6236"/>
          </w:tcPr>
          <w:p>
            <w:pPr>
              <w:spacing w:before="20" w:after="20" w:line="276" w:lineRule="auto"/>
              <w:ind w:firstLine="0"/>
            </w:pPr>
            <w:r/>
            <w:r>
              <w:rPr>
                <w:rFonts w:ascii="Times New Roman" w:hAnsi="Times New Roman" w:eastAsia="宋体"/>
                <w:b w:val="0"/>
                <w:i w:val="0"/>
                <w:sz w:val="21"/>
              </w:rPr>
              <w:t>分别提示客户已回款金额不足以提货、客户已被冻结不能提货、客户命中黑名单禁止提货、风控校验不通过、财务驳回，一律阻止该笔业务，收发货不产生已驳回状态</w:t>
            </w:r>
          </w:p>
        </w:tc>
      </w:tr>
    </w:tbl>
    <w:p>
      <w:pPr>
        <w:spacing w:before="0" w:after="0" w:line="240" w:lineRule="auto"/>
      </w:pPr>
    </w:p>
    <w:p>
      <w:pPr>
        <w:spacing w:before="120" w:after="60"/>
        <w:ind w:firstLine="0"/>
        <w:jc w:val="center"/>
      </w:pPr>
      <w:r>
        <w:drawing>
          <wp:inline xmlns:a="http://schemas.openxmlformats.org/drawingml/2006/main" xmlns:pic="http://schemas.openxmlformats.org/drawingml/2006/picture">
            <wp:extent cx="5616000" cy="3334500"/>
            <wp:docPr id="18" name="Picture 18"/>
            <wp:cNvGraphicFramePr>
              <a:graphicFrameLocks noChangeAspect="1"/>
            </wp:cNvGraphicFramePr>
            <a:graphic>
              <a:graphicData uri="http://schemas.openxmlformats.org/drawingml/2006/picture">
                <pic:pic>
                  <pic:nvPicPr>
                    <pic:cNvPr id="0" name="shipment.png"/>
                    <pic:cNvPicPr/>
                  </pic:nvPicPr>
                  <pic:blipFill>
                    <a:blip r:embed="rId28"/>
                    <a:stretch>
                      <a:fillRect/>
                    </a:stretch>
                  </pic:blipFill>
                  <pic:spPr>
                    <a:xfrm>
                      <a:off x="0" y="0"/>
                      <a:ext cx="5616000" cy="3334500"/>
                    </a:xfrm>
                    <a:prstGeom prst="rect"/>
                  </pic:spPr>
                </pic:pic>
              </a:graphicData>
            </a:graphic>
          </wp:inline>
        </w:drawing>
      </w:r>
    </w:p>
    <w:p>
      <w:pPr>
        <w:spacing w:before="0" w:after="200" w:line="240" w:lineRule="auto"/>
        <w:ind w:firstLine="0"/>
        <w:jc w:val="center"/>
      </w:pPr>
      <w:r>
        <w:rPr>
          <w:rFonts w:ascii="Times New Roman" w:hAnsi="Times New Roman" w:eastAsia="宋体"/>
          <w:b w:val="0"/>
          <w:i w:val="0"/>
          <w:sz w:val="21"/>
        </w:rPr>
        <w:t>图 4-9-2　收发货管理 原型页面</w:t>
      </w:r>
    </w:p>
    <w:p>
      <w:pPr>
        <w:spacing w:before="80" w:after="60" w:line="360" w:lineRule="auto"/>
      </w:pPr>
      <w:r>
        <w:rPr>
          <w:rFonts w:ascii="Times New Roman" w:hAnsi="Times New Roman" w:eastAsia="宋体"/>
          <w:b/>
          <w:i w:val="0"/>
          <w:sz w:val="24"/>
        </w:rPr>
        <w:t>页面级说明：</w:t>
      </w: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tblGrid>
      <w:tr>
        <w:trPr>
          <w:tblHeader w:val="true"/>
        </w:trPr>
        <w:tc>
          <w:tcPr>
            <w:tcW w:type="dxa" w:w="1178"/>
            <w:shd w:val="clear" w:color="auto" w:fill="DCE6F1"/>
          </w:tcPr>
          <w:p>
            <w:pPr>
              <w:spacing w:before="40" w:after="40" w:line="276" w:lineRule="auto"/>
              <w:jc w:val="center"/>
            </w:pPr>
            <w:r/>
            <w:r>
              <w:rPr>
                <w:rFonts w:ascii="Times New Roman" w:hAnsi="Times New Roman" w:eastAsia="黑体"/>
                <w:b/>
                <w:i w:val="0"/>
                <w:sz w:val="19"/>
              </w:rPr>
              <w:t>页面</w:t>
            </w:r>
          </w:p>
        </w:tc>
        <w:tc>
          <w:tcPr>
            <w:tcW w:type="dxa" w:w="1531"/>
            <w:shd w:val="clear" w:color="auto" w:fill="DCE6F1"/>
          </w:tcPr>
          <w:p>
            <w:pPr>
              <w:spacing w:before="40" w:after="40" w:line="276" w:lineRule="auto"/>
              <w:jc w:val="center"/>
            </w:pPr>
            <w:r/>
            <w:r>
              <w:rPr>
                <w:rFonts w:ascii="Times New Roman" w:hAnsi="Times New Roman" w:eastAsia="黑体"/>
                <w:b/>
                <w:i w:val="0"/>
                <w:sz w:val="19"/>
              </w:rPr>
              <w:t>原型文件</w:t>
            </w:r>
          </w:p>
        </w:tc>
        <w:tc>
          <w:tcPr>
            <w:tcW w:type="dxa" w:w="1119"/>
            <w:shd w:val="clear" w:color="auto" w:fill="DCE6F1"/>
          </w:tcPr>
          <w:p>
            <w:pPr>
              <w:spacing w:before="40" w:after="40" w:line="276" w:lineRule="auto"/>
              <w:jc w:val="center"/>
            </w:pPr>
            <w:r/>
            <w:r>
              <w:rPr>
                <w:rFonts w:ascii="Times New Roman" w:hAnsi="Times New Roman" w:eastAsia="黑体"/>
                <w:b/>
                <w:i w:val="0"/>
                <w:sz w:val="19"/>
              </w:rPr>
              <w:t>进入方式</w:t>
            </w:r>
          </w:p>
        </w:tc>
        <w:tc>
          <w:tcPr>
            <w:tcW w:type="dxa" w:w="2062"/>
            <w:shd w:val="clear" w:color="auto" w:fill="DCE6F1"/>
          </w:tcPr>
          <w:p>
            <w:pPr>
              <w:spacing w:before="40" w:after="40" w:line="276" w:lineRule="auto"/>
              <w:jc w:val="center"/>
            </w:pPr>
            <w:r/>
            <w:r>
              <w:rPr>
                <w:rFonts w:ascii="Times New Roman" w:hAnsi="Times New Roman" w:eastAsia="黑体"/>
                <w:b/>
                <w:i w:val="0"/>
                <w:sz w:val="19"/>
              </w:rPr>
              <w:t>关键区块</w:t>
            </w:r>
          </w:p>
        </w:tc>
        <w:tc>
          <w:tcPr>
            <w:tcW w:type="dxa" w:w="1767"/>
            <w:shd w:val="clear" w:color="auto" w:fill="DCE6F1"/>
          </w:tcPr>
          <w:p>
            <w:pPr>
              <w:spacing w:before="40" w:after="40" w:line="276" w:lineRule="auto"/>
              <w:jc w:val="center"/>
            </w:pPr>
            <w:r/>
            <w:r>
              <w:rPr>
                <w:rFonts w:ascii="Times New Roman" w:hAnsi="Times New Roman" w:eastAsia="黑体"/>
                <w:b/>
                <w:i w:val="0"/>
                <w:sz w:val="19"/>
              </w:rPr>
              <w:t>主要按钮与行为</w:t>
            </w:r>
          </w:p>
        </w:tc>
        <w:tc>
          <w:tcPr>
            <w:tcW w:type="dxa" w:w="1414"/>
            <w:shd w:val="clear" w:color="auto" w:fill="DCE6F1"/>
          </w:tcPr>
          <w:p>
            <w:pPr>
              <w:spacing w:before="40" w:after="40" w:line="276" w:lineRule="auto"/>
              <w:jc w:val="center"/>
            </w:pPr>
            <w:r/>
            <w:r>
              <w:rPr>
                <w:rFonts w:ascii="Times New Roman" w:hAnsi="Times New Roman" w:eastAsia="黑体"/>
                <w:b/>
                <w:i w:val="0"/>
                <w:sz w:val="19"/>
              </w:rPr>
              <w:t>跳转去向</w:t>
            </w:r>
          </w:p>
        </w:tc>
      </w:tr>
      <w:tr>
        <w:tc>
          <w:tcPr>
            <w:tcW w:type="dxa" w:w="1178"/>
          </w:tcPr>
          <w:p>
            <w:pPr>
              <w:spacing w:before="20" w:after="20" w:line="276" w:lineRule="auto"/>
              <w:ind w:firstLine="0"/>
            </w:pPr>
            <w:r/>
            <w:r>
              <w:rPr>
                <w:rFonts w:ascii="Times New Roman" w:hAnsi="Times New Roman" w:eastAsia="宋体"/>
                <w:b w:val="0"/>
                <w:i w:val="0"/>
                <w:sz w:val="19"/>
              </w:rPr>
              <w:t>发货管理（列表）</w:t>
            </w:r>
          </w:p>
        </w:tc>
        <w:tc>
          <w:tcPr>
            <w:tcW w:type="dxa" w:w="1531"/>
          </w:tcPr>
          <w:p>
            <w:pPr>
              <w:spacing w:before="20" w:after="20" w:line="276" w:lineRule="auto"/>
              <w:ind w:firstLine="0"/>
            </w:pPr>
            <w:r/>
            <w:r>
              <w:rPr>
                <w:rFonts w:ascii="Times New Roman" w:hAnsi="Times New Roman" w:eastAsia="宋体"/>
                <w:b w:val="0"/>
                <w:i w:val="0"/>
                <w:sz w:val="19"/>
              </w:rPr>
              <w:t>shipment-out.html</w:t>
            </w:r>
          </w:p>
        </w:tc>
        <w:tc>
          <w:tcPr>
            <w:tcW w:type="dxa" w:w="1119"/>
          </w:tcPr>
          <w:p>
            <w:pPr>
              <w:spacing w:before="20" w:after="20" w:line="276" w:lineRule="auto"/>
              <w:ind w:firstLine="0"/>
            </w:pPr>
            <w:r/>
            <w:r>
              <w:rPr>
                <w:rFonts w:ascii="Times New Roman" w:hAnsi="Times New Roman" w:eastAsia="宋体"/>
                <w:b w:val="0"/>
                <w:i w:val="0"/>
                <w:sz w:val="19"/>
              </w:rPr>
              <w:t>数字供应链 → 收发货管理 → 发货管理</w:t>
            </w:r>
          </w:p>
        </w:tc>
        <w:tc>
          <w:tcPr>
            <w:tcW w:type="dxa" w:w="2062"/>
          </w:tcPr>
          <w:p>
            <w:pPr>
              <w:spacing w:before="20" w:after="20" w:line="276" w:lineRule="auto"/>
              <w:ind w:firstLine="0"/>
            </w:pPr>
            <w:r/>
            <w:r>
              <w:rPr>
                <w:rFonts w:ascii="Times New Roman" w:hAnsi="Times New Roman" w:eastAsia="宋体"/>
                <w:b w:val="0"/>
                <w:i w:val="0"/>
                <w:sz w:val="19"/>
              </w:rPr>
              <w:t>状态 Tab（全部 / 待收货 / 已收货 / 已作废）、筛选区（含货转开具状态筛选）、发货单列表表格（点全部时待收货、已收货、已作废三张表堆叠显示）、分页</w:t>
            </w:r>
          </w:p>
        </w:tc>
        <w:tc>
          <w:tcPr>
            <w:tcW w:type="dxa" w:w="1767"/>
          </w:tcPr>
          <w:p>
            <w:pPr>
              <w:spacing w:before="20" w:after="20" w:line="276" w:lineRule="auto"/>
              <w:ind w:firstLine="0"/>
            </w:pPr>
            <w:r/>
            <w:r>
              <w:rPr>
                <w:rFonts w:ascii="Times New Roman" w:hAnsi="Times New Roman" w:eastAsia="宋体"/>
                <w:b w:val="0"/>
                <w:i w:val="0"/>
                <w:sz w:val="19"/>
              </w:rPr>
              <w:t>登记订单发货数据（下拉菜单）、新增发货申请；行内：详情、作废（弹作废确认框）</w:t>
            </w:r>
          </w:p>
        </w:tc>
        <w:tc>
          <w:tcPr>
            <w:tcW w:type="dxa" w:w="1414"/>
          </w:tcPr>
          <w:p>
            <w:pPr>
              <w:spacing w:before="20" w:after="20" w:line="276" w:lineRule="auto"/>
              <w:ind w:firstLine="0"/>
            </w:pPr>
            <w:r/>
            <w:r>
              <w:rPr>
                <w:rFonts w:ascii="Times New Roman" w:hAnsi="Times New Roman" w:eastAsia="宋体"/>
                <w:b w:val="0"/>
                <w:i w:val="0"/>
                <w:sz w:val="19"/>
              </w:rPr>
              <w:t>登记订单发货数据 → 新增发货申请；详情 → 发货申请详情</w:t>
            </w:r>
          </w:p>
        </w:tc>
      </w:tr>
      <w:tr>
        <w:tc>
          <w:tcPr>
            <w:tcW w:type="dxa" w:w="1178"/>
          </w:tcPr>
          <w:p>
            <w:pPr>
              <w:spacing w:before="20" w:after="20" w:line="276" w:lineRule="auto"/>
              <w:ind w:firstLine="0"/>
            </w:pPr>
            <w:r/>
            <w:r>
              <w:rPr>
                <w:rFonts w:ascii="Times New Roman" w:hAnsi="Times New Roman" w:eastAsia="宋体"/>
                <w:b w:val="0"/>
                <w:i w:val="0"/>
                <w:sz w:val="19"/>
              </w:rPr>
              <w:t>新增发货申请</w:t>
            </w:r>
          </w:p>
        </w:tc>
        <w:tc>
          <w:tcPr>
            <w:tcW w:type="dxa" w:w="1531"/>
          </w:tcPr>
          <w:p>
            <w:pPr>
              <w:spacing w:before="20" w:after="20" w:line="276" w:lineRule="auto"/>
              <w:ind w:firstLine="0"/>
            </w:pPr>
            <w:r/>
            <w:r>
              <w:rPr>
                <w:rFonts w:ascii="Times New Roman" w:hAnsi="Times New Roman" w:eastAsia="宋体"/>
                <w:b w:val="0"/>
                <w:i w:val="0"/>
                <w:sz w:val="19"/>
              </w:rPr>
              <w:t>shipment-out-new.html</w:t>
            </w:r>
          </w:p>
        </w:tc>
        <w:tc>
          <w:tcPr>
            <w:tcW w:type="dxa" w:w="1119"/>
          </w:tcPr>
          <w:p>
            <w:pPr>
              <w:spacing w:before="20" w:after="20" w:line="276" w:lineRule="auto"/>
              <w:ind w:firstLine="0"/>
            </w:pPr>
            <w:r/>
            <w:r>
              <w:rPr>
                <w:rFonts w:ascii="Times New Roman" w:hAnsi="Times New Roman" w:eastAsia="宋体"/>
                <w:b w:val="0"/>
                <w:i w:val="0"/>
                <w:sz w:val="19"/>
              </w:rPr>
              <w:t>发货管理列表「登记订单发货数据」或「新增发货申请」</w:t>
            </w:r>
          </w:p>
        </w:tc>
        <w:tc>
          <w:tcPr>
            <w:tcW w:type="dxa" w:w="2062"/>
          </w:tcPr>
          <w:p>
            <w:pPr>
              <w:spacing w:before="20" w:after="20" w:line="276" w:lineRule="auto"/>
              <w:ind w:firstLine="0"/>
            </w:pPr>
            <w:r/>
            <w:r>
              <w:rPr>
                <w:rFonts w:ascii="Times New Roman" w:hAnsi="Times New Roman" w:eastAsia="宋体"/>
                <w:b w:val="0"/>
                <w:i w:val="0"/>
                <w:sz w:val="19"/>
              </w:rPr>
              <w:t>合同信息（选中合同后回显的 11 字段只读表格）、发货信息（运输方式、发货批次、运单号、发货地址、收货地址、发站、到站）、运输信息（运单号、车种、车号、票重，支持多条）、附件信息（按运输方式条件显示）</w:t>
            </w:r>
          </w:p>
        </w:tc>
        <w:tc>
          <w:tcPr>
            <w:tcW w:type="dxa" w:w="1767"/>
          </w:tcPr>
          <w:p>
            <w:pPr>
              <w:spacing w:before="20" w:after="20" w:line="276" w:lineRule="auto"/>
              <w:ind w:firstLine="0"/>
            </w:pPr>
            <w:r/>
            <w:r>
              <w:rPr>
                <w:rFonts w:ascii="Times New Roman" w:hAnsi="Times New Roman" w:eastAsia="宋体"/>
                <w:b w:val="0"/>
                <w:i w:val="0"/>
                <w:sz w:val="19"/>
              </w:rPr>
              <w:t>提交（未上传凭证附件时禁用）、取消、附件上传与删除、附件下载</w:t>
            </w:r>
          </w:p>
        </w:tc>
        <w:tc>
          <w:tcPr>
            <w:tcW w:type="dxa" w:w="1414"/>
          </w:tcPr>
          <w:p>
            <w:pPr>
              <w:spacing w:before="20" w:after="20" w:line="276" w:lineRule="auto"/>
              <w:ind w:firstLine="0"/>
            </w:pPr>
            <w:r/>
            <w:r>
              <w:rPr>
                <w:rFonts w:ascii="Times New Roman" w:hAnsi="Times New Roman" w:eastAsia="宋体"/>
                <w:b w:val="0"/>
                <w:i w:val="0"/>
                <w:sz w:val="19"/>
              </w:rPr>
              <w:t>提交成功 → 发货管理列表且状态为待收货；取消 → 返回发货管理列表</w:t>
            </w:r>
          </w:p>
        </w:tc>
      </w:tr>
      <w:tr>
        <w:tc>
          <w:tcPr>
            <w:tcW w:type="dxa" w:w="1178"/>
          </w:tcPr>
          <w:p>
            <w:pPr>
              <w:spacing w:before="20" w:after="20" w:line="276" w:lineRule="auto"/>
              <w:ind w:firstLine="0"/>
            </w:pPr>
            <w:r/>
            <w:r>
              <w:rPr>
                <w:rFonts w:ascii="Times New Roman" w:hAnsi="Times New Roman" w:eastAsia="宋体"/>
                <w:b w:val="0"/>
                <w:i w:val="0"/>
                <w:sz w:val="19"/>
              </w:rPr>
              <w:t>发货申请详情</w:t>
            </w:r>
          </w:p>
        </w:tc>
        <w:tc>
          <w:tcPr>
            <w:tcW w:type="dxa" w:w="1531"/>
          </w:tcPr>
          <w:p>
            <w:pPr>
              <w:spacing w:before="20" w:after="20" w:line="276" w:lineRule="auto"/>
              <w:ind w:firstLine="0"/>
            </w:pPr>
            <w:r/>
            <w:r>
              <w:rPr>
                <w:rFonts w:ascii="Times New Roman" w:hAnsi="Times New Roman" w:eastAsia="宋体"/>
                <w:b w:val="0"/>
                <w:i w:val="0"/>
                <w:sz w:val="19"/>
              </w:rPr>
              <w:t>shipment-out-detail.html</w:t>
            </w:r>
          </w:p>
        </w:tc>
        <w:tc>
          <w:tcPr>
            <w:tcW w:type="dxa" w:w="1119"/>
          </w:tcPr>
          <w:p>
            <w:pPr>
              <w:spacing w:before="20" w:after="20" w:line="276" w:lineRule="auto"/>
              <w:ind w:firstLine="0"/>
            </w:pPr>
            <w:r/>
            <w:r>
              <w:rPr>
                <w:rFonts w:ascii="Times New Roman" w:hAnsi="Times New Roman" w:eastAsia="宋体"/>
                <w:b w:val="0"/>
                <w:i w:val="0"/>
                <w:sz w:val="19"/>
              </w:rPr>
              <w:t>发货管理列表行「详情」</w:t>
            </w:r>
          </w:p>
        </w:tc>
        <w:tc>
          <w:tcPr>
            <w:tcW w:type="dxa" w:w="2062"/>
          </w:tcPr>
          <w:p>
            <w:pPr>
              <w:spacing w:before="20" w:after="20" w:line="276" w:lineRule="auto"/>
              <w:ind w:firstLine="0"/>
            </w:pPr>
            <w:r/>
            <w:r>
              <w:rPr>
                <w:rFonts w:ascii="Times New Roman" w:hAnsi="Times New Roman" w:eastAsia="宋体"/>
                <w:b w:val="0"/>
                <w:i w:val="0"/>
                <w:sz w:val="19"/>
              </w:rPr>
              <w:t>合同信息、发货信息、运输信息、附件信息、状态时间线</w:t>
            </w:r>
          </w:p>
        </w:tc>
        <w:tc>
          <w:tcPr>
            <w:tcW w:type="dxa" w:w="1767"/>
          </w:tcPr>
          <w:p>
            <w:pPr>
              <w:spacing w:before="20" w:after="20" w:line="276" w:lineRule="auto"/>
              <w:ind w:firstLine="0"/>
            </w:pPr>
            <w:r/>
            <w:r>
              <w:rPr>
                <w:rFonts w:ascii="Times New Roman" w:hAnsi="Times New Roman" w:eastAsia="宋体"/>
                <w:b w:val="0"/>
                <w:i w:val="0"/>
                <w:sz w:val="19"/>
              </w:rPr>
              <w:t>作废（弹作废确认框，提示作废后不可恢复）、附件下载</w:t>
            </w:r>
          </w:p>
        </w:tc>
        <w:tc>
          <w:tcPr>
            <w:tcW w:type="dxa" w:w="1414"/>
          </w:tcPr>
          <w:p>
            <w:pPr>
              <w:spacing w:before="20" w:after="20" w:line="276" w:lineRule="auto"/>
              <w:ind w:firstLine="0"/>
            </w:pPr>
            <w:r/>
            <w:r>
              <w:rPr>
                <w:rFonts w:ascii="Times New Roman" w:hAnsi="Times New Roman" w:eastAsia="宋体"/>
                <w:b w:val="0"/>
                <w:i w:val="0"/>
                <w:sz w:val="19"/>
              </w:rPr>
              <w:t>作废确认 → 发货单状态转为已作废并回到列表；附件下载 → 下载发货附件文件</w:t>
            </w:r>
          </w:p>
        </w:tc>
      </w:tr>
      <w:tr>
        <w:tc>
          <w:tcPr>
            <w:tcW w:type="dxa" w:w="1178"/>
          </w:tcPr>
          <w:p>
            <w:pPr>
              <w:spacing w:before="20" w:after="20" w:line="276" w:lineRule="auto"/>
              <w:ind w:firstLine="0"/>
            </w:pPr>
            <w:r/>
            <w:r>
              <w:rPr>
                <w:rFonts w:ascii="Times New Roman" w:hAnsi="Times New Roman" w:eastAsia="宋体"/>
                <w:b w:val="0"/>
                <w:i w:val="0"/>
                <w:sz w:val="19"/>
              </w:rPr>
              <w:t>收货管理（列表）</w:t>
            </w:r>
          </w:p>
        </w:tc>
        <w:tc>
          <w:tcPr>
            <w:tcW w:type="dxa" w:w="1531"/>
          </w:tcPr>
          <w:p>
            <w:pPr>
              <w:spacing w:before="20" w:after="20" w:line="276" w:lineRule="auto"/>
              <w:ind w:firstLine="0"/>
            </w:pPr>
            <w:r/>
            <w:r>
              <w:rPr>
                <w:rFonts w:ascii="Times New Roman" w:hAnsi="Times New Roman" w:eastAsia="宋体"/>
                <w:b w:val="0"/>
                <w:i w:val="0"/>
                <w:sz w:val="19"/>
              </w:rPr>
              <w:t>shipment-in.html</w:t>
            </w:r>
          </w:p>
        </w:tc>
        <w:tc>
          <w:tcPr>
            <w:tcW w:type="dxa" w:w="1119"/>
          </w:tcPr>
          <w:p>
            <w:pPr>
              <w:spacing w:before="20" w:after="20" w:line="276" w:lineRule="auto"/>
              <w:ind w:firstLine="0"/>
            </w:pPr>
            <w:r/>
            <w:r>
              <w:rPr>
                <w:rFonts w:ascii="Times New Roman" w:hAnsi="Times New Roman" w:eastAsia="宋体"/>
                <w:b w:val="0"/>
                <w:i w:val="0"/>
                <w:sz w:val="19"/>
              </w:rPr>
              <w:t>数字供应链 → 收发货管理 → 收货管理</w:t>
            </w:r>
          </w:p>
        </w:tc>
        <w:tc>
          <w:tcPr>
            <w:tcW w:type="dxa" w:w="2062"/>
          </w:tcPr>
          <w:p>
            <w:pPr>
              <w:spacing w:before="20" w:after="20" w:line="276" w:lineRule="auto"/>
              <w:ind w:firstLine="0"/>
            </w:pPr>
            <w:r/>
            <w:r>
              <w:rPr>
                <w:rFonts w:ascii="Times New Roman" w:hAnsi="Times New Roman" w:eastAsia="宋体"/>
                <w:b w:val="0"/>
                <w:i w:val="0"/>
                <w:sz w:val="19"/>
              </w:rPr>
              <w:t>状态筛选下拉（全部 / 待收货 / 已收货 / 已作废）、收货列表（按合同与客户筛选）、已收货数据操作区、分页</w:t>
            </w:r>
          </w:p>
        </w:tc>
        <w:tc>
          <w:tcPr>
            <w:tcW w:type="dxa" w:w="1767"/>
          </w:tcPr>
          <w:p>
            <w:pPr>
              <w:spacing w:before="20" w:after="20" w:line="276" w:lineRule="auto"/>
              <w:ind w:firstLine="0"/>
            </w:pPr>
            <w:r/>
            <w:r>
              <w:rPr>
                <w:rFonts w:ascii="Times New Roman" w:hAnsi="Times New Roman" w:eastAsia="宋体"/>
                <w:b w:val="0"/>
                <w:i w:val="0"/>
                <w:sz w:val="19"/>
              </w:rPr>
              <w:t>查看（跳发货详情）、确认收货（带入发货单号参数）、作废</w:t>
            </w:r>
          </w:p>
        </w:tc>
        <w:tc>
          <w:tcPr>
            <w:tcW w:type="dxa" w:w="1414"/>
          </w:tcPr>
          <w:p>
            <w:pPr>
              <w:spacing w:before="20" w:after="20" w:line="276" w:lineRule="auto"/>
              <w:ind w:firstLine="0"/>
            </w:pPr>
            <w:r/>
            <w:r>
              <w:rPr>
                <w:rFonts w:ascii="Times New Roman" w:hAnsi="Times New Roman" w:eastAsia="宋体"/>
                <w:b w:val="0"/>
                <w:i w:val="0"/>
                <w:sz w:val="19"/>
              </w:rPr>
              <w:t>确认收货 → 填写收货信息页；查看 → 发货申请详情</w:t>
            </w:r>
          </w:p>
        </w:tc>
      </w:tr>
      <w:tr>
        <w:tc>
          <w:tcPr>
            <w:tcW w:type="dxa" w:w="1178"/>
          </w:tcPr>
          <w:p>
            <w:pPr>
              <w:spacing w:before="20" w:after="20" w:line="276" w:lineRule="auto"/>
              <w:ind w:firstLine="0"/>
            </w:pPr>
            <w:r/>
            <w:r>
              <w:rPr>
                <w:rFonts w:ascii="Times New Roman" w:hAnsi="Times New Roman" w:eastAsia="宋体"/>
                <w:b w:val="0"/>
                <w:i w:val="0"/>
                <w:sz w:val="19"/>
              </w:rPr>
              <w:t>填写收货信息（确认收货）</w:t>
            </w:r>
          </w:p>
        </w:tc>
        <w:tc>
          <w:tcPr>
            <w:tcW w:type="dxa" w:w="1531"/>
          </w:tcPr>
          <w:p>
            <w:pPr>
              <w:spacing w:before="20" w:after="20" w:line="276" w:lineRule="auto"/>
              <w:ind w:firstLine="0"/>
            </w:pPr>
            <w:r/>
            <w:r>
              <w:rPr>
                <w:rFonts w:ascii="Times New Roman" w:hAnsi="Times New Roman" w:eastAsia="宋体"/>
                <w:b w:val="0"/>
                <w:i w:val="0"/>
                <w:sz w:val="19"/>
              </w:rPr>
              <w:t>receipt-confirm.html</w:t>
            </w:r>
          </w:p>
        </w:tc>
        <w:tc>
          <w:tcPr>
            <w:tcW w:type="dxa" w:w="1119"/>
          </w:tcPr>
          <w:p>
            <w:pPr>
              <w:spacing w:before="20" w:after="20" w:line="276" w:lineRule="auto"/>
              <w:ind w:firstLine="0"/>
            </w:pPr>
            <w:r/>
            <w:r>
              <w:rPr>
                <w:rFonts w:ascii="Times New Roman" w:hAnsi="Times New Roman" w:eastAsia="宋体"/>
                <w:b w:val="0"/>
                <w:i w:val="0"/>
                <w:sz w:val="19"/>
              </w:rPr>
              <w:t>收货管理列表「确认收货」</w:t>
            </w:r>
          </w:p>
        </w:tc>
        <w:tc>
          <w:tcPr>
            <w:tcW w:type="dxa" w:w="2062"/>
          </w:tcPr>
          <w:p>
            <w:pPr>
              <w:spacing w:before="20" w:after="20" w:line="276" w:lineRule="auto"/>
              <w:ind w:firstLine="0"/>
            </w:pPr>
            <w:r/>
            <w:r>
              <w:rPr>
                <w:rFonts w:ascii="Times New Roman" w:hAnsi="Times New Roman" w:eastAsia="宋体"/>
                <w:b w:val="0"/>
                <w:i w:val="0"/>
                <w:sz w:val="19"/>
              </w:rPr>
              <w:t>区块 1 合同信息（5 字段 3 列只读，含已收货数量）、区块 2 发货清单（含已收货数量）、区块 3 填写收货信息（收货方式单选、收货数量、收货日期、凭证上传）</w:t>
            </w:r>
          </w:p>
        </w:tc>
        <w:tc>
          <w:tcPr>
            <w:tcW w:type="dxa" w:w="1767"/>
          </w:tcPr>
          <w:p>
            <w:pPr>
              <w:spacing w:before="20" w:after="20" w:line="276" w:lineRule="auto"/>
              <w:ind w:firstLine="0"/>
            </w:pPr>
            <w:r/>
            <w:r>
              <w:rPr>
                <w:rFonts w:ascii="Times New Roman" w:hAnsi="Times New Roman" w:eastAsia="宋体"/>
                <w:b w:val="0"/>
                <w:i w:val="0"/>
                <w:sz w:val="19"/>
              </w:rPr>
              <w:t>提交（弹提交确认弹窗，确认后写入收货记录）、取消、附件上传与删除、附件下载</w:t>
            </w:r>
          </w:p>
        </w:tc>
        <w:tc>
          <w:tcPr>
            <w:tcW w:type="dxa" w:w="1414"/>
          </w:tcPr>
          <w:p>
            <w:pPr>
              <w:spacing w:before="20" w:after="20" w:line="276" w:lineRule="auto"/>
              <w:ind w:firstLine="0"/>
            </w:pPr>
            <w:r/>
            <w:r>
              <w:rPr>
                <w:rFonts w:ascii="Times New Roman" w:hAnsi="Times New Roman" w:eastAsia="宋体"/>
                <w:b w:val="0"/>
                <w:i w:val="0"/>
                <w:sz w:val="19"/>
              </w:rPr>
              <w:t>提交成功 → 收货管理列表且状态为已收货；取消 → 返回收货管理列表</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4.9.8　验收标准与待确认项</w:t>
      </w:r>
    </w:p>
    <w:tbl>
      <w:tblPr>
        <w:tblStyle w:val="TableGrid"/>
        <w:tblW w:type="auto" w:w="0"/>
        <w:jc w:val="center"/>
        <w:tblLayout w:type="fixed"/>
        <w:tblLook w:firstColumn="1" w:firstRow="1" w:lastColumn="0" w:lastRow="0" w:noHBand="0" w:noVBand="1" w:val="04A0"/>
      </w:tblPr>
      <w:tblGrid>
        <w:gridCol w:w="4479"/>
        <w:gridCol w:w="4479"/>
      </w:tblGrid>
      <w:tr>
        <w:trPr>
          <w:tblHeader w:val="true"/>
        </w:trPr>
        <w:tc>
          <w:tcPr>
            <w:tcW w:type="dxa" w:w="1701"/>
            <w:shd w:val="clear" w:color="auto" w:fill="DCE6F1"/>
          </w:tcPr>
          <w:p>
            <w:pPr>
              <w:spacing w:before="40" w:after="40" w:line="276" w:lineRule="auto"/>
              <w:jc w:val="center"/>
            </w:pPr>
            <w:r/>
            <w:r>
              <w:rPr>
                <w:rFonts w:ascii="Times New Roman" w:hAnsi="Times New Roman" w:eastAsia="黑体"/>
                <w:b/>
                <w:i w:val="0"/>
                <w:sz w:val="21"/>
              </w:rPr>
              <w:t>功能</w:t>
            </w:r>
          </w:p>
        </w:tc>
        <w:tc>
          <w:tcPr>
            <w:tcW w:type="dxa" w:w="7370"/>
            <w:shd w:val="clear" w:color="auto" w:fill="DCE6F1"/>
          </w:tcPr>
          <w:p>
            <w:pPr>
              <w:spacing w:before="40" w:after="40" w:line="276" w:lineRule="auto"/>
              <w:jc w:val="center"/>
            </w:pPr>
            <w:r/>
            <w:r>
              <w:rPr>
                <w:rFonts w:ascii="Times New Roman" w:hAnsi="Times New Roman" w:eastAsia="黑体"/>
                <w:b/>
                <w:i w:val="0"/>
                <w:sz w:val="21"/>
              </w:rPr>
              <w:t>验收要点（由关键规则转写）</w:t>
            </w:r>
          </w:p>
        </w:tc>
      </w:tr>
      <w:tr>
        <w:tc>
          <w:tcPr>
            <w:tcW w:type="dxa" w:w="1701"/>
          </w:tcPr>
          <w:p>
            <w:pPr>
              <w:spacing w:before="20" w:after="20" w:line="276" w:lineRule="auto"/>
              <w:ind w:firstLine="0"/>
            </w:pPr>
            <w:r/>
            <w:r>
              <w:rPr>
                <w:rFonts w:ascii="Times New Roman" w:hAnsi="Times New Roman" w:eastAsia="宋体"/>
                <w:b w:val="0"/>
                <w:i w:val="0"/>
                <w:sz w:val="21"/>
              </w:rPr>
              <w:t>发货登记六步流程</w:t>
            </w:r>
          </w:p>
        </w:tc>
        <w:tc>
          <w:tcPr>
            <w:tcW w:type="dxa" w:w="7370"/>
          </w:tcPr>
          <w:p>
            <w:pPr>
              <w:spacing w:before="20" w:after="20" w:line="276" w:lineRule="auto"/>
              <w:ind w:firstLine="0"/>
            </w:pPr>
            <w:r/>
            <w:r>
              <w:rPr>
                <w:rFonts w:ascii="Times New Roman" w:hAnsi="Times New Roman" w:eastAsia="宋体"/>
                <w:b w:val="0"/>
                <w:i w:val="0"/>
                <w:sz w:val="21"/>
              </w:rPr>
              <w:t>登记类型为采购或销售二选一；合同单选且须为执行中状态；第 4 步发货信息含运输方式、发货批次、发货数量、发货日期、发货地址、收货地址、货运车数；第 5 步运输信息支持新增多条，含车牌号码、装车数量、发车时间、预计到站时间、运单号；提交后合同状态转待收货</w:t>
            </w:r>
          </w:p>
        </w:tc>
      </w:tr>
      <w:tr>
        <w:tc>
          <w:tcPr>
            <w:tcW w:type="dxa" w:w="1701"/>
          </w:tcPr>
          <w:p>
            <w:pPr>
              <w:spacing w:before="20" w:after="20" w:line="276" w:lineRule="auto"/>
              <w:ind w:firstLine="0"/>
            </w:pPr>
            <w:r/>
            <w:r>
              <w:rPr>
                <w:rFonts w:ascii="Times New Roman" w:hAnsi="Times New Roman" w:eastAsia="宋体"/>
                <w:b w:val="0"/>
                <w:i w:val="0"/>
                <w:sz w:val="21"/>
              </w:rPr>
              <w:t>运输方式与合同一致性校验</w:t>
            </w:r>
          </w:p>
        </w:tc>
        <w:tc>
          <w:tcPr>
            <w:tcW w:type="dxa" w:w="7370"/>
          </w:tcPr>
          <w:p>
            <w:pPr>
              <w:spacing w:before="20" w:after="20" w:line="276" w:lineRule="auto"/>
              <w:ind w:firstLine="0"/>
            </w:pPr>
            <w:r/>
            <w:r>
              <w:rPr>
                <w:rFonts w:ascii="Times New Roman" w:hAnsi="Times New Roman" w:eastAsia="宋体"/>
                <w:b w:val="0"/>
                <w:i w:val="0"/>
                <w:sz w:val="21"/>
              </w:rPr>
              <w:t>运输方式取值为汽车、火车、船三选一；与合同货运方式不一致时红字提示运输方式必须与合同一致；火车运输时铁路运单号必填，未上传时阻止提交并提示火车运输必须上传铁路运单</w:t>
            </w:r>
          </w:p>
        </w:tc>
      </w:tr>
      <w:tr>
        <w:tc>
          <w:tcPr>
            <w:tcW w:type="dxa" w:w="1701"/>
          </w:tcPr>
          <w:p>
            <w:pPr>
              <w:spacing w:before="20" w:after="20" w:line="276" w:lineRule="auto"/>
              <w:ind w:firstLine="0"/>
            </w:pPr>
            <w:r/>
            <w:r>
              <w:rPr>
                <w:rFonts w:ascii="Times New Roman" w:hAnsi="Times New Roman" w:eastAsia="宋体"/>
                <w:b w:val="0"/>
                <w:i w:val="0"/>
                <w:sz w:val="21"/>
              </w:rPr>
              <w:t>多批次与多式联运分段</w:t>
            </w:r>
          </w:p>
        </w:tc>
        <w:tc>
          <w:tcPr>
            <w:tcW w:type="dxa" w:w="7370"/>
          </w:tcPr>
          <w:p>
            <w:pPr>
              <w:spacing w:before="20" w:after="20" w:line="276" w:lineRule="auto"/>
              <w:ind w:firstLine="0"/>
            </w:pPr>
            <w:r/>
            <w:r>
              <w:rPr>
                <w:rFonts w:ascii="Times New Roman" w:hAnsi="Times New Roman" w:eastAsia="宋体"/>
                <w:b w:val="0"/>
                <w:i w:val="0"/>
                <w:sz w:val="21"/>
              </w:rPr>
              <w:t>多段运输以分行显示实现，每段一行运输信息，不新建分段载体表，也不新增分段序号与各段起止地字段</w:t>
            </w:r>
          </w:p>
        </w:tc>
      </w:tr>
      <w:tr>
        <w:tc>
          <w:tcPr>
            <w:tcW w:type="dxa" w:w="1701"/>
          </w:tcPr>
          <w:p>
            <w:pPr>
              <w:spacing w:before="20" w:after="20" w:line="276" w:lineRule="auto"/>
              <w:ind w:firstLine="0"/>
            </w:pPr>
            <w:r/>
            <w:r>
              <w:rPr>
                <w:rFonts w:ascii="Times New Roman" w:hAnsi="Times New Roman" w:eastAsia="宋体"/>
                <w:b w:val="0"/>
                <w:i w:val="0"/>
                <w:sz w:val="21"/>
              </w:rPr>
              <w:t>收货确认六步流程</w:t>
            </w:r>
          </w:p>
        </w:tc>
        <w:tc>
          <w:tcPr>
            <w:tcW w:type="dxa" w:w="7370"/>
          </w:tcPr>
          <w:p>
            <w:pPr>
              <w:spacing w:before="20" w:after="20" w:line="276" w:lineRule="auto"/>
              <w:ind w:firstLine="0"/>
            </w:pPr>
            <w:r/>
            <w:r>
              <w:rPr>
                <w:rFonts w:ascii="Times New Roman" w:hAnsi="Times New Roman" w:eastAsia="宋体"/>
                <w:b w:val="0"/>
                <w:i w:val="0"/>
                <w:sz w:val="21"/>
              </w:rPr>
              <w:t>选择对应的发货信息可多选；收货方式为全部收货或部分收货二选一；收货数量与收货日期均必填；提交后发货单状态转已收货，部分收货不产生独立状态，在列表中仍显示为待收货</w:t>
            </w:r>
          </w:p>
        </w:tc>
      </w:tr>
      <w:tr>
        <w:tc>
          <w:tcPr>
            <w:tcW w:type="dxa" w:w="1701"/>
          </w:tcPr>
          <w:p>
            <w:pPr>
              <w:spacing w:before="20" w:after="20" w:line="276" w:lineRule="auto"/>
              <w:ind w:firstLine="0"/>
            </w:pPr>
            <w:r/>
            <w:r>
              <w:rPr>
                <w:rFonts w:ascii="Times New Roman" w:hAnsi="Times New Roman" w:eastAsia="宋体"/>
                <w:b w:val="0"/>
                <w:i w:val="0"/>
                <w:sz w:val="21"/>
              </w:rPr>
              <w:t>收货数量与日期校验</w:t>
            </w:r>
          </w:p>
        </w:tc>
        <w:tc>
          <w:tcPr>
            <w:tcW w:type="dxa" w:w="7370"/>
          </w:tcPr>
          <w:p>
            <w:pPr>
              <w:spacing w:before="20" w:after="20" w:line="276" w:lineRule="auto"/>
              <w:ind w:firstLine="0"/>
            </w:pPr>
            <w:r/>
            <w:r>
              <w:rPr>
                <w:rFonts w:ascii="Times New Roman" w:hAnsi="Times New Roman" w:eastAsia="宋体"/>
                <w:b w:val="0"/>
                <w:i w:val="0"/>
                <w:sz w:val="21"/>
              </w:rPr>
              <w:t>收货数量不得大于发货数量减已收货数量，否则红字提示收货数量不能大于发货数量 - 已收货数量；收货日期不得早于发货日期，否则红字提示收货日期不能早于发货日期；已收货或已作废的发货单再次收货时顶部红色条提示该发货单已收货/已作废并阻止</w:t>
            </w:r>
          </w:p>
        </w:tc>
      </w:tr>
      <w:tr>
        <w:tc>
          <w:tcPr>
            <w:tcW w:type="dxa" w:w="1701"/>
          </w:tcPr>
          <w:p>
            <w:pPr>
              <w:spacing w:before="20" w:after="20" w:line="276" w:lineRule="auto"/>
              <w:ind w:firstLine="0"/>
            </w:pPr>
            <w:r/>
            <w:r>
              <w:rPr>
                <w:rFonts w:ascii="Times New Roman" w:hAnsi="Times New Roman" w:eastAsia="宋体"/>
                <w:b w:val="0"/>
                <w:i w:val="0"/>
                <w:sz w:val="21"/>
              </w:rPr>
              <w:t>业务凭证附件强制上传</w:t>
            </w:r>
          </w:p>
        </w:tc>
        <w:tc>
          <w:tcPr>
            <w:tcW w:type="dxa" w:w="7370"/>
          </w:tcPr>
          <w:p>
            <w:pPr>
              <w:spacing w:before="20" w:after="20" w:line="276" w:lineRule="auto"/>
              <w:ind w:firstLine="0"/>
            </w:pPr>
            <w:r/>
            <w:r>
              <w:rPr>
                <w:rFonts w:ascii="Times New Roman" w:hAnsi="Times New Roman" w:eastAsia="宋体"/>
                <w:b w:val="0"/>
                <w:i w:val="0"/>
                <w:sz w:val="21"/>
              </w:rPr>
              <w:t>附件类型限定为铁路运单、车辆照片、质检报告三类；单文件大小上限 100MB；未上传凭证附件时提交按钮禁用并红字提示，不弹确认框</w:t>
            </w:r>
          </w:p>
        </w:tc>
      </w:tr>
      <w:tr>
        <w:tc>
          <w:tcPr>
            <w:tcW w:type="dxa" w:w="1701"/>
          </w:tcPr>
          <w:p>
            <w:pPr>
              <w:spacing w:before="20" w:after="20" w:line="276" w:lineRule="auto"/>
              <w:ind w:firstLine="0"/>
            </w:pPr>
            <w:r/>
            <w:r>
              <w:rPr>
                <w:rFonts w:ascii="Times New Roman" w:hAnsi="Times New Roman" w:eastAsia="宋体"/>
                <w:b w:val="0"/>
                <w:i w:val="0"/>
                <w:sz w:val="21"/>
              </w:rPr>
              <w:t>下游提货的校验链</w:t>
            </w:r>
          </w:p>
        </w:tc>
        <w:tc>
          <w:tcPr>
            <w:tcW w:type="dxa" w:w="7370"/>
          </w:tcPr>
          <w:p>
            <w:pPr>
              <w:spacing w:before="20" w:after="20" w:line="276" w:lineRule="auto"/>
              <w:ind w:firstLine="0"/>
            </w:pPr>
            <w:r/>
            <w:r>
              <w:rPr>
                <w:rFonts w:ascii="Times New Roman" w:hAnsi="Times New Roman" w:eastAsia="宋体"/>
                <w:b w:val="0"/>
                <w:i w:val="0"/>
                <w:sz w:val="21"/>
              </w:rPr>
              <w:t>回款校验比对提货金额与销售合同实际登记的回款金额，回款金额仅取自销售合同回款登记数据，与客户额度无关；回款不足、客户被冻结、命中黑名单、风控不通过、财务驳回一律阻止该笔业务，收发货不产生已驳回状态</w:t>
            </w:r>
          </w:p>
        </w:tc>
      </w:tr>
      <w:tr>
        <w:tc>
          <w:tcPr>
            <w:tcW w:type="dxa" w:w="1701"/>
          </w:tcPr>
          <w:p>
            <w:pPr>
              <w:spacing w:before="20" w:after="20" w:line="276" w:lineRule="auto"/>
              <w:ind w:firstLine="0"/>
            </w:pPr>
            <w:r/>
            <w:r>
              <w:rPr>
                <w:rFonts w:ascii="Times New Roman" w:hAnsi="Times New Roman" w:eastAsia="宋体"/>
                <w:b w:val="0"/>
                <w:i w:val="0"/>
                <w:sz w:val="21"/>
              </w:rPr>
              <w:t>作废与不可逆终态</w:t>
            </w:r>
          </w:p>
        </w:tc>
        <w:tc>
          <w:tcPr>
            <w:tcW w:type="dxa" w:w="7370"/>
          </w:tcPr>
          <w:p>
            <w:pPr>
              <w:spacing w:before="20" w:after="20" w:line="276" w:lineRule="auto"/>
              <w:ind w:firstLine="0"/>
            </w:pPr>
            <w:r/>
            <w:r>
              <w:rPr>
                <w:rFonts w:ascii="Times New Roman" w:hAnsi="Times New Roman" w:eastAsia="宋体"/>
                <w:b w:val="0"/>
                <w:i w:val="0"/>
                <w:sz w:val="21"/>
              </w:rPr>
              <w:t>已作废为收发货各操作流共用的终态且不可再激活；已收货的数据同样可作废；作废需二次确认，提示作废后不可恢复，确定作废该发货单</w:t>
            </w:r>
          </w:p>
        </w:tc>
      </w:tr>
      <w:tr>
        <w:tc>
          <w:tcPr>
            <w:tcW w:type="dxa" w:w="1701"/>
          </w:tcPr>
          <w:p>
            <w:pPr>
              <w:spacing w:before="20" w:after="20" w:line="276" w:lineRule="auto"/>
              <w:ind w:firstLine="0"/>
            </w:pPr>
            <w:r/>
            <w:r>
              <w:rPr>
                <w:rFonts w:ascii="Times New Roman" w:hAnsi="Times New Roman" w:eastAsia="宋体"/>
                <w:b w:val="0"/>
                <w:i w:val="0"/>
                <w:sz w:val="21"/>
              </w:rPr>
              <w:t>运输信息提交后不可编辑</w:t>
            </w:r>
          </w:p>
        </w:tc>
        <w:tc>
          <w:tcPr>
            <w:tcW w:type="dxa" w:w="7370"/>
          </w:tcPr>
          <w:p>
            <w:pPr>
              <w:spacing w:before="20" w:after="20" w:line="276" w:lineRule="auto"/>
              <w:ind w:firstLine="0"/>
            </w:pPr>
            <w:r/>
            <w:r>
              <w:rPr>
                <w:rFonts w:ascii="Times New Roman" w:hAnsi="Times New Roman" w:eastAsia="宋体"/>
                <w:b w:val="0"/>
                <w:i w:val="0"/>
                <w:sz w:val="21"/>
              </w:rPr>
              <w:t>车牌号码、装车数量、发车时间、预计到站时间、运单号在提交后全部锁定；录错只能作废整条发货单后重新登记</w:t>
            </w:r>
          </w:p>
        </w:tc>
      </w:tr>
    </w:tbl>
    <w:p>
      <w:pPr>
        <w:spacing w:before="0" w:after="0" w:line="240" w:lineRule="auto"/>
      </w:pPr>
    </w:p>
    <w:p>
      <w:pPr>
        <w:spacing w:before="120" w:after="60" w:line="360" w:lineRule="auto"/>
      </w:pPr>
      <w:r>
        <w:rPr>
          <w:rFonts w:ascii="Times New Roman" w:hAnsi="Times New Roman" w:eastAsia="宋体"/>
          <w:b/>
          <w:i w:val="0"/>
          <w:sz w:val="24"/>
        </w:rPr>
        <w:t>待业务方确认：</w:t>
      </w:r>
    </w:p>
    <w:p>
      <w:pPr>
        <w:spacing w:before="0" w:after="60" w:line="336" w:lineRule="auto"/>
        <w:ind w:left="340" w:firstLine="0"/>
      </w:pPr>
      <w:r>
        <w:rPr>
          <w:rFonts w:ascii="Times New Roman" w:hAnsi="Times New Roman" w:eastAsia="宋体"/>
          <w:b w:val="0"/>
          <w:i w:val="0"/>
          <w:sz w:val="24"/>
        </w:rPr>
        <w:t>· 待业务方确认：收发货管理本期包含哪几个页面与菜单项，请直接列出页面名称</w:t>
      </w:r>
    </w:p>
    <w:p>
      <w:pPr>
        <w:spacing w:before="0" w:after="60" w:line="336" w:lineRule="auto"/>
        <w:ind w:left="340" w:firstLine="0"/>
      </w:pPr>
      <w:r>
        <w:rPr>
          <w:rFonts w:ascii="Times New Roman" w:hAnsi="Times New Roman" w:eastAsia="宋体"/>
          <w:b w:val="0"/>
          <w:i w:val="0"/>
          <w:sz w:val="24"/>
        </w:rPr>
        <w:t>· 待业务方确认：入库、出库、盘点三类操作是否各自有一套独立的状态流转，请分别列出</w:t>
      </w:r>
    </w:p>
    <w:p>
      <w:pPr>
        <w:spacing w:before="0" w:after="60" w:line="336" w:lineRule="auto"/>
        <w:ind w:left="340" w:firstLine="0"/>
      </w:pPr>
      <w:r>
        <w:rPr>
          <w:rFonts w:ascii="Times New Roman" w:hAnsi="Times New Roman" w:eastAsia="宋体"/>
          <w:b w:val="0"/>
          <w:i w:val="0"/>
          <w:sz w:val="24"/>
        </w:rPr>
        <w:t>· 待业务方确认：收货数量是否必须大于 0</w:t>
      </w:r>
    </w:p>
    <w:p>
      <w:pPr>
        <w:spacing w:before="0" w:after="60" w:line="336" w:lineRule="auto"/>
        <w:ind w:left="340" w:firstLine="0"/>
      </w:pPr>
      <w:r>
        <w:rPr>
          <w:rFonts w:ascii="Times New Roman" w:hAnsi="Times New Roman" w:eastAsia="宋体"/>
          <w:b w:val="0"/>
          <w:i w:val="0"/>
          <w:sz w:val="24"/>
        </w:rPr>
        <w:t>· 待业务方确认：业务凭证附件支持的文件格式白名单</w:t>
      </w:r>
    </w:p>
    <w:p>
      <w:pPr>
        <w:spacing w:before="0" w:after="60" w:line="336" w:lineRule="auto"/>
        <w:ind w:left="340" w:firstLine="0"/>
      </w:pPr>
      <w:r>
        <w:rPr>
          <w:rFonts w:ascii="Times New Roman" w:hAnsi="Times New Roman" w:eastAsia="宋体"/>
          <w:b w:val="0"/>
          <w:i w:val="0"/>
          <w:sz w:val="24"/>
        </w:rPr>
        <w:t>· 待业务方确认：收货确认页第三个必填项「收货单据」的上传控件与校验规则</w:t>
      </w:r>
    </w:p>
    <w:p>
      <w:pPr>
        <w:spacing w:before="0" w:after="60" w:line="336" w:lineRule="auto"/>
        <w:ind w:left="340" w:firstLine="0"/>
      </w:pPr>
      <w:r>
        <w:rPr>
          <w:rFonts w:ascii="Times New Roman" w:hAnsi="Times New Roman" w:eastAsia="宋体"/>
          <w:b w:val="0"/>
          <w:i w:val="0"/>
          <w:sz w:val="24"/>
        </w:rPr>
        <w:t>· 待业务方确认：新增发货页「发货日期、发货数量、货运车数」三个字段的最终必填清单</w:t>
      </w:r>
    </w:p>
    <w:p>
      <w:pPr>
        <w:spacing w:before="0" w:after="60" w:line="336" w:lineRule="auto"/>
        <w:ind w:left="340" w:firstLine="0"/>
      </w:pPr>
      <w:r>
        <w:rPr>
          <w:rFonts w:ascii="Times New Roman" w:hAnsi="Times New Roman" w:eastAsia="宋体"/>
          <w:b w:val="0"/>
          <w:i w:val="0"/>
          <w:sz w:val="24"/>
        </w:rPr>
        <w:t>· 待业务方确认：提货申请单、提货单、放货指令三个单号的具体业务前缀</w:t>
      </w:r>
    </w:p>
    <w:p>
      <w:pPr>
        <w:spacing w:before="0" w:after="60" w:line="336" w:lineRule="auto"/>
        <w:ind w:left="340" w:firstLine="0"/>
      </w:pPr>
      <w:r>
        <w:rPr>
          <w:rFonts w:ascii="Times New Roman" w:hAnsi="Times New Roman" w:eastAsia="宋体"/>
          <w:b w:val="0"/>
          <w:i w:val="0"/>
          <w:sz w:val="24"/>
        </w:rPr>
        <w:t>· 待业务方确认：装车数量、发车时间、预计到站时间三个运输信息字段的落库位置</w:t>
      </w:r>
    </w:p>
    <w:p>
      <w:pPr>
        <w:spacing w:before="0" w:after="60" w:line="336" w:lineRule="auto"/>
        <w:ind w:left="340" w:firstLine="0"/>
      </w:pPr>
      <w:r>
        <w:rPr>
          <w:rFonts w:ascii="Times New Roman" w:hAnsi="Times New Roman" w:eastAsia="宋体"/>
          <w:b w:val="0"/>
          <w:i w:val="0"/>
          <w:sz w:val="24"/>
        </w:rPr>
        <w:t>· 待业务方确认：并发收货的并发控制方案与发货登记重复提交的幂等策略</w:t>
      </w:r>
    </w:p>
    <w:p>
      <w:r>
        <w:br w:type="page"/>
      </w:r>
    </w:p>
    <w:p>
      <w:pPr>
        <w:pStyle w:val="Heading2"/>
        <w:keepNext/>
        <w:spacing w:before="240" w:after="120" w:line="312" w:lineRule="auto"/>
        <w:ind w:firstLine="0"/>
      </w:pPr>
      <w:r>
        <w:rPr>
          <w:rFonts w:ascii="Times New Roman" w:hAnsi="Times New Roman" w:eastAsia="黑体"/>
          <w:b/>
          <w:i w:val="0"/>
          <w:sz w:val="28"/>
        </w:rPr>
        <w:t>4.10　货转管理</w:t>
      </w:r>
    </w:p>
    <w:p>
      <w:pPr>
        <w:spacing w:before="0" w:after="160" w:line="360" w:lineRule="auto"/>
      </w:pPr>
      <w:r>
        <w:rPr>
          <w:rFonts w:ascii="Times New Roman" w:hAnsi="Times New Roman" w:eastAsia="宋体"/>
          <w:b w:val="0"/>
          <w:i w:val="0"/>
          <w:color w:val="595959"/>
          <w:sz w:val="21"/>
        </w:rPr>
        <w:t>菜单路径：数字供应链 / 货转管理</w:t>
      </w:r>
    </w:p>
    <w:p>
      <w:pPr>
        <w:pStyle w:val="Heading3"/>
        <w:keepNext/>
        <w:spacing w:before="160" w:after="80" w:line="312" w:lineRule="auto"/>
        <w:ind w:firstLine="0"/>
      </w:pPr>
      <w:r>
        <w:rPr>
          <w:rFonts w:ascii="Times New Roman" w:hAnsi="Times New Roman" w:eastAsia="黑体"/>
          <w:b/>
          <w:i w:val="0"/>
          <w:sz w:val="24"/>
        </w:rPr>
        <w:t>4.10.1　一页结论</w:t>
      </w:r>
    </w:p>
    <w:p>
      <w:pPr>
        <w:spacing w:before="0" w:after="120" w:line="360" w:lineRule="auto"/>
      </w:pPr>
      <w:r>
        <w:rPr>
          <w:rFonts w:ascii="Times New Roman" w:hAnsi="Times New Roman" w:eastAsia="宋体"/>
          <w:b w:val="0"/>
          <w:i w:val="0"/>
          <w:sz w:val="24"/>
        </w:rPr>
        <w:t>登记货物所有权在不同主体之间的转移过程，作为货转生效后仓储出入库、库存台账、业务线账面库存与合同结算登记的共同触发源。</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928"/>
            <w:shd w:val="clear" w:color="auto" w:fill="DCE6F1"/>
          </w:tcPr>
          <w:p>
            <w:pPr>
              <w:spacing w:before="40" w:after="40" w:line="276" w:lineRule="auto"/>
              <w:jc w:val="center"/>
            </w:pPr>
            <w:r/>
            <w:r>
              <w:rPr>
                <w:rFonts w:ascii="Times New Roman" w:hAnsi="Times New Roman" w:eastAsia="黑体"/>
                <w:b/>
                <w:i w:val="0"/>
                <w:sz w:val="21"/>
              </w:rPr>
              <w:t>问题</w:t>
            </w:r>
          </w:p>
        </w:tc>
        <w:tc>
          <w:tcPr>
            <w:tcW w:type="dxa" w:w="3572"/>
            <w:shd w:val="clear" w:color="auto" w:fill="DCE6F1"/>
          </w:tcPr>
          <w:p>
            <w:pPr>
              <w:spacing w:before="40" w:after="40" w:line="276" w:lineRule="auto"/>
              <w:jc w:val="center"/>
            </w:pPr>
            <w:r/>
            <w:r>
              <w:rPr>
                <w:rFonts w:ascii="Times New Roman" w:hAnsi="Times New Roman" w:eastAsia="黑体"/>
                <w:b/>
                <w:i w:val="0"/>
                <w:sz w:val="21"/>
              </w:rPr>
              <w:t>当前做法</w:t>
            </w:r>
          </w:p>
        </w:tc>
        <w:tc>
          <w:tcPr>
            <w:tcW w:type="dxa" w:w="3572"/>
            <w:shd w:val="clear" w:color="auto" w:fill="DCE6F1"/>
          </w:tcPr>
          <w:p>
            <w:pPr>
              <w:spacing w:before="40" w:after="40" w:line="276" w:lineRule="auto"/>
              <w:jc w:val="center"/>
            </w:pPr>
            <w:r/>
            <w:r>
              <w:rPr>
                <w:rFonts w:ascii="Times New Roman" w:hAnsi="Times New Roman" w:eastAsia="黑体"/>
                <w:b/>
                <w:i w:val="0"/>
                <w:sz w:val="21"/>
              </w:rPr>
              <w:t>本模块解法</w:t>
            </w:r>
          </w:p>
        </w:tc>
      </w:tr>
      <w:tr>
        <w:tc>
          <w:tcPr>
            <w:tcW w:type="dxa" w:w="1928"/>
          </w:tcPr>
          <w:p>
            <w:pPr>
              <w:spacing w:before="20" w:after="20" w:line="276" w:lineRule="auto"/>
              <w:ind w:firstLine="0"/>
            </w:pPr>
            <w:r/>
            <w:r>
              <w:rPr>
                <w:rFonts w:ascii="Times New Roman" w:hAnsi="Times New Roman" w:eastAsia="宋体"/>
                <w:b w:val="0"/>
                <w:i w:val="0"/>
                <w:sz w:val="21"/>
              </w:rPr>
              <w:t>货权转移凭证在线下流转，平台登记滞后且无法核验</w:t>
            </w:r>
          </w:p>
        </w:tc>
        <w:tc>
          <w:tcPr>
            <w:tcW w:type="dxa" w:w="3572"/>
          </w:tcPr>
          <w:p>
            <w:pPr>
              <w:spacing w:before="20" w:after="20" w:line="276" w:lineRule="auto"/>
              <w:ind w:firstLine="0"/>
            </w:pPr>
            <w:r/>
            <w:r>
              <w:rPr>
                <w:rFonts w:ascii="Times New Roman" w:hAnsi="Times New Roman" w:eastAsia="宋体"/>
                <w:b w:val="0"/>
                <w:i w:val="0"/>
                <w:sz w:val="21"/>
              </w:rPr>
              <w:t>铁路运单、商品所有权确认单等凭证线下传递，平台上的货转登记往往在事后补录</w:t>
            </w:r>
          </w:p>
        </w:tc>
        <w:tc>
          <w:tcPr>
            <w:tcW w:type="dxa" w:w="3572"/>
          </w:tcPr>
          <w:p>
            <w:pPr>
              <w:spacing w:before="20" w:after="20" w:line="276" w:lineRule="auto"/>
              <w:ind w:firstLine="0"/>
            </w:pPr>
            <w:r/>
            <w:r>
              <w:rPr>
                <w:rFonts w:ascii="Times New Roman" w:hAnsi="Times New Roman" w:eastAsia="宋体"/>
                <w:b w:val="0"/>
                <w:i w:val="0"/>
                <w:sz w:val="21"/>
              </w:rPr>
              <w:t>开具货转即上传凭证附件，上传铁路运单、商品所有权确认单、提货单时自动识别关键字段并回填表单</w:t>
            </w:r>
          </w:p>
        </w:tc>
      </w:tr>
      <w:tr>
        <w:tc>
          <w:tcPr>
            <w:tcW w:type="dxa" w:w="1928"/>
          </w:tcPr>
          <w:p>
            <w:pPr>
              <w:spacing w:before="20" w:after="20" w:line="276" w:lineRule="auto"/>
              <w:ind w:firstLine="0"/>
            </w:pPr>
            <w:r/>
            <w:r>
              <w:rPr>
                <w:rFonts w:ascii="Times New Roman" w:hAnsi="Times New Roman" w:eastAsia="宋体"/>
                <w:b w:val="0"/>
                <w:i w:val="0"/>
                <w:sz w:val="21"/>
              </w:rPr>
              <w:t>上游入库与下游出库两个方向口径不统一，库存数字对不上</w:t>
            </w:r>
          </w:p>
        </w:tc>
        <w:tc>
          <w:tcPr>
            <w:tcW w:type="dxa" w:w="3572"/>
          </w:tcPr>
          <w:p>
            <w:pPr>
              <w:spacing w:before="20" w:after="20" w:line="276" w:lineRule="auto"/>
              <w:ind w:firstLine="0"/>
            </w:pPr>
            <w:r/>
            <w:r>
              <w:rPr>
                <w:rFonts w:ascii="Times New Roman" w:hAnsi="Times New Roman" w:eastAsia="宋体"/>
                <w:b w:val="0"/>
                <w:i w:val="0"/>
                <w:sz w:val="21"/>
              </w:rPr>
              <w:t>上游方向记入库、下游方向记出库，同一业务的货量在不同模块符号相反</w:t>
            </w:r>
          </w:p>
        </w:tc>
        <w:tc>
          <w:tcPr>
            <w:tcW w:type="dxa" w:w="3572"/>
          </w:tcPr>
          <w:p>
            <w:pPr>
              <w:spacing w:before="20" w:after="20" w:line="276" w:lineRule="auto"/>
              <w:ind w:firstLine="0"/>
            </w:pPr>
            <w:r/>
            <w:r>
              <w:rPr>
                <w:rFonts w:ascii="Times New Roman" w:hAnsi="Times New Roman" w:eastAsia="宋体"/>
                <w:b w:val="0"/>
                <w:i w:val="0"/>
                <w:sz w:val="21"/>
              </w:rPr>
              <w:t>统一为上游货转与下游货转两类，业务方向与账面库存增减方向一一对应并写入统一口径</w:t>
            </w:r>
          </w:p>
        </w:tc>
      </w:tr>
      <w:tr>
        <w:tc>
          <w:tcPr>
            <w:tcW w:type="dxa" w:w="1928"/>
          </w:tcPr>
          <w:p>
            <w:pPr>
              <w:spacing w:before="20" w:after="20" w:line="276" w:lineRule="auto"/>
              <w:ind w:firstLine="0"/>
            </w:pPr>
            <w:r/>
            <w:r>
              <w:rPr>
                <w:rFonts w:ascii="Times New Roman" w:hAnsi="Times New Roman" w:eastAsia="宋体"/>
                <w:b w:val="0"/>
                <w:i w:val="0"/>
                <w:sz w:val="21"/>
              </w:rPr>
              <w:t>货转与收发货之间缺少强关联，货权凭证与实际物流脱节</w:t>
            </w:r>
          </w:p>
        </w:tc>
        <w:tc>
          <w:tcPr>
            <w:tcW w:type="dxa" w:w="3572"/>
          </w:tcPr>
          <w:p>
            <w:pPr>
              <w:spacing w:before="20" w:after="20" w:line="276" w:lineRule="auto"/>
              <w:ind w:firstLine="0"/>
            </w:pPr>
            <w:r/>
            <w:r>
              <w:rPr>
                <w:rFonts w:ascii="Times New Roman" w:hAnsi="Times New Roman" w:eastAsia="宋体"/>
                <w:b w:val="0"/>
                <w:i w:val="0"/>
                <w:sz w:val="21"/>
              </w:rPr>
              <w:t>货转单与发货单、收货单之间靠人工核对单号</w:t>
            </w:r>
          </w:p>
        </w:tc>
        <w:tc>
          <w:tcPr>
            <w:tcW w:type="dxa" w:w="3572"/>
          </w:tcPr>
          <w:p>
            <w:pPr>
              <w:spacing w:before="20" w:after="20" w:line="276" w:lineRule="auto"/>
              <w:ind w:firstLine="0"/>
            </w:pPr>
            <w:r/>
            <w:r>
              <w:rPr>
                <w:rFonts w:ascii="Times New Roman" w:hAnsi="Times New Roman" w:eastAsia="宋体"/>
                <w:b w:val="0"/>
                <w:i w:val="0"/>
                <w:sz w:val="21"/>
              </w:rPr>
              <w:t>开具货转须先针对合同登记收发货，合同单选、已开具的收货信息多选，货转与收发货记录直接绑定</w:t>
            </w:r>
          </w:p>
        </w:tc>
      </w:tr>
      <w:tr>
        <w:tc>
          <w:tcPr>
            <w:tcW w:type="dxa" w:w="1928"/>
          </w:tcPr>
          <w:p>
            <w:pPr>
              <w:spacing w:before="20" w:after="20" w:line="276" w:lineRule="auto"/>
              <w:ind w:firstLine="0"/>
            </w:pPr>
            <w:r/>
            <w:r>
              <w:rPr>
                <w:rFonts w:ascii="Times New Roman" w:hAnsi="Times New Roman" w:eastAsia="宋体"/>
                <w:b w:val="0"/>
                <w:i w:val="0"/>
                <w:sz w:val="21"/>
              </w:rPr>
              <w:t>货转发起与生效之间缺少可追踪节点</w:t>
            </w:r>
          </w:p>
        </w:tc>
        <w:tc>
          <w:tcPr>
            <w:tcW w:type="dxa" w:w="3572"/>
          </w:tcPr>
          <w:p>
            <w:pPr>
              <w:spacing w:before="20" w:after="20" w:line="276" w:lineRule="auto"/>
              <w:ind w:firstLine="0"/>
            </w:pPr>
            <w:r/>
            <w:r>
              <w:rPr>
                <w:rFonts w:ascii="Times New Roman" w:hAnsi="Times New Roman" w:eastAsia="宋体"/>
                <w:b w:val="0"/>
                <w:i w:val="0"/>
                <w:sz w:val="21"/>
              </w:rPr>
              <w:t>线下用印后再补登记，无法判断一单货转卡在哪个环节</w:t>
            </w:r>
          </w:p>
        </w:tc>
        <w:tc>
          <w:tcPr>
            <w:tcW w:type="dxa" w:w="3572"/>
          </w:tcPr>
          <w:p>
            <w:pPr>
              <w:spacing w:before="20" w:after="20" w:line="276" w:lineRule="auto"/>
              <w:ind w:firstLine="0"/>
            </w:pPr>
            <w:r/>
            <w:r>
              <w:rPr>
                <w:rFonts w:ascii="Times New Roman" w:hAnsi="Times New Roman" w:eastAsia="宋体"/>
                <w:b w:val="0"/>
                <w:i w:val="0"/>
                <w:sz w:val="21"/>
              </w:rPr>
              <w:t>主列表统一 6 态状态机，签署状态选择待签署触发内部串行审批，选择双签则跳过审批直接生效，全程可查</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4.10.2　背景与目标</w:t>
      </w:r>
    </w:p>
    <w:tbl>
      <w:tblPr>
        <w:tblStyle w:val="TableGrid"/>
        <w:tblW w:type="auto" w:w="0"/>
        <w:jc w:val="center"/>
        <w:tblLayout w:type="fixed"/>
        <w:tblLook w:firstColumn="1" w:firstRow="1" w:lastColumn="0" w:lastRow="0" w:noHBand="0" w:noVBand="1" w:val="04A0"/>
      </w:tblPr>
      <w:tblGrid>
        <w:gridCol w:w="8958"/>
      </w:tblGrid>
      <w:tr>
        <w:trPr>
          <w:tblHeader w:val="true"/>
        </w:trPr>
        <w:tc>
          <w:tcPr>
            <w:tcW w:type="dxa" w:w="9071"/>
            <w:shd w:val="clear" w:color="auto" w:fill="DCE6F1"/>
          </w:tcPr>
          <w:p>
            <w:pPr>
              <w:spacing w:before="40" w:after="40" w:line="276" w:lineRule="auto"/>
              <w:jc w:val="center"/>
            </w:pPr>
            <w:r/>
            <w:r>
              <w:rPr>
                <w:rFonts w:ascii="Times New Roman" w:hAnsi="Times New Roman" w:eastAsia="黑体"/>
                <w:b/>
                <w:i w:val="0"/>
                <w:sz w:val="21"/>
              </w:rPr>
              <w:t>目标 / 衡量口径</w:t>
            </w:r>
          </w:p>
        </w:tc>
      </w:tr>
      <w:tr>
        <w:tc>
          <w:tcPr>
            <w:tcW w:type="dxa" w:w="9071"/>
          </w:tcPr>
          <w:p>
            <w:pPr>
              <w:spacing w:before="20" w:after="20" w:line="276" w:lineRule="auto"/>
              <w:ind w:firstLine="0"/>
            </w:pPr>
            <w:r/>
            <w:r>
              <w:rPr>
                <w:rFonts w:ascii="Times New Roman" w:hAnsi="Times New Roman" w:eastAsia="宋体"/>
                <w:b w:val="0"/>
                <w:i w:val="0"/>
                <w:sz w:val="21"/>
              </w:rPr>
              <w:t>货转主列表状态机统一为 6 态（全部 / 审批中 / 待上传已生效单据 / 已生效 / 驳回 / 已作废），上下游货转共用同一套状态与枚举</w:t>
            </w:r>
          </w:p>
        </w:tc>
      </w:tr>
      <w:tr>
        <w:tc>
          <w:tcPr>
            <w:tcW w:type="dxa" w:w="9071"/>
          </w:tcPr>
          <w:p>
            <w:pPr>
              <w:spacing w:before="20" w:after="20" w:line="276" w:lineRule="auto"/>
              <w:ind w:firstLine="0"/>
            </w:pPr>
            <w:r/>
            <w:r>
              <w:rPr>
                <w:rFonts w:ascii="Times New Roman" w:hAnsi="Times New Roman" w:eastAsia="宋体"/>
                <w:b w:val="0"/>
                <w:i w:val="0"/>
                <w:sz w:val="21"/>
              </w:rPr>
              <w:t>货转类型口径统一为上游货转与下游货转两类，上游货转使账面库存增加、下游货转使账面库存减少</w:t>
            </w:r>
          </w:p>
        </w:tc>
      </w:tr>
      <w:tr>
        <w:tc>
          <w:tcPr>
            <w:tcW w:type="dxa" w:w="9071"/>
          </w:tcPr>
          <w:p>
            <w:pPr>
              <w:spacing w:before="20" w:after="20" w:line="276" w:lineRule="auto"/>
              <w:ind w:firstLine="0"/>
            </w:pPr>
            <w:r/>
            <w:r>
              <w:rPr>
                <w:rFonts w:ascii="Times New Roman" w:hAnsi="Times New Roman" w:eastAsia="宋体"/>
                <w:b w:val="0"/>
                <w:i w:val="0"/>
                <w:sz w:val="21"/>
              </w:rPr>
              <w:t>货转附件固定为 1 个必填加 1 个非必填，必填项为待盖章单据或已盖章单据并跟随签署状态</w:t>
            </w:r>
          </w:p>
        </w:tc>
      </w:tr>
      <w:tr>
        <w:tc>
          <w:tcPr>
            <w:tcW w:type="dxa" w:w="9071"/>
          </w:tcPr>
          <w:p>
            <w:pPr>
              <w:spacing w:before="20" w:after="20" w:line="276" w:lineRule="auto"/>
              <w:ind w:firstLine="0"/>
            </w:pPr>
            <w:r/>
            <w:r>
              <w:rPr>
                <w:rFonts w:ascii="Times New Roman" w:hAnsi="Times New Roman" w:eastAsia="宋体"/>
                <w:b w:val="0"/>
                <w:i w:val="0"/>
                <w:sz w:val="21"/>
              </w:rPr>
              <w:t>货转生效后自动联动仓储入库、仓储出库、库存台账与业务线账面库存四条链路，货转完成后可对对应合同发起结算登记</w:t>
            </w:r>
          </w:p>
        </w:tc>
      </w:tr>
    </w:tbl>
    <w:p>
      <w:pPr>
        <w:spacing w:before="0" w:after="0" w:line="240" w:lineRule="auto"/>
      </w:pPr>
    </w:p>
    <w:p>
      <w:pPr>
        <w:spacing w:before="80" w:after="120" w:line="360" w:lineRule="auto"/>
      </w:pPr>
      <w:r>
        <w:rPr>
          <w:rFonts w:ascii="Times New Roman" w:hAnsi="Times New Roman" w:eastAsia="宋体"/>
          <w:b w:val="0"/>
          <w:i w:val="0"/>
          <w:color w:val="595959"/>
          <w:sz w:val="21"/>
        </w:rPr>
        <w:t>说明：文中口径以业务方已确认结论为准；未确认项集中列于本章末与第 5 章。</w:t>
      </w:r>
    </w:p>
    <w:p>
      <w:pPr>
        <w:pStyle w:val="Heading3"/>
        <w:keepNext/>
        <w:spacing w:before="160" w:after="80" w:line="312" w:lineRule="auto"/>
        <w:ind w:firstLine="0"/>
      </w:pPr>
      <w:r>
        <w:rPr>
          <w:rFonts w:ascii="Times New Roman" w:hAnsi="Times New Roman" w:eastAsia="黑体"/>
          <w:b/>
          <w:i w:val="0"/>
          <w:sz w:val="24"/>
        </w:rPr>
        <w:t>4.10.3　角色与用户需求</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361"/>
            <w:shd w:val="clear" w:color="auto" w:fill="DCE6F1"/>
          </w:tcPr>
          <w:p>
            <w:pPr>
              <w:spacing w:before="40" w:after="40" w:line="276" w:lineRule="auto"/>
              <w:jc w:val="center"/>
            </w:pPr>
            <w:r/>
            <w:r>
              <w:rPr>
                <w:rFonts w:ascii="Times New Roman" w:hAnsi="Times New Roman" w:eastAsia="黑体"/>
                <w:b/>
                <w:i w:val="0"/>
                <w:sz w:val="21"/>
              </w:rPr>
              <w:t>角色</w:t>
            </w:r>
          </w:p>
        </w:tc>
        <w:tc>
          <w:tcPr>
            <w:tcW w:type="dxa" w:w="1247"/>
            <w:shd w:val="clear" w:color="auto" w:fill="DCE6F1"/>
          </w:tcPr>
          <w:p>
            <w:pPr>
              <w:spacing w:before="40" w:after="40" w:line="276" w:lineRule="auto"/>
              <w:jc w:val="center"/>
            </w:pPr>
            <w:r/>
            <w:r>
              <w:rPr>
                <w:rFonts w:ascii="Times New Roman" w:hAnsi="Times New Roman" w:eastAsia="黑体"/>
                <w:b/>
                <w:i w:val="0"/>
                <w:sz w:val="21"/>
              </w:rPr>
              <w:t>所属部门</w:t>
            </w:r>
          </w:p>
        </w:tc>
        <w:tc>
          <w:tcPr>
            <w:tcW w:type="dxa" w:w="6463"/>
            <w:shd w:val="clear" w:color="auto" w:fill="DCE6F1"/>
          </w:tcPr>
          <w:p>
            <w:pPr>
              <w:spacing w:before="40" w:after="40" w:line="276" w:lineRule="auto"/>
              <w:jc w:val="center"/>
            </w:pPr>
            <w:r/>
            <w:r>
              <w:rPr>
                <w:rFonts w:ascii="Times New Roman" w:hAnsi="Times New Roman" w:eastAsia="黑体"/>
                <w:b/>
                <w:i w:val="0"/>
                <w:sz w:val="21"/>
              </w:rPr>
              <w:t>用户需求（我要…以便…）</w:t>
            </w:r>
          </w:p>
        </w:tc>
      </w:tr>
      <w:tr>
        <w:tc>
          <w:tcPr>
            <w:tcW w:type="dxa" w:w="1361"/>
          </w:tcPr>
          <w:p>
            <w:pPr>
              <w:spacing w:before="20" w:after="20" w:line="276" w:lineRule="auto"/>
              <w:ind w:firstLine="0"/>
            </w:pPr>
            <w:r/>
            <w:r>
              <w:rPr>
                <w:rFonts w:ascii="Times New Roman" w:hAnsi="Times New Roman" w:eastAsia="宋体"/>
                <w:b w:val="0"/>
                <w:i w:val="0"/>
                <w:sz w:val="21"/>
              </w:rPr>
              <w:t>卖方（上游供应商）</w:t>
            </w:r>
          </w:p>
        </w:tc>
        <w:tc>
          <w:tcPr>
            <w:tcW w:type="dxa" w:w="1247"/>
          </w:tcPr>
          <w:p>
            <w:pPr>
              <w:spacing w:before="20" w:after="20" w:line="276" w:lineRule="auto"/>
              <w:ind w:firstLine="0"/>
            </w:pPr>
            <w:r/>
            <w:r>
              <w:rPr>
                <w:rFonts w:ascii="Times New Roman" w:hAnsi="Times New Roman" w:eastAsia="宋体"/>
                <w:b w:val="0"/>
                <w:i w:val="0"/>
                <w:sz w:val="21"/>
              </w:rPr>
              <w:t>供应商</w:t>
            </w:r>
          </w:p>
        </w:tc>
        <w:tc>
          <w:tcPr>
            <w:tcW w:type="dxa" w:w="6463"/>
          </w:tcPr>
          <w:p>
            <w:pPr>
              <w:spacing w:before="20" w:after="20" w:line="276" w:lineRule="auto"/>
              <w:ind w:firstLine="0"/>
            </w:pPr>
            <w:r/>
            <w:r>
              <w:rPr>
                <w:rFonts w:ascii="Times New Roman" w:hAnsi="Times New Roman" w:eastAsia="宋体"/>
                <w:b w:val="0"/>
                <w:i w:val="0"/>
                <w:sz w:val="21"/>
              </w:rPr>
              <w:t>我要上传货转凭证并发起上游货转，以便货权随货物一并转移</w:t>
            </w:r>
          </w:p>
        </w:tc>
      </w:tr>
      <w:tr>
        <w:tc>
          <w:tcPr>
            <w:tcW w:type="dxa" w:w="1361"/>
          </w:tcPr>
          <w:p>
            <w:pPr>
              <w:spacing w:before="20" w:after="20" w:line="276" w:lineRule="auto"/>
              <w:ind w:firstLine="0"/>
            </w:pPr>
            <w:r/>
            <w:r>
              <w:rPr>
                <w:rFonts w:ascii="Times New Roman" w:hAnsi="Times New Roman" w:eastAsia="宋体"/>
                <w:b w:val="0"/>
                <w:i w:val="0"/>
                <w:sz w:val="21"/>
              </w:rPr>
              <w:t>业务员</w:t>
            </w:r>
          </w:p>
        </w:tc>
        <w:tc>
          <w:tcPr>
            <w:tcW w:type="dxa" w:w="1247"/>
          </w:tcPr>
          <w:p>
            <w:pPr>
              <w:spacing w:before="20" w:after="20" w:line="276" w:lineRule="auto"/>
              <w:ind w:firstLine="0"/>
            </w:pPr>
            <w:r/>
            <w:r>
              <w:rPr>
                <w:rFonts w:ascii="Times New Roman" w:hAnsi="Times New Roman" w:eastAsia="宋体"/>
                <w:b w:val="0"/>
                <w:i w:val="0"/>
                <w:sz w:val="21"/>
              </w:rPr>
              <w:t>业务部</w:t>
            </w:r>
          </w:p>
        </w:tc>
        <w:tc>
          <w:tcPr>
            <w:tcW w:type="dxa" w:w="6463"/>
          </w:tcPr>
          <w:p>
            <w:pPr>
              <w:spacing w:before="20" w:after="20" w:line="276" w:lineRule="auto"/>
              <w:ind w:firstLine="0"/>
            </w:pPr>
            <w:r/>
            <w:r>
              <w:rPr>
                <w:rFonts w:ascii="Times New Roman" w:hAnsi="Times New Roman" w:eastAsia="宋体"/>
                <w:b w:val="0"/>
                <w:i w:val="0"/>
                <w:sz w:val="21"/>
              </w:rPr>
              <w:t>我要发起下游货转并确认识别出的字段，以便货权转出到下游客户</w:t>
            </w:r>
          </w:p>
        </w:tc>
      </w:tr>
      <w:tr>
        <w:tc>
          <w:tcPr>
            <w:tcW w:type="dxa" w:w="1361"/>
          </w:tcPr>
          <w:p>
            <w:pPr>
              <w:spacing w:before="20" w:after="20" w:line="276" w:lineRule="auto"/>
              <w:ind w:firstLine="0"/>
            </w:pPr>
            <w:r/>
            <w:r>
              <w:rPr>
                <w:rFonts w:ascii="Times New Roman" w:hAnsi="Times New Roman" w:eastAsia="宋体"/>
                <w:b w:val="0"/>
                <w:i w:val="0"/>
                <w:sz w:val="21"/>
              </w:rPr>
              <w:t>平台审核人（业务部与风控部）</w:t>
            </w:r>
          </w:p>
        </w:tc>
        <w:tc>
          <w:tcPr>
            <w:tcW w:type="dxa" w:w="1247"/>
          </w:tcPr>
          <w:p>
            <w:pPr>
              <w:spacing w:before="20" w:after="20" w:line="276" w:lineRule="auto"/>
              <w:ind w:firstLine="0"/>
            </w:pPr>
            <w:r/>
            <w:r>
              <w:rPr>
                <w:rFonts w:ascii="Times New Roman" w:hAnsi="Times New Roman" w:eastAsia="宋体"/>
                <w:b w:val="0"/>
                <w:i w:val="0"/>
                <w:sz w:val="21"/>
              </w:rPr>
              <w:t>业务部 / 风控部</w:t>
            </w:r>
          </w:p>
        </w:tc>
        <w:tc>
          <w:tcPr>
            <w:tcW w:type="dxa" w:w="6463"/>
          </w:tcPr>
          <w:p>
            <w:pPr>
              <w:spacing w:before="20" w:after="20" w:line="276" w:lineRule="auto"/>
              <w:ind w:firstLine="0"/>
            </w:pPr>
            <w:r/>
            <w:r>
              <w:rPr>
                <w:rFonts w:ascii="Times New Roman" w:hAnsi="Times New Roman" w:eastAsia="宋体"/>
                <w:b w:val="0"/>
                <w:i w:val="0"/>
                <w:sz w:val="21"/>
              </w:rPr>
              <w:t>我要审核已提交的货转，以便确认货权转移合规后放行</w:t>
            </w:r>
          </w:p>
        </w:tc>
      </w:tr>
      <w:tr>
        <w:tc>
          <w:tcPr>
            <w:tcW w:type="dxa" w:w="1361"/>
          </w:tcPr>
          <w:p>
            <w:pPr>
              <w:spacing w:before="20" w:after="20" w:line="276" w:lineRule="auto"/>
              <w:ind w:firstLine="0"/>
            </w:pPr>
            <w:r/>
            <w:r>
              <w:rPr>
                <w:rFonts w:ascii="Times New Roman" w:hAnsi="Times New Roman" w:eastAsia="宋体"/>
                <w:b w:val="0"/>
                <w:i w:val="0"/>
                <w:sz w:val="21"/>
              </w:rPr>
              <w:t>仓储方</w:t>
            </w:r>
          </w:p>
        </w:tc>
        <w:tc>
          <w:tcPr>
            <w:tcW w:type="dxa" w:w="1247"/>
          </w:tcPr>
          <w:p>
            <w:pPr>
              <w:spacing w:before="20" w:after="20" w:line="276" w:lineRule="auto"/>
              <w:ind w:firstLine="0"/>
            </w:pPr>
            <w:r/>
            <w:r>
              <w:rPr>
                <w:rFonts w:ascii="Times New Roman" w:hAnsi="Times New Roman" w:eastAsia="宋体"/>
                <w:b w:val="0"/>
                <w:i w:val="0"/>
                <w:sz w:val="21"/>
              </w:rPr>
              <w:t>仓储条线</w:t>
            </w:r>
          </w:p>
        </w:tc>
        <w:tc>
          <w:tcPr>
            <w:tcW w:type="dxa" w:w="6463"/>
          </w:tcPr>
          <w:p>
            <w:pPr>
              <w:spacing w:before="20" w:after="20" w:line="276" w:lineRule="auto"/>
              <w:ind w:firstLine="0"/>
            </w:pPr>
            <w:r/>
            <w:r>
              <w:rPr>
                <w:rFonts w:ascii="Times New Roman" w:hAnsi="Times New Roman" w:eastAsia="宋体"/>
                <w:b w:val="0"/>
                <w:i w:val="0"/>
                <w:sz w:val="21"/>
              </w:rPr>
              <w:t>我要在货转生效后接收入库或出库指令，以便账面与实物一致</w:t>
            </w:r>
          </w:p>
        </w:tc>
      </w:tr>
      <w:tr>
        <w:tc>
          <w:tcPr>
            <w:tcW w:type="dxa" w:w="1361"/>
          </w:tcPr>
          <w:p>
            <w:pPr>
              <w:spacing w:before="20" w:after="20" w:line="276" w:lineRule="auto"/>
              <w:ind w:firstLine="0"/>
            </w:pPr>
            <w:r/>
            <w:r>
              <w:rPr>
                <w:rFonts w:ascii="Times New Roman" w:hAnsi="Times New Roman" w:eastAsia="宋体"/>
                <w:b w:val="0"/>
                <w:i w:val="0"/>
                <w:sz w:val="21"/>
              </w:rPr>
              <w:t>下游客户</w:t>
            </w:r>
          </w:p>
        </w:tc>
        <w:tc>
          <w:tcPr>
            <w:tcW w:type="dxa" w:w="1247"/>
          </w:tcPr>
          <w:p>
            <w:pPr>
              <w:spacing w:before="20" w:after="20" w:line="276" w:lineRule="auto"/>
              <w:ind w:firstLine="0"/>
            </w:pPr>
            <w:r/>
            <w:r>
              <w:rPr>
                <w:rFonts w:ascii="Times New Roman" w:hAnsi="Times New Roman" w:eastAsia="宋体"/>
                <w:b w:val="0"/>
                <w:i w:val="0"/>
                <w:sz w:val="21"/>
              </w:rPr>
              <w:t>下游客户</w:t>
            </w:r>
          </w:p>
        </w:tc>
        <w:tc>
          <w:tcPr>
            <w:tcW w:type="dxa" w:w="6463"/>
          </w:tcPr>
          <w:p>
            <w:pPr>
              <w:spacing w:before="20" w:after="20" w:line="276" w:lineRule="auto"/>
              <w:ind w:firstLine="0"/>
            </w:pPr>
            <w:r/>
            <w:r>
              <w:rPr>
                <w:rFonts w:ascii="Times New Roman" w:hAnsi="Times New Roman" w:eastAsia="宋体"/>
                <w:b w:val="0"/>
                <w:i w:val="0"/>
                <w:sz w:val="21"/>
              </w:rPr>
              <w:t>我要在下游货转生效后接收货物，以便完成交付</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4.10.4　功能结构与范围</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474"/>
            <w:shd w:val="clear" w:color="auto" w:fill="DCE6F1"/>
          </w:tcPr>
          <w:p>
            <w:pPr>
              <w:spacing w:before="40" w:after="40" w:line="276" w:lineRule="auto"/>
              <w:jc w:val="center"/>
            </w:pPr>
            <w:r/>
            <w:r>
              <w:rPr>
                <w:rFonts w:ascii="Times New Roman" w:hAnsi="Times New Roman" w:eastAsia="黑体"/>
                <w:b/>
                <w:i w:val="0"/>
                <w:sz w:val="21"/>
              </w:rPr>
              <w:t>功能</w:t>
            </w:r>
          </w:p>
        </w:tc>
        <w:tc>
          <w:tcPr>
            <w:tcW w:type="dxa" w:w="3175"/>
            <w:shd w:val="clear" w:color="auto" w:fill="DCE6F1"/>
          </w:tcPr>
          <w:p>
            <w:pPr>
              <w:spacing w:before="40" w:after="40" w:line="276" w:lineRule="auto"/>
              <w:jc w:val="center"/>
            </w:pPr>
            <w:r/>
            <w:r>
              <w:rPr>
                <w:rFonts w:ascii="Times New Roman" w:hAnsi="Times New Roman" w:eastAsia="黑体"/>
                <w:b/>
                <w:i w:val="0"/>
                <w:sz w:val="21"/>
              </w:rPr>
              <w:t>功能说明</w:t>
            </w:r>
          </w:p>
        </w:tc>
        <w:tc>
          <w:tcPr>
            <w:tcW w:type="dxa" w:w="4422"/>
            <w:shd w:val="clear" w:color="auto" w:fill="DCE6F1"/>
          </w:tcPr>
          <w:p>
            <w:pPr>
              <w:spacing w:before="40" w:after="40" w:line="276" w:lineRule="auto"/>
              <w:jc w:val="center"/>
            </w:pPr>
            <w:r/>
            <w:r>
              <w:rPr>
                <w:rFonts w:ascii="Times New Roman" w:hAnsi="Times New Roman" w:eastAsia="黑体"/>
                <w:b/>
                <w:i w:val="0"/>
                <w:sz w:val="21"/>
              </w:rPr>
              <w:t>关键规则</w:t>
            </w:r>
          </w:p>
        </w:tc>
      </w:tr>
      <w:tr>
        <w:tc>
          <w:tcPr>
            <w:tcW w:type="dxa" w:w="1474"/>
          </w:tcPr>
          <w:p>
            <w:pPr>
              <w:spacing w:before="20" w:after="20" w:line="276" w:lineRule="auto"/>
              <w:ind w:firstLine="0"/>
            </w:pPr>
            <w:r/>
            <w:r>
              <w:rPr>
                <w:rFonts w:ascii="Times New Roman" w:hAnsi="Times New Roman" w:eastAsia="宋体"/>
                <w:b w:val="0"/>
                <w:i w:val="0"/>
                <w:sz w:val="21"/>
              </w:rPr>
              <w:t>上游货转与下游货转分类</w:t>
            </w:r>
          </w:p>
        </w:tc>
        <w:tc>
          <w:tcPr>
            <w:tcW w:type="dxa" w:w="3175"/>
          </w:tcPr>
          <w:p>
            <w:pPr>
              <w:spacing w:before="20" w:after="20" w:line="276" w:lineRule="auto"/>
              <w:ind w:firstLine="0"/>
            </w:pPr>
            <w:r/>
            <w:r>
              <w:rPr>
                <w:rFonts w:ascii="Times New Roman" w:hAnsi="Times New Roman" w:eastAsia="宋体"/>
                <w:b w:val="0"/>
                <w:i w:val="0"/>
                <w:sz w:val="21"/>
              </w:rPr>
              <w:t>货转分为上游货转与下游货转两类，分别对应货权从供应商转给核心企业、货权从核心企业转给下游客户</w:t>
            </w:r>
          </w:p>
        </w:tc>
        <w:tc>
          <w:tcPr>
            <w:tcW w:type="dxa" w:w="4422"/>
          </w:tcPr>
          <w:p>
            <w:pPr>
              <w:spacing w:before="20" w:after="20" w:line="276" w:lineRule="auto"/>
              <w:ind w:firstLine="0"/>
            </w:pPr>
            <w:r/>
            <w:r>
              <w:rPr>
                <w:rFonts w:ascii="Times New Roman" w:hAnsi="Times New Roman" w:eastAsia="宋体"/>
                <w:b w:val="0"/>
                <w:i w:val="0"/>
                <w:sz w:val="21"/>
              </w:rPr>
              <w:t>上游货转使业务线账面库存增加，下游货转使账面库存减少；两类货转共用同一套 6 态状态机与同一套状态枚举，不区分上下游专有枚举</w:t>
            </w:r>
          </w:p>
        </w:tc>
      </w:tr>
      <w:tr>
        <w:tc>
          <w:tcPr>
            <w:tcW w:type="dxa" w:w="1474"/>
          </w:tcPr>
          <w:p>
            <w:pPr>
              <w:spacing w:before="20" w:after="20" w:line="276" w:lineRule="auto"/>
              <w:ind w:firstLine="0"/>
            </w:pPr>
            <w:r/>
            <w:r>
              <w:rPr>
                <w:rFonts w:ascii="Times New Roman" w:hAnsi="Times New Roman" w:eastAsia="宋体"/>
                <w:b w:val="0"/>
                <w:i w:val="0"/>
                <w:sz w:val="21"/>
              </w:rPr>
              <w:t>开具货转五步流程</w:t>
            </w:r>
          </w:p>
        </w:tc>
        <w:tc>
          <w:tcPr>
            <w:tcW w:type="dxa" w:w="3175"/>
          </w:tcPr>
          <w:p>
            <w:pPr>
              <w:spacing w:before="20" w:after="20" w:line="276" w:lineRule="auto"/>
              <w:ind w:firstLine="0"/>
            </w:pPr>
            <w:r/>
            <w:r>
              <w:rPr>
                <w:rFonts w:ascii="Times New Roman" w:hAnsi="Times New Roman" w:eastAsia="宋体"/>
                <w:b w:val="0"/>
                <w:i w:val="0"/>
                <w:sz w:val="21"/>
              </w:rPr>
              <w:t>从主列表开具货转入口出发，依次完成合同选择、收货信息选择、日期与数量填写、签署状态选择、附件上传与提交</w:t>
            </w:r>
          </w:p>
        </w:tc>
        <w:tc>
          <w:tcPr>
            <w:tcW w:type="dxa" w:w="4422"/>
          </w:tcPr>
          <w:p>
            <w:pPr>
              <w:spacing w:before="20" w:after="20" w:line="276" w:lineRule="auto"/>
              <w:ind w:firstLine="0"/>
            </w:pPr>
            <w:r/>
            <w:r>
              <w:rPr>
                <w:rFonts w:ascii="Times New Roman" w:hAnsi="Times New Roman" w:eastAsia="宋体"/>
                <w:b w:val="0"/>
                <w:i w:val="0"/>
                <w:sz w:val="21"/>
              </w:rPr>
              <w:t>合同单选；收货信息可多选且必须是已开具的收货记录；货转数量按实际业务货转单填写；签署状态取值为待签署或双签；提交前必须上传货转附件</w:t>
            </w:r>
          </w:p>
        </w:tc>
      </w:tr>
      <w:tr>
        <w:tc>
          <w:tcPr>
            <w:tcW w:type="dxa" w:w="1474"/>
          </w:tcPr>
          <w:p>
            <w:pPr>
              <w:spacing w:before="20" w:after="20" w:line="276" w:lineRule="auto"/>
              <w:ind w:firstLine="0"/>
            </w:pPr>
            <w:r/>
            <w:r>
              <w:rPr>
                <w:rFonts w:ascii="Times New Roman" w:hAnsi="Times New Roman" w:eastAsia="宋体"/>
                <w:b w:val="0"/>
                <w:i w:val="0"/>
                <w:sz w:val="21"/>
              </w:rPr>
              <w:t>签署状态决定审批路径</w:t>
            </w:r>
          </w:p>
        </w:tc>
        <w:tc>
          <w:tcPr>
            <w:tcW w:type="dxa" w:w="3175"/>
          </w:tcPr>
          <w:p>
            <w:pPr>
              <w:spacing w:before="20" w:after="20" w:line="276" w:lineRule="auto"/>
              <w:ind w:firstLine="0"/>
            </w:pPr>
            <w:r/>
            <w:r>
              <w:rPr>
                <w:rFonts w:ascii="Times New Roman" w:hAnsi="Times New Roman" w:eastAsia="宋体"/>
                <w:b w:val="0"/>
                <w:i w:val="0"/>
                <w:sz w:val="21"/>
              </w:rPr>
              <w:t>签署状态决定货转是进入内部串行审批还是直接生效</w:t>
            </w:r>
          </w:p>
        </w:tc>
        <w:tc>
          <w:tcPr>
            <w:tcW w:type="dxa" w:w="4422"/>
          </w:tcPr>
          <w:p>
            <w:pPr>
              <w:spacing w:before="20" w:after="20" w:line="276" w:lineRule="auto"/>
              <w:ind w:firstLine="0"/>
            </w:pPr>
            <w:r/>
            <w:r>
              <w:rPr>
                <w:rFonts w:ascii="Times New Roman" w:hAnsi="Times New Roman" w:eastAsia="宋体"/>
                <w:b w:val="0"/>
                <w:i w:val="0"/>
                <w:sz w:val="21"/>
              </w:rPr>
              <w:t>签署状态为待签署时触发平台内部串行审批，货转进入审批中；签署状态为双签时默认跳过审批直接生效，货转直接进入已生效；两条路径在同一套状态机内落地</w:t>
            </w:r>
          </w:p>
        </w:tc>
      </w:tr>
      <w:tr>
        <w:tc>
          <w:tcPr>
            <w:tcW w:type="dxa" w:w="1474"/>
          </w:tcPr>
          <w:p>
            <w:pPr>
              <w:spacing w:before="20" w:after="20" w:line="276" w:lineRule="auto"/>
              <w:ind w:firstLine="0"/>
            </w:pPr>
            <w:r/>
            <w:r>
              <w:rPr>
                <w:rFonts w:ascii="Times New Roman" w:hAnsi="Times New Roman" w:eastAsia="宋体"/>
                <w:b w:val="0"/>
                <w:i w:val="0"/>
                <w:sz w:val="21"/>
              </w:rPr>
              <w:t>货转状态机与作废</w:t>
            </w:r>
          </w:p>
        </w:tc>
        <w:tc>
          <w:tcPr>
            <w:tcW w:type="dxa" w:w="3175"/>
          </w:tcPr>
          <w:p>
            <w:pPr>
              <w:spacing w:before="20" w:after="20" w:line="276" w:lineRule="auto"/>
              <w:ind w:firstLine="0"/>
            </w:pPr>
            <w:r/>
            <w:r>
              <w:rPr>
                <w:rFonts w:ascii="Times New Roman" w:hAnsi="Times New Roman" w:eastAsia="宋体"/>
                <w:b w:val="0"/>
                <w:i w:val="0"/>
                <w:sz w:val="21"/>
              </w:rPr>
              <w:t>主列表状态为全部、审批中、待上传已生效单据、已生效、驳回、已作废 6 项</w:t>
            </w:r>
          </w:p>
        </w:tc>
        <w:tc>
          <w:tcPr>
            <w:tcW w:type="dxa" w:w="4422"/>
          </w:tcPr>
          <w:p>
            <w:pPr>
              <w:spacing w:before="20" w:after="20" w:line="276" w:lineRule="auto"/>
              <w:ind w:firstLine="0"/>
            </w:pPr>
            <w:r/>
            <w:r>
              <w:rPr>
                <w:rFonts w:ascii="Times New Roman" w:hAnsi="Times New Roman" w:eastAsia="宋体"/>
                <w:b w:val="0"/>
                <w:i w:val="0"/>
                <w:sz w:val="21"/>
              </w:rPr>
              <w:t>待上传已生效单据状态停留超过 30 天未上传已生效单据，系统自动作废并提示；已生效货转不可作废，提示已生效货转不能作废，请走解除流程；驳回与已作废均为终态</w:t>
            </w:r>
          </w:p>
        </w:tc>
      </w:tr>
      <w:tr>
        <w:tc>
          <w:tcPr>
            <w:tcW w:type="dxa" w:w="1474"/>
          </w:tcPr>
          <w:p>
            <w:pPr>
              <w:spacing w:before="20" w:after="20" w:line="276" w:lineRule="auto"/>
              <w:ind w:firstLine="0"/>
            </w:pPr>
            <w:r/>
            <w:r>
              <w:rPr>
                <w:rFonts w:ascii="Times New Roman" w:hAnsi="Times New Roman" w:eastAsia="宋体"/>
                <w:b w:val="0"/>
                <w:i w:val="0"/>
                <w:sz w:val="21"/>
              </w:rPr>
              <w:t>货转附件规则</w:t>
            </w:r>
          </w:p>
        </w:tc>
        <w:tc>
          <w:tcPr>
            <w:tcW w:type="dxa" w:w="3175"/>
          </w:tcPr>
          <w:p>
            <w:pPr>
              <w:spacing w:before="20" w:after="20" w:line="276" w:lineRule="auto"/>
              <w:ind w:firstLine="0"/>
            </w:pPr>
            <w:r/>
            <w:r>
              <w:rPr>
                <w:rFonts w:ascii="Times New Roman" w:hAnsi="Times New Roman" w:eastAsia="宋体"/>
                <w:b w:val="0"/>
                <w:i w:val="0"/>
                <w:sz w:val="21"/>
              </w:rPr>
              <w:t>货转附件固定为 1 个必填加 1 个非必填</w:t>
            </w:r>
          </w:p>
        </w:tc>
        <w:tc>
          <w:tcPr>
            <w:tcW w:type="dxa" w:w="4422"/>
          </w:tcPr>
          <w:p>
            <w:pPr>
              <w:spacing w:before="20" w:after="20" w:line="276" w:lineRule="auto"/>
              <w:ind w:firstLine="0"/>
            </w:pPr>
            <w:r/>
            <w:r>
              <w:rPr>
                <w:rFonts w:ascii="Times New Roman" w:hAnsi="Times New Roman" w:eastAsia="宋体"/>
                <w:b w:val="0"/>
                <w:i w:val="0"/>
                <w:sz w:val="21"/>
              </w:rPr>
              <w:t>必填项为待盖章单据或已盖章单据，跟随签署状态选择：签署状态为待签署时必填待盖章单据，为双签时必填已盖章单据；上传弹窗不提供单据类型下拉；非必填附件的类型取值尚未明确</w:t>
            </w:r>
          </w:p>
        </w:tc>
      </w:tr>
      <w:tr>
        <w:tc>
          <w:tcPr>
            <w:tcW w:type="dxa" w:w="1474"/>
          </w:tcPr>
          <w:p>
            <w:pPr>
              <w:spacing w:before="20" w:after="20" w:line="276" w:lineRule="auto"/>
              <w:ind w:firstLine="0"/>
            </w:pPr>
            <w:r/>
            <w:r>
              <w:rPr>
                <w:rFonts w:ascii="Times New Roman" w:hAnsi="Times New Roman" w:eastAsia="宋体"/>
                <w:b w:val="0"/>
                <w:i w:val="0"/>
                <w:sz w:val="21"/>
              </w:rPr>
              <w:t>凭证智能识别</w:t>
            </w:r>
          </w:p>
        </w:tc>
        <w:tc>
          <w:tcPr>
            <w:tcW w:type="dxa" w:w="3175"/>
          </w:tcPr>
          <w:p>
            <w:pPr>
              <w:spacing w:before="20" w:after="20" w:line="276" w:lineRule="auto"/>
              <w:ind w:firstLine="0"/>
            </w:pPr>
            <w:r/>
            <w:r>
              <w:rPr>
                <w:rFonts w:ascii="Times New Roman" w:hAnsi="Times New Roman" w:eastAsia="宋体"/>
                <w:b w:val="0"/>
                <w:i w:val="0"/>
                <w:sz w:val="21"/>
              </w:rPr>
              <w:t>上传铁路运单、商品所有权确认单、提货单时自动识别并回填表单字段，业务员确认或调整后提交</w:t>
            </w:r>
          </w:p>
        </w:tc>
        <w:tc>
          <w:tcPr>
            <w:tcW w:type="dxa" w:w="4422"/>
          </w:tcPr>
          <w:p>
            <w:pPr>
              <w:spacing w:before="20" w:after="20" w:line="276" w:lineRule="auto"/>
              <w:ind w:firstLine="0"/>
            </w:pPr>
            <w:r/>
            <w:r>
              <w:rPr>
                <w:rFonts w:ascii="Times New Roman" w:hAnsi="Times New Roman" w:eastAsia="宋体"/>
                <w:b w:val="0"/>
                <w:i w:val="0"/>
                <w:sz w:val="21"/>
              </w:rPr>
              <w:t>铁路运单识别 8 项（运单号、发货人、收货人、品名、数量、发站、到站、日期）；商品所有权确认单识别 6 项（单号、所有权人、受让人、品名、数量、转移日期）；提货单识别 5 项（单号、提货人、品名、数量、提货日期）；识别失败时提示 OCR 识别失败，请手动填写并降级为手动录入，不阻断提交</w:t>
            </w:r>
          </w:p>
        </w:tc>
      </w:tr>
      <w:tr>
        <w:tc>
          <w:tcPr>
            <w:tcW w:type="dxa" w:w="1474"/>
          </w:tcPr>
          <w:p>
            <w:pPr>
              <w:spacing w:before="20" w:after="20" w:line="276" w:lineRule="auto"/>
              <w:ind w:firstLine="0"/>
            </w:pPr>
            <w:r/>
            <w:r>
              <w:rPr>
                <w:rFonts w:ascii="Times New Roman" w:hAnsi="Times New Roman" w:eastAsia="宋体"/>
                <w:b w:val="0"/>
                <w:i w:val="0"/>
                <w:sz w:val="21"/>
              </w:rPr>
              <w:t>货转生效后的四路联动</w:t>
            </w:r>
          </w:p>
        </w:tc>
        <w:tc>
          <w:tcPr>
            <w:tcW w:type="dxa" w:w="3175"/>
          </w:tcPr>
          <w:p>
            <w:pPr>
              <w:spacing w:before="20" w:after="20" w:line="276" w:lineRule="auto"/>
              <w:ind w:firstLine="0"/>
            </w:pPr>
            <w:r/>
            <w:r>
              <w:rPr>
                <w:rFonts w:ascii="Times New Roman" w:hAnsi="Times New Roman" w:eastAsia="宋体"/>
                <w:b w:val="0"/>
                <w:i w:val="0"/>
                <w:sz w:val="21"/>
              </w:rPr>
              <w:t>货转生效后联动仓储入库、仓储出库、库存台账与业务线账面库存</w:t>
            </w:r>
          </w:p>
        </w:tc>
        <w:tc>
          <w:tcPr>
            <w:tcW w:type="dxa" w:w="4422"/>
          </w:tcPr>
          <w:p>
            <w:pPr>
              <w:spacing w:before="20" w:after="20" w:line="276" w:lineRule="auto"/>
              <w:ind w:firstLine="0"/>
            </w:pPr>
            <w:r/>
            <w:r>
              <w:rPr>
                <w:rFonts w:ascii="Times New Roman" w:hAnsi="Times New Roman" w:eastAsia="宋体"/>
                <w:b w:val="0"/>
                <w:i w:val="0"/>
                <w:sz w:val="21"/>
              </w:rPr>
              <w:t>上游货转生效触发仓储入库登记，下游货转生效触发仓储出库登记，货转生效更新库存台账数量，业务线账面库存按已收货转加、已开货转减重算；任一路联动失败是否回滚货转状态尚未定义</w:t>
            </w:r>
          </w:p>
        </w:tc>
      </w:tr>
      <w:tr>
        <w:tc>
          <w:tcPr>
            <w:tcW w:type="dxa" w:w="1474"/>
          </w:tcPr>
          <w:p>
            <w:pPr>
              <w:spacing w:before="20" w:after="20" w:line="276" w:lineRule="auto"/>
              <w:ind w:firstLine="0"/>
            </w:pPr>
            <w:r/>
            <w:r>
              <w:rPr>
                <w:rFonts w:ascii="Times New Roman" w:hAnsi="Times New Roman" w:eastAsia="宋体"/>
                <w:b w:val="0"/>
                <w:i w:val="0"/>
                <w:sz w:val="21"/>
              </w:rPr>
              <w:t>货转与合同、结算、发票的关联</w:t>
            </w:r>
          </w:p>
        </w:tc>
        <w:tc>
          <w:tcPr>
            <w:tcW w:type="dxa" w:w="3175"/>
          </w:tcPr>
          <w:p>
            <w:pPr>
              <w:spacing w:before="20" w:after="20" w:line="276" w:lineRule="auto"/>
              <w:ind w:firstLine="0"/>
            </w:pPr>
            <w:r/>
            <w:r>
              <w:rPr>
                <w:rFonts w:ascii="Times New Roman" w:hAnsi="Times New Roman" w:eastAsia="宋体"/>
                <w:b w:val="0"/>
                <w:i w:val="0"/>
                <w:sz w:val="21"/>
              </w:rPr>
              <w:t>货转登记与合同绑定，货转完成后可对对应合同发起结算登记，发票的合同关联随之重新绑定</w:t>
            </w:r>
          </w:p>
        </w:tc>
        <w:tc>
          <w:tcPr>
            <w:tcW w:type="dxa" w:w="4422"/>
          </w:tcPr>
          <w:p>
            <w:pPr>
              <w:spacing w:before="20" w:after="20" w:line="276" w:lineRule="auto"/>
              <w:ind w:firstLine="0"/>
            </w:pPr>
            <w:r/>
            <w:r>
              <w:rPr>
                <w:rFonts w:ascii="Times New Roman" w:hAnsi="Times New Roman" w:eastAsia="宋体"/>
                <w:b w:val="0"/>
                <w:i w:val="0"/>
                <w:sz w:val="21"/>
              </w:rPr>
              <w:t>货转必须关联执行中状态的合同，关联合同已作废时提示该合同已作废，无法货转；货转编号与合同编号均冗余保存在货转记录上；已开具货转后可进行对应合同的结算登记</w:t>
            </w:r>
          </w:p>
        </w:tc>
      </w:tr>
      <w:tr>
        <w:tc>
          <w:tcPr>
            <w:tcW w:type="dxa" w:w="1474"/>
          </w:tcPr>
          <w:p>
            <w:pPr>
              <w:spacing w:before="20" w:after="20" w:line="276" w:lineRule="auto"/>
              <w:ind w:firstLine="0"/>
            </w:pPr>
            <w:r/>
            <w:r>
              <w:rPr>
                <w:rFonts w:ascii="Times New Roman" w:hAnsi="Times New Roman" w:eastAsia="宋体"/>
                <w:b w:val="0"/>
                <w:i w:val="0"/>
                <w:sz w:val="21"/>
              </w:rPr>
              <w:t>货转数量校验与方向纠错</w:t>
            </w:r>
          </w:p>
        </w:tc>
        <w:tc>
          <w:tcPr>
            <w:tcW w:type="dxa" w:w="3175"/>
          </w:tcPr>
          <w:p>
            <w:pPr>
              <w:spacing w:before="20" w:after="20" w:line="276" w:lineRule="auto"/>
              <w:ind w:firstLine="0"/>
            </w:pPr>
            <w:r/>
            <w:r>
              <w:rPr>
                <w:rFonts w:ascii="Times New Roman" w:hAnsi="Times New Roman" w:eastAsia="宋体"/>
                <w:b w:val="0"/>
                <w:i w:val="0"/>
                <w:sz w:val="21"/>
              </w:rPr>
              <w:t>货转数量受合同剩余数量与可用库存双重约束，并对货转类型方向做纠错</w:t>
            </w:r>
          </w:p>
        </w:tc>
        <w:tc>
          <w:tcPr>
            <w:tcW w:type="dxa" w:w="4422"/>
          </w:tcPr>
          <w:p>
            <w:pPr>
              <w:spacing w:before="20" w:after="20" w:line="276" w:lineRule="auto"/>
              <w:ind w:firstLine="0"/>
            </w:pPr>
            <w:r/>
            <w:r>
              <w:rPr>
                <w:rFonts w:ascii="Times New Roman" w:hAnsi="Times New Roman" w:eastAsia="宋体"/>
                <w:b w:val="0"/>
                <w:i w:val="0"/>
                <w:sz w:val="21"/>
              </w:rPr>
              <w:t>货转数量超过合同剩余数量时提示货转数量 X 超过合同剩余数量 Y，超过可用库存时提示货转数量不能大于可用库存；上游与下游类型登记与实际业务不符时顶部红色条提示货转类型错误；两级校验的先后关系尚未定义</w:t>
            </w:r>
          </w:p>
        </w:tc>
      </w:tr>
    </w:tbl>
    <w:p>
      <w:pPr>
        <w:spacing w:before="0" w:after="0" w:line="240" w:lineRule="auto"/>
      </w:pP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tblGrid>
      <w:tr>
        <w:trPr>
          <w:tblHeader w:val="true"/>
        </w:trPr>
        <w:tc>
          <w:tcPr>
            <w:tcW w:type="dxa" w:w="1247"/>
            <w:shd w:val="clear" w:color="auto" w:fill="DCE6F1"/>
          </w:tcPr>
          <w:p>
            <w:pPr>
              <w:spacing w:before="40" w:after="40" w:line="276" w:lineRule="auto"/>
              <w:jc w:val="center"/>
            </w:pPr>
            <w:r/>
            <w:r>
              <w:rPr>
                <w:rFonts w:ascii="Times New Roman" w:hAnsi="Times New Roman" w:eastAsia="黑体"/>
                <w:b/>
                <w:i w:val="0"/>
                <w:sz w:val="19"/>
              </w:rPr>
              <w:t>页面</w:t>
            </w:r>
          </w:p>
        </w:tc>
        <w:tc>
          <w:tcPr>
            <w:tcW w:type="dxa" w:w="1474"/>
            <w:shd w:val="clear" w:color="auto" w:fill="DCE6F1"/>
          </w:tcPr>
          <w:p>
            <w:pPr>
              <w:spacing w:before="40" w:after="40" w:line="276" w:lineRule="auto"/>
              <w:jc w:val="center"/>
            </w:pPr>
            <w:r/>
            <w:r>
              <w:rPr>
                <w:rFonts w:ascii="Times New Roman" w:hAnsi="Times New Roman" w:eastAsia="黑体"/>
                <w:b/>
                <w:i w:val="0"/>
                <w:sz w:val="19"/>
              </w:rPr>
              <w:t>文件</w:t>
            </w:r>
          </w:p>
        </w:tc>
        <w:tc>
          <w:tcPr>
            <w:tcW w:type="dxa" w:w="1134"/>
            <w:shd w:val="clear" w:color="auto" w:fill="DCE6F1"/>
          </w:tcPr>
          <w:p>
            <w:pPr>
              <w:spacing w:before="40" w:after="40" w:line="276" w:lineRule="auto"/>
              <w:jc w:val="center"/>
            </w:pPr>
            <w:r/>
            <w:r>
              <w:rPr>
                <w:rFonts w:ascii="Times New Roman" w:hAnsi="Times New Roman" w:eastAsia="黑体"/>
                <w:b/>
                <w:i w:val="0"/>
                <w:sz w:val="19"/>
              </w:rPr>
              <w:t>入口</w:t>
            </w:r>
          </w:p>
        </w:tc>
        <w:tc>
          <w:tcPr>
            <w:tcW w:type="dxa" w:w="2041"/>
            <w:shd w:val="clear" w:color="auto" w:fill="DCE6F1"/>
          </w:tcPr>
          <w:p>
            <w:pPr>
              <w:spacing w:before="40" w:after="40" w:line="276" w:lineRule="auto"/>
              <w:jc w:val="center"/>
            </w:pPr>
            <w:r/>
            <w:r>
              <w:rPr>
                <w:rFonts w:ascii="Times New Roman" w:hAnsi="Times New Roman" w:eastAsia="黑体"/>
                <w:b/>
                <w:i w:val="0"/>
                <w:sz w:val="19"/>
              </w:rPr>
              <w:t>主要区块</w:t>
            </w:r>
          </w:p>
        </w:tc>
        <w:tc>
          <w:tcPr>
            <w:tcW w:type="dxa" w:w="1701"/>
            <w:shd w:val="clear" w:color="auto" w:fill="DCE6F1"/>
          </w:tcPr>
          <w:p>
            <w:pPr>
              <w:spacing w:before="40" w:after="40" w:line="276" w:lineRule="auto"/>
              <w:jc w:val="center"/>
            </w:pPr>
            <w:r/>
            <w:r>
              <w:rPr>
                <w:rFonts w:ascii="Times New Roman" w:hAnsi="Times New Roman" w:eastAsia="黑体"/>
                <w:b/>
                <w:i w:val="0"/>
                <w:sz w:val="19"/>
              </w:rPr>
              <w:t>主要操作</w:t>
            </w:r>
          </w:p>
        </w:tc>
        <w:tc>
          <w:tcPr>
            <w:tcW w:type="dxa" w:w="1474"/>
            <w:shd w:val="clear" w:color="auto" w:fill="DCE6F1"/>
          </w:tcPr>
          <w:p>
            <w:pPr>
              <w:spacing w:before="40" w:after="40" w:line="276" w:lineRule="auto"/>
              <w:jc w:val="center"/>
            </w:pPr>
            <w:r/>
            <w:r>
              <w:rPr>
                <w:rFonts w:ascii="Times New Roman" w:hAnsi="Times New Roman" w:eastAsia="黑体"/>
                <w:b/>
                <w:i w:val="0"/>
                <w:sz w:val="19"/>
              </w:rPr>
              <w:t>跳转</w:t>
            </w:r>
          </w:p>
        </w:tc>
      </w:tr>
      <w:tr>
        <w:tc>
          <w:tcPr>
            <w:tcW w:type="dxa" w:w="1247"/>
          </w:tcPr>
          <w:p>
            <w:pPr>
              <w:spacing w:before="20" w:after="20" w:line="276" w:lineRule="auto"/>
              <w:ind w:firstLine="0"/>
            </w:pPr>
            <w:r/>
            <w:r>
              <w:rPr>
                <w:rFonts w:ascii="Times New Roman" w:hAnsi="Times New Roman" w:eastAsia="宋体"/>
                <w:b w:val="0"/>
                <w:i w:val="0"/>
                <w:sz w:val="19"/>
              </w:rPr>
              <w:t>货转管理（主列表）</w:t>
            </w:r>
          </w:p>
        </w:tc>
        <w:tc>
          <w:tcPr>
            <w:tcW w:type="dxa" w:w="1474"/>
          </w:tcPr>
          <w:p>
            <w:pPr>
              <w:spacing w:before="20" w:after="20" w:line="276" w:lineRule="auto"/>
              <w:ind w:firstLine="0"/>
            </w:pPr>
            <w:r/>
            <w:r>
              <w:rPr>
                <w:rFonts w:ascii="Times New Roman" w:hAnsi="Times New Roman" w:eastAsia="宋体"/>
                <w:b w:val="0"/>
                <w:i w:val="0"/>
                <w:sz w:val="19"/>
              </w:rPr>
              <w:t>goods-transfer.html</w:t>
            </w:r>
          </w:p>
        </w:tc>
        <w:tc>
          <w:tcPr>
            <w:tcW w:type="dxa" w:w="1134"/>
          </w:tcPr>
          <w:p>
            <w:pPr>
              <w:spacing w:before="20" w:after="20" w:line="276" w:lineRule="auto"/>
              <w:ind w:firstLine="0"/>
            </w:pPr>
            <w:r/>
            <w:r>
              <w:rPr>
                <w:rFonts w:ascii="Times New Roman" w:hAnsi="Times New Roman" w:eastAsia="宋体"/>
                <w:b w:val="0"/>
                <w:i w:val="0"/>
                <w:sz w:val="19"/>
              </w:rPr>
              <w:t>数字供应链 → 货转管理</w:t>
            </w:r>
          </w:p>
        </w:tc>
        <w:tc>
          <w:tcPr>
            <w:tcW w:type="dxa" w:w="2041"/>
          </w:tcPr>
          <w:p>
            <w:pPr>
              <w:spacing w:before="20" w:after="20" w:line="276" w:lineRule="auto"/>
              <w:ind w:firstLine="0"/>
            </w:pPr>
            <w:r/>
            <w:r>
              <w:rPr>
                <w:rFonts w:ascii="Times New Roman" w:hAnsi="Times New Roman" w:eastAsia="宋体"/>
                <w:b w:val="0"/>
                <w:i w:val="0"/>
                <w:sz w:val="19"/>
              </w:rPr>
              <w:t>上游与下游方向切换、状态 Tab（全部 / 审批中 / 待上传已生效单据 / 已生效 / 驳回 / 已作废）、筛选区（编号、货转编号、买方企业、卖方企业、货转开具日期、状态）、上游 7 列与下游 10 列两套列表、分页</w:t>
            </w:r>
          </w:p>
        </w:tc>
        <w:tc>
          <w:tcPr>
            <w:tcW w:type="dxa" w:w="1701"/>
          </w:tcPr>
          <w:p>
            <w:pPr>
              <w:spacing w:before="20" w:after="20" w:line="276" w:lineRule="auto"/>
              <w:ind w:firstLine="0"/>
            </w:pPr>
            <w:r/>
            <w:r>
              <w:rPr>
                <w:rFonts w:ascii="Times New Roman" w:hAnsi="Times New Roman" w:eastAsia="宋体"/>
                <w:b w:val="0"/>
                <w:i w:val="0"/>
                <w:sz w:val="19"/>
              </w:rPr>
              <w:t>开具货转（下拉：上传上游货转 / 新增下游货转）、批量下载、数据导出；行内：查看、作废、下载；上传已生效单据（居中弹窗提交）</w:t>
            </w:r>
          </w:p>
        </w:tc>
        <w:tc>
          <w:tcPr>
            <w:tcW w:type="dxa" w:w="1474"/>
          </w:tcPr>
          <w:p>
            <w:pPr>
              <w:spacing w:before="20" w:after="20" w:line="276" w:lineRule="auto"/>
              <w:ind w:firstLine="0"/>
            </w:pPr>
            <w:r/>
            <w:r>
              <w:rPr>
                <w:rFonts w:ascii="Times New Roman" w:hAnsi="Times New Roman" w:eastAsia="宋体"/>
                <w:b w:val="0"/>
                <w:i w:val="0"/>
                <w:sz w:val="19"/>
              </w:rPr>
              <w:t>开具货转 → 上游货转新建页或下游货转新建页；查看 → 对应方向的货转详情页；上传已生效单据 → 居中弹窗，提交后状态转已生效</w:t>
            </w:r>
          </w:p>
        </w:tc>
      </w:tr>
      <w:tr>
        <w:tc>
          <w:tcPr>
            <w:tcW w:type="dxa" w:w="1247"/>
          </w:tcPr>
          <w:p>
            <w:pPr>
              <w:spacing w:before="20" w:after="20" w:line="276" w:lineRule="auto"/>
              <w:ind w:firstLine="0"/>
            </w:pPr>
            <w:r/>
            <w:r>
              <w:rPr>
                <w:rFonts w:ascii="Times New Roman" w:hAnsi="Times New Roman" w:eastAsia="宋体"/>
                <w:b w:val="0"/>
                <w:i w:val="0"/>
                <w:sz w:val="19"/>
              </w:rPr>
              <w:t>上传上游货转</w:t>
            </w:r>
          </w:p>
        </w:tc>
        <w:tc>
          <w:tcPr>
            <w:tcW w:type="dxa" w:w="1474"/>
          </w:tcPr>
          <w:p>
            <w:pPr>
              <w:spacing w:before="20" w:after="20" w:line="276" w:lineRule="auto"/>
              <w:ind w:firstLine="0"/>
            </w:pPr>
            <w:r/>
            <w:r>
              <w:rPr>
                <w:rFonts w:ascii="Times New Roman" w:hAnsi="Times New Roman" w:eastAsia="宋体"/>
                <w:b w:val="0"/>
                <w:i w:val="0"/>
                <w:sz w:val="19"/>
              </w:rPr>
              <w:t>goods-transfer-up-new.html</w:t>
            </w:r>
          </w:p>
        </w:tc>
        <w:tc>
          <w:tcPr>
            <w:tcW w:type="dxa" w:w="1134"/>
          </w:tcPr>
          <w:p>
            <w:pPr>
              <w:spacing w:before="20" w:after="20" w:line="276" w:lineRule="auto"/>
              <w:ind w:firstLine="0"/>
            </w:pPr>
            <w:r/>
            <w:r>
              <w:rPr>
                <w:rFonts w:ascii="Times New Roman" w:hAnsi="Times New Roman" w:eastAsia="宋体"/>
                <w:b w:val="0"/>
                <w:i w:val="0"/>
                <w:sz w:val="19"/>
              </w:rPr>
              <w:t>货转管理列表「开具货转 → 上传上游货转」</w:t>
            </w:r>
          </w:p>
        </w:tc>
        <w:tc>
          <w:tcPr>
            <w:tcW w:type="dxa" w:w="2041"/>
          </w:tcPr>
          <w:p>
            <w:pPr>
              <w:spacing w:before="20" w:after="20" w:line="276" w:lineRule="auto"/>
              <w:ind w:firstLine="0"/>
            </w:pPr>
            <w:r/>
            <w:r>
              <w:rPr>
                <w:rFonts w:ascii="Times New Roman" w:hAnsi="Times New Roman" w:eastAsia="宋体"/>
                <w:b w:val="0"/>
                <w:i w:val="0"/>
                <w:sz w:val="19"/>
              </w:rPr>
              <w:t>区块 1 合同信息（13 字段只读）、区块 2 收货记录子表（7 列，可多选）、区块 3 货转证明（3 列）、附件信息、签署状态</w:t>
            </w:r>
          </w:p>
        </w:tc>
        <w:tc>
          <w:tcPr>
            <w:tcW w:type="dxa" w:w="1701"/>
          </w:tcPr>
          <w:p>
            <w:pPr>
              <w:spacing w:before="20" w:after="20" w:line="276" w:lineRule="auto"/>
              <w:ind w:firstLine="0"/>
            </w:pPr>
            <w:r/>
            <w:r>
              <w:rPr>
                <w:rFonts w:ascii="Times New Roman" w:hAnsi="Times New Roman" w:eastAsia="宋体"/>
                <w:b w:val="0"/>
                <w:i w:val="0"/>
                <w:sz w:val="19"/>
              </w:rPr>
              <w:t>提交（弹提交确认弹窗，确认后生成上游货转编号）、取消、收货记录全选与反选、单行勾选</w:t>
            </w:r>
          </w:p>
        </w:tc>
        <w:tc>
          <w:tcPr>
            <w:tcW w:type="dxa" w:w="1474"/>
          </w:tcPr>
          <w:p>
            <w:pPr>
              <w:spacing w:before="20" w:after="20" w:line="276" w:lineRule="auto"/>
              <w:ind w:firstLine="0"/>
            </w:pPr>
            <w:r/>
            <w:r>
              <w:rPr>
                <w:rFonts w:ascii="Times New Roman" w:hAnsi="Times New Roman" w:eastAsia="宋体"/>
                <w:b w:val="0"/>
                <w:i w:val="0"/>
                <w:sz w:val="19"/>
              </w:rPr>
              <w:t>提交成功 → 货转管理列表，签署状态为待签署时状态为审批中，双签时状态为已生效；取消 → 返回货转管理列表</w:t>
            </w:r>
          </w:p>
        </w:tc>
      </w:tr>
      <w:tr>
        <w:tc>
          <w:tcPr>
            <w:tcW w:type="dxa" w:w="1247"/>
          </w:tcPr>
          <w:p>
            <w:pPr>
              <w:spacing w:before="20" w:after="20" w:line="276" w:lineRule="auto"/>
              <w:ind w:firstLine="0"/>
            </w:pPr>
            <w:r/>
            <w:r>
              <w:rPr>
                <w:rFonts w:ascii="Times New Roman" w:hAnsi="Times New Roman" w:eastAsia="宋体"/>
                <w:b w:val="0"/>
                <w:i w:val="0"/>
                <w:sz w:val="19"/>
              </w:rPr>
              <w:t>已上传上游货转详情</w:t>
            </w:r>
          </w:p>
        </w:tc>
        <w:tc>
          <w:tcPr>
            <w:tcW w:type="dxa" w:w="1474"/>
          </w:tcPr>
          <w:p>
            <w:pPr>
              <w:spacing w:before="20" w:after="20" w:line="276" w:lineRule="auto"/>
              <w:ind w:firstLine="0"/>
            </w:pPr>
            <w:r/>
            <w:r>
              <w:rPr>
                <w:rFonts w:ascii="Times New Roman" w:hAnsi="Times New Roman" w:eastAsia="宋体"/>
                <w:b w:val="0"/>
                <w:i w:val="0"/>
                <w:sz w:val="19"/>
              </w:rPr>
              <w:t>goods-transfer-up-detail.html</w:t>
            </w:r>
          </w:p>
        </w:tc>
        <w:tc>
          <w:tcPr>
            <w:tcW w:type="dxa" w:w="1134"/>
          </w:tcPr>
          <w:p>
            <w:pPr>
              <w:spacing w:before="20" w:after="20" w:line="276" w:lineRule="auto"/>
              <w:ind w:firstLine="0"/>
            </w:pPr>
            <w:r/>
            <w:r>
              <w:rPr>
                <w:rFonts w:ascii="Times New Roman" w:hAnsi="Times New Roman" w:eastAsia="宋体"/>
                <w:b w:val="0"/>
                <w:i w:val="0"/>
                <w:sz w:val="19"/>
              </w:rPr>
              <w:t>货转管理列表行「查看」（上游方向）</w:t>
            </w:r>
          </w:p>
        </w:tc>
        <w:tc>
          <w:tcPr>
            <w:tcW w:type="dxa" w:w="2041"/>
          </w:tcPr>
          <w:p>
            <w:pPr>
              <w:spacing w:before="20" w:after="20" w:line="276" w:lineRule="auto"/>
              <w:ind w:firstLine="0"/>
            </w:pPr>
            <w:r/>
            <w:r>
              <w:rPr>
                <w:rFonts w:ascii="Times New Roman" w:hAnsi="Times New Roman" w:eastAsia="宋体"/>
                <w:b w:val="0"/>
                <w:i w:val="0"/>
                <w:sz w:val="19"/>
              </w:rPr>
              <w:t>合同信息、收发信息、货转证明、附件信息、签署状态、状态时间线</w:t>
            </w:r>
          </w:p>
        </w:tc>
        <w:tc>
          <w:tcPr>
            <w:tcW w:type="dxa" w:w="1701"/>
          </w:tcPr>
          <w:p>
            <w:pPr>
              <w:spacing w:before="20" w:after="20" w:line="276" w:lineRule="auto"/>
              <w:ind w:firstLine="0"/>
            </w:pPr>
            <w:r/>
            <w:r>
              <w:rPr>
                <w:rFonts w:ascii="Times New Roman" w:hAnsi="Times New Roman" w:eastAsia="宋体"/>
                <w:b w:val="0"/>
                <w:i w:val="0"/>
                <w:sz w:val="19"/>
              </w:rPr>
              <w:t>上传已生效单据（居中弹窗）、作废、附件下载</w:t>
            </w:r>
          </w:p>
        </w:tc>
        <w:tc>
          <w:tcPr>
            <w:tcW w:type="dxa" w:w="1474"/>
          </w:tcPr>
          <w:p>
            <w:pPr>
              <w:spacing w:before="20" w:after="20" w:line="276" w:lineRule="auto"/>
              <w:ind w:firstLine="0"/>
            </w:pPr>
            <w:r/>
            <w:r>
              <w:rPr>
                <w:rFonts w:ascii="Times New Roman" w:hAnsi="Times New Roman" w:eastAsia="宋体"/>
                <w:b w:val="0"/>
                <w:i w:val="0"/>
                <w:sz w:val="19"/>
              </w:rPr>
              <w:t>上传已生效单据 → 居中弹窗提交后状态转已生效；作废 → 状态转已作废并返回列表</w:t>
            </w:r>
          </w:p>
        </w:tc>
      </w:tr>
      <w:tr>
        <w:tc>
          <w:tcPr>
            <w:tcW w:type="dxa" w:w="1247"/>
          </w:tcPr>
          <w:p>
            <w:pPr>
              <w:spacing w:before="20" w:after="20" w:line="276" w:lineRule="auto"/>
              <w:ind w:firstLine="0"/>
            </w:pPr>
            <w:r/>
            <w:r>
              <w:rPr>
                <w:rFonts w:ascii="Times New Roman" w:hAnsi="Times New Roman" w:eastAsia="宋体"/>
                <w:b w:val="0"/>
                <w:i w:val="0"/>
                <w:sz w:val="19"/>
              </w:rPr>
              <w:t>新增下游货转</w:t>
            </w:r>
          </w:p>
        </w:tc>
        <w:tc>
          <w:tcPr>
            <w:tcW w:type="dxa" w:w="1474"/>
          </w:tcPr>
          <w:p>
            <w:pPr>
              <w:spacing w:before="20" w:after="20" w:line="276" w:lineRule="auto"/>
              <w:ind w:firstLine="0"/>
            </w:pPr>
            <w:r/>
            <w:r>
              <w:rPr>
                <w:rFonts w:ascii="Times New Roman" w:hAnsi="Times New Roman" w:eastAsia="宋体"/>
                <w:b w:val="0"/>
                <w:i w:val="0"/>
                <w:sz w:val="19"/>
              </w:rPr>
              <w:t>goods-transfer-down-new.html</w:t>
            </w:r>
          </w:p>
        </w:tc>
        <w:tc>
          <w:tcPr>
            <w:tcW w:type="dxa" w:w="1134"/>
          </w:tcPr>
          <w:p>
            <w:pPr>
              <w:spacing w:before="20" w:after="20" w:line="276" w:lineRule="auto"/>
              <w:ind w:firstLine="0"/>
            </w:pPr>
            <w:r/>
            <w:r>
              <w:rPr>
                <w:rFonts w:ascii="Times New Roman" w:hAnsi="Times New Roman" w:eastAsia="宋体"/>
                <w:b w:val="0"/>
                <w:i w:val="0"/>
                <w:sz w:val="19"/>
              </w:rPr>
              <w:t>货转管理列表「开具货转 → 新增下游货转」</w:t>
            </w:r>
          </w:p>
        </w:tc>
        <w:tc>
          <w:tcPr>
            <w:tcW w:type="dxa" w:w="2041"/>
          </w:tcPr>
          <w:p>
            <w:pPr>
              <w:spacing w:before="20" w:after="20" w:line="276" w:lineRule="auto"/>
              <w:ind w:firstLine="0"/>
            </w:pPr>
            <w:r/>
            <w:r>
              <w:rPr>
                <w:rFonts w:ascii="Times New Roman" w:hAnsi="Times New Roman" w:eastAsia="宋体"/>
                <w:b w:val="0"/>
                <w:i w:val="0"/>
                <w:sz w:val="19"/>
              </w:rPr>
              <w:t>合同信息、收货记录选择、货转证明（含货转开具方式、货转开具日期、货转开具数量）、附件信息、签署状态</w:t>
            </w:r>
          </w:p>
        </w:tc>
        <w:tc>
          <w:tcPr>
            <w:tcW w:type="dxa" w:w="1701"/>
          </w:tcPr>
          <w:p>
            <w:pPr>
              <w:spacing w:before="20" w:after="20" w:line="276" w:lineRule="auto"/>
              <w:ind w:firstLine="0"/>
            </w:pPr>
            <w:r/>
            <w:r>
              <w:rPr>
                <w:rFonts w:ascii="Times New Roman" w:hAnsi="Times New Roman" w:eastAsia="宋体"/>
                <w:b w:val="0"/>
                <w:i w:val="0"/>
                <w:sz w:val="19"/>
              </w:rPr>
              <w:t>提交、取消、收货记录全选与反选、单行勾选</w:t>
            </w:r>
          </w:p>
        </w:tc>
        <w:tc>
          <w:tcPr>
            <w:tcW w:type="dxa" w:w="1474"/>
          </w:tcPr>
          <w:p>
            <w:pPr>
              <w:spacing w:before="20" w:after="20" w:line="276" w:lineRule="auto"/>
              <w:ind w:firstLine="0"/>
            </w:pPr>
            <w:r/>
            <w:r>
              <w:rPr>
                <w:rFonts w:ascii="Times New Roman" w:hAnsi="Times New Roman" w:eastAsia="宋体"/>
                <w:b w:val="0"/>
                <w:i w:val="0"/>
                <w:sz w:val="19"/>
              </w:rPr>
              <w:t>提交成功 → 货转管理列表，签署状态为待签署时状态为审批中，双签时状态为已生效；取消 → 返回货转管理列表</w:t>
            </w:r>
          </w:p>
        </w:tc>
      </w:tr>
      <w:tr>
        <w:tc>
          <w:tcPr>
            <w:tcW w:type="dxa" w:w="1247"/>
          </w:tcPr>
          <w:p>
            <w:pPr>
              <w:spacing w:before="20" w:after="20" w:line="276" w:lineRule="auto"/>
              <w:ind w:firstLine="0"/>
            </w:pPr>
            <w:r/>
            <w:r>
              <w:rPr>
                <w:rFonts w:ascii="Times New Roman" w:hAnsi="Times New Roman" w:eastAsia="宋体"/>
                <w:b w:val="0"/>
                <w:i w:val="0"/>
                <w:sz w:val="19"/>
              </w:rPr>
              <w:t>下游货转详情</w:t>
            </w:r>
          </w:p>
        </w:tc>
        <w:tc>
          <w:tcPr>
            <w:tcW w:type="dxa" w:w="1474"/>
          </w:tcPr>
          <w:p>
            <w:pPr>
              <w:spacing w:before="20" w:after="20" w:line="276" w:lineRule="auto"/>
              <w:ind w:firstLine="0"/>
            </w:pPr>
            <w:r/>
            <w:r>
              <w:rPr>
                <w:rFonts w:ascii="Times New Roman" w:hAnsi="Times New Roman" w:eastAsia="宋体"/>
                <w:b w:val="0"/>
                <w:i w:val="0"/>
                <w:sz w:val="19"/>
              </w:rPr>
              <w:t>goods-transfer-down-detail.html</w:t>
            </w:r>
          </w:p>
        </w:tc>
        <w:tc>
          <w:tcPr>
            <w:tcW w:type="dxa" w:w="1134"/>
          </w:tcPr>
          <w:p>
            <w:pPr>
              <w:spacing w:before="20" w:after="20" w:line="276" w:lineRule="auto"/>
              <w:ind w:firstLine="0"/>
            </w:pPr>
            <w:r/>
            <w:r>
              <w:rPr>
                <w:rFonts w:ascii="Times New Roman" w:hAnsi="Times New Roman" w:eastAsia="宋体"/>
                <w:b w:val="0"/>
                <w:i w:val="0"/>
                <w:sz w:val="19"/>
              </w:rPr>
              <w:t>货转管理列表行「查看」（下游方向）</w:t>
            </w:r>
          </w:p>
        </w:tc>
        <w:tc>
          <w:tcPr>
            <w:tcW w:type="dxa" w:w="2041"/>
          </w:tcPr>
          <w:p>
            <w:pPr>
              <w:spacing w:before="20" w:after="20" w:line="276" w:lineRule="auto"/>
              <w:ind w:firstLine="0"/>
            </w:pPr>
            <w:r/>
            <w:r>
              <w:rPr>
                <w:rFonts w:ascii="Times New Roman" w:hAnsi="Times New Roman" w:eastAsia="宋体"/>
                <w:b w:val="0"/>
                <w:i w:val="0"/>
                <w:sz w:val="19"/>
              </w:rPr>
              <w:t>合同信息、收发信息、货转证明、附件信息、签署状态、状态时间线</w:t>
            </w:r>
          </w:p>
        </w:tc>
        <w:tc>
          <w:tcPr>
            <w:tcW w:type="dxa" w:w="1701"/>
          </w:tcPr>
          <w:p>
            <w:pPr>
              <w:spacing w:before="20" w:after="20" w:line="276" w:lineRule="auto"/>
              <w:ind w:firstLine="0"/>
            </w:pPr>
            <w:r/>
            <w:r>
              <w:rPr>
                <w:rFonts w:ascii="Times New Roman" w:hAnsi="Times New Roman" w:eastAsia="宋体"/>
                <w:b w:val="0"/>
                <w:i w:val="0"/>
                <w:sz w:val="19"/>
              </w:rPr>
              <w:t>上传已生效单据（居中弹窗）、作废、附件下载</w:t>
            </w:r>
          </w:p>
        </w:tc>
        <w:tc>
          <w:tcPr>
            <w:tcW w:type="dxa" w:w="1474"/>
          </w:tcPr>
          <w:p>
            <w:pPr>
              <w:spacing w:before="20" w:after="20" w:line="276" w:lineRule="auto"/>
              <w:ind w:firstLine="0"/>
            </w:pPr>
            <w:r/>
            <w:r>
              <w:rPr>
                <w:rFonts w:ascii="Times New Roman" w:hAnsi="Times New Roman" w:eastAsia="宋体"/>
                <w:b w:val="0"/>
                <w:i w:val="0"/>
                <w:sz w:val="19"/>
              </w:rPr>
              <w:t>上传已生效单据 → 居中弹窗提交后状态转已生效；作废 → 状态转已作废并返回列表</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4.10.5　数据关系</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474"/>
            <w:shd w:val="clear" w:color="auto" w:fill="DCE6F1"/>
          </w:tcPr>
          <w:p>
            <w:pPr>
              <w:spacing w:before="40" w:after="40" w:line="276" w:lineRule="auto"/>
              <w:jc w:val="center"/>
            </w:pPr>
            <w:r/>
            <w:r>
              <w:rPr>
                <w:rFonts w:ascii="Times New Roman" w:hAnsi="Times New Roman" w:eastAsia="黑体"/>
                <w:b/>
                <w:i w:val="0"/>
                <w:sz w:val="21"/>
              </w:rPr>
              <w:t>业务对象</w:t>
            </w:r>
          </w:p>
        </w:tc>
        <w:tc>
          <w:tcPr>
            <w:tcW w:type="dxa" w:w="4195"/>
            <w:shd w:val="clear" w:color="auto" w:fill="DCE6F1"/>
          </w:tcPr>
          <w:p>
            <w:pPr>
              <w:spacing w:before="40" w:after="40" w:line="276" w:lineRule="auto"/>
              <w:jc w:val="center"/>
            </w:pPr>
            <w:r/>
            <w:r>
              <w:rPr>
                <w:rFonts w:ascii="Times New Roman" w:hAnsi="Times New Roman" w:eastAsia="黑体"/>
                <w:b/>
                <w:i w:val="0"/>
                <w:sz w:val="21"/>
              </w:rPr>
              <w:t>关键字段与口径</w:t>
            </w:r>
          </w:p>
        </w:tc>
        <w:tc>
          <w:tcPr>
            <w:tcW w:type="dxa" w:w="3402"/>
            <w:shd w:val="clear" w:color="auto" w:fill="DCE6F1"/>
          </w:tcPr>
          <w:p>
            <w:pPr>
              <w:spacing w:before="40" w:after="40" w:line="276" w:lineRule="auto"/>
              <w:jc w:val="center"/>
            </w:pPr>
            <w:r/>
            <w:r>
              <w:rPr>
                <w:rFonts w:ascii="Times New Roman" w:hAnsi="Times New Roman" w:eastAsia="黑体"/>
                <w:b/>
                <w:i w:val="0"/>
                <w:sz w:val="21"/>
              </w:rPr>
              <w:t>与其他对象的关系</w:t>
            </w:r>
          </w:p>
        </w:tc>
      </w:tr>
      <w:tr>
        <w:tc>
          <w:tcPr>
            <w:tcW w:type="dxa" w:w="1474"/>
          </w:tcPr>
          <w:p>
            <w:pPr>
              <w:spacing w:before="20" w:after="20" w:line="276" w:lineRule="auto"/>
              <w:ind w:firstLine="0"/>
            </w:pPr>
            <w:r/>
            <w:r>
              <w:rPr>
                <w:rFonts w:ascii="Times New Roman" w:hAnsi="Times New Roman" w:eastAsia="宋体"/>
                <w:b w:val="0"/>
                <w:i w:val="0"/>
                <w:sz w:val="21"/>
              </w:rPr>
              <w:t>货转主表</w:t>
            </w:r>
          </w:p>
        </w:tc>
        <w:tc>
          <w:tcPr>
            <w:tcW w:type="dxa" w:w="4195"/>
          </w:tcPr>
          <w:p>
            <w:pPr>
              <w:spacing w:before="20" w:after="20" w:line="276" w:lineRule="auto"/>
              <w:ind w:firstLine="0"/>
            </w:pPr>
            <w:r/>
            <w:r>
              <w:rPr>
                <w:rFonts w:ascii="Times New Roman" w:hAnsi="Times New Roman" w:eastAsia="宋体"/>
                <w:b w:val="0"/>
                <w:i w:val="0"/>
                <w:sz w:val="21"/>
              </w:rPr>
              <w:t>货转编号：SKBT 加 8 位日期加 6 位流水、中划线、8 位日期加 4 位流水，前缀含义尚未确认</w:t>
            </w:r>
            <w:r>
              <w:br/>
            </w:r>
            <w:r>
              <w:rPr>
                <w:rFonts w:ascii="Times New Roman" w:hAnsi="Times New Roman" w:eastAsia="宋体"/>
                <w:b w:val="0"/>
                <w:i w:val="0"/>
                <w:sz w:val="21"/>
              </w:rPr>
              <w:t>货转类型：上游货转 / 下游货转</w:t>
            </w:r>
            <w:r>
              <w:br/>
            </w:r>
            <w:r>
              <w:rPr>
                <w:rFonts w:ascii="Times New Roman" w:hAnsi="Times New Roman" w:eastAsia="宋体"/>
                <w:b w:val="0"/>
                <w:i w:val="0"/>
                <w:sz w:val="21"/>
              </w:rPr>
              <w:t>货转方向：入库货转 / 出库货转，与货转类型的映射关系尚未定义</w:t>
            </w:r>
            <w:r>
              <w:br/>
            </w:r>
            <w:r>
              <w:rPr>
                <w:rFonts w:ascii="Times New Roman" w:hAnsi="Times New Roman" w:eastAsia="宋体"/>
                <w:b w:val="0"/>
                <w:i w:val="0"/>
                <w:sz w:val="21"/>
              </w:rPr>
              <w:t>关联合同：必填，合同编号冗余</w:t>
            </w:r>
            <w:r>
              <w:br/>
            </w:r>
            <w:r>
              <w:rPr>
                <w:rFonts w:ascii="Times New Roman" w:hAnsi="Times New Roman" w:eastAsia="宋体"/>
                <w:b w:val="0"/>
                <w:i w:val="0"/>
                <w:sz w:val="21"/>
              </w:rPr>
              <w:t>卖方企业：上游货转必填</w:t>
            </w:r>
            <w:r>
              <w:br/>
            </w:r>
            <w:r>
              <w:rPr>
                <w:rFonts w:ascii="Times New Roman" w:hAnsi="Times New Roman" w:eastAsia="宋体"/>
                <w:b w:val="0"/>
                <w:i w:val="0"/>
                <w:sz w:val="21"/>
              </w:rPr>
              <w:t>买方企业与收货人：下游货转必填</w:t>
            </w:r>
            <w:r>
              <w:br/>
            </w:r>
            <w:r>
              <w:rPr>
                <w:rFonts w:ascii="Times New Roman" w:hAnsi="Times New Roman" w:eastAsia="宋体"/>
                <w:b w:val="0"/>
                <w:i w:val="0"/>
                <w:sz w:val="21"/>
              </w:rPr>
              <w:t>商品与货转数量：4 位小数</w:t>
            </w:r>
            <w:r>
              <w:br/>
            </w:r>
            <w:r>
              <w:rPr>
                <w:rFonts w:ascii="Times New Roman" w:hAnsi="Times New Roman" w:eastAsia="宋体"/>
                <w:b w:val="0"/>
                <w:i w:val="0"/>
                <w:sz w:val="21"/>
              </w:rPr>
              <w:t>计量单位：取值枚举尚未明确</w:t>
            </w:r>
            <w:r>
              <w:br/>
            </w:r>
            <w:r>
              <w:rPr>
                <w:rFonts w:ascii="Times New Roman" w:hAnsi="Times New Roman" w:eastAsia="宋体"/>
                <w:b w:val="0"/>
                <w:i w:val="0"/>
                <w:sz w:val="21"/>
              </w:rPr>
              <w:t>货转开具日期、已生效日期</w:t>
            </w:r>
            <w:r>
              <w:br/>
            </w:r>
            <w:r>
              <w:rPr>
                <w:rFonts w:ascii="Times New Roman" w:hAnsi="Times New Roman" w:eastAsia="宋体"/>
                <w:b w:val="0"/>
                <w:i w:val="0"/>
                <w:sz w:val="21"/>
              </w:rPr>
              <w:t>铁路运单号、商品所有权确认单号</w:t>
            </w:r>
            <w:r>
              <w:br/>
            </w:r>
            <w:r>
              <w:rPr>
                <w:rFonts w:ascii="Times New Roman" w:hAnsi="Times New Roman" w:eastAsia="宋体"/>
                <w:b w:val="0"/>
                <w:i w:val="0"/>
                <w:sz w:val="21"/>
              </w:rPr>
              <w:t>状态：6 态，审批中 / 待上传已生效单据 / 已生效 / 驳回 / 已作废</w:t>
            </w:r>
          </w:p>
        </w:tc>
        <w:tc>
          <w:tcPr>
            <w:tcW w:type="dxa" w:w="3402"/>
          </w:tcPr>
          <w:p>
            <w:pPr>
              <w:spacing w:before="20" w:after="20" w:line="276" w:lineRule="auto"/>
              <w:ind w:firstLine="0"/>
            </w:pPr>
            <w:r/>
            <w:r>
              <w:rPr>
                <w:rFonts w:ascii="Times New Roman" w:hAnsi="Times New Roman" w:eastAsia="宋体"/>
                <w:b w:val="0"/>
                <w:i w:val="0"/>
                <w:sz w:val="21"/>
              </w:rPr>
              <w:t>以合同为上游依赖、以仓储与业务线为下游回写对象；是货物物权转移的登记主体</w:t>
            </w:r>
          </w:p>
        </w:tc>
      </w:tr>
      <w:tr>
        <w:tc>
          <w:tcPr>
            <w:tcW w:type="dxa" w:w="1474"/>
          </w:tcPr>
          <w:p>
            <w:pPr>
              <w:spacing w:before="20" w:after="20" w:line="276" w:lineRule="auto"/>
              <w:ind w:firstLine="0"/>
            </w:pPr>
            <w:r/>
            <w:r>
              <w:rPr>
                <w:rFonts w:ascii="Times New Roman" w:hAnsi="Times New Roman" w:eastAsia="宋体"/>
                <w:b w:val="0"/>
                <w:i w:val="0"/>
                <w:sz w:val="21"/>
              </w:rPr>
              <w:t>货转附件</w:t>
            </w:r>
          </w:p>
        </w:tc>
        <w:tc>
          <w:tcPr>
            <w:tcW w:type="dxa" w:w="4195"/>
          </w:tcPr>
          <w:p>
            <w:pPr>
              <w:spacing w:before="20" w:after="20" w:line="276" w:lineRule="auto"/>
              <w:ind w:firstLine="0"/>
            </w:pPr>
            <w:r/>
            <w:r>
              <w:rPr>
                <w:rFonts w:ascii="Times New Roman" w:hAnsi="Times New Roman" w:eastAsia="宋体"/>
                <w:b w:val="0"/>
                <w:i w:val="0"/>
                <w:sz w:val="21"/>
              </w:rPr>
              <w:t>关联货转</w:t>
            </w:r>
            <w:r>
              <w:br/>
            </w:r>
            <w:r>
              <w:rPr>
                <w:rFonts w:ascii="Times New Roman" w:hAnsi="Times New Roman" w:eastAsia="宋体"/>
                <w:b w:val="0"/>
                <w:i w:val="0"/>
                <w:sz w:val="21"/>
              </w:rPr>
              <w:t>附件类型：待盖章单据或已盖章单据跟随签署状态，非必填附件类型取值待定</w:t>
            </w:r>
            <w:r>
              <w:br/>
            </w:r>
            <w:r>
              <w:rPr>
                <w:rFonts w:ascii="Times New Roman" w:hAnsi="Times New Roman" w:eastAsia="宋体"/>
                <w:b w:val="0"/>
                <w:i w:val="0"/>
                <w:sz w:val="21"/>
              </w:rPr>
              <w:t>关联文件、文件名、文件地址</w:t>
            </w:r>
            <w:r>
              <w:br/>
            </w:r>
            <w:r>
              <w:rPr>
                <w:rFonts w:ascii="Times New Roman" w:hAnsi="Times New Roman" w:eastAsia="宋体"/>
                <w:b w:val="0"/>
                <w:i w:val="0"/>
                <w:sz w:val="21"/>
              </w:rPr>
              <w:t>识别结果：结构尚未定义</w:t>
            </w:r>
            <w:r>
              <w:br/>
            </w:r>
            <w:r>
              <w:rPr>
                <w:rFonts w:ascii="Times New Roman" w:hAnsi="Times New Roman" w:eastAsia="宋体"/>
                <w:b w:val="0"/>
                <w:i w:val="0"/>
                <w:sz w:val="21"/>
              </w:rPr>
              <w:t>上传人、上传时间</w:t>
            </w:r>
          </w:p>
        </w:tc>
        <w:tc>
          <w:tcPr>
            <w:tcW w:type="dxa" w:w="3402"/>
          </w:tcPr>
          <w:p>
            <w:pPr>
              <w:spacing w:before="20" w:after="20" w:line="276" w:lineRule="auto"/>
              <w:ind w:firstLine="0"/>
            </w:pPr>
            <w:r/>
            <w:r>
              <w:rPr>
                <w:rFonts w:ascii="Times New Roman" w:hAnsi="Times New Roman" w:eastAsia="宋体"/>
                <w:b w:val="0"/>
                <w:i w:val="0"/>
                <w:sz w:val="21"/>
              </w:rPr>
              <w:t>与货转为一对多；承载凭证附件与识别结果，是签署状态与审批路径的判定依据</w:t>
            </w:r>
          </w:p>
        </w:tc>
      </w:tr>
      <w:tr>
        <w:tc>
          <w:tcPr>
            <w:tcW w:type="dxa" w:w="1474"/>
          </w:tcPr>
          <w:p>
            <w:pPr>
              <w:spacing w:before="20" w:after="20" w:line="276" w:lineRule="auto"/>
              <w:ind w:firstLine="0"/>
            </w:pPr>
            <w:r/>
            <w:r>
              <w:rPr>
                <w:rFonts w:ascii="Times New Roman" w:hAnsi="Times New Roman" w:eastAsia="宋体"/>
                <w:b w:val="0"/>
                <w:i w:val="0"/>
                <w:sz w:val="21"/>
              </w:rPr>
              <w:t>货转历史</w:t>
            </w:r>
          </w:p>
        </w:tc>
        <w:tc>
          <w:tcPr>
            <w:tcW w:type="dxa" w:w="4195"/>
          </w:tcPr>
          <w:p>
            <w:pPr>
              <w:spacing w:before="20" w:after="20" w:line="276" w:lineRule="auto"/>
              <w:ind w:firstLine="0"/>
            </w:pPr>
            <w:r/>
            <w:r>
              <w:rPr>
                <w:rFonts w:ascii="Times New Roman" w:hAnsi="Times New Roman" w:eastAsia="宋体"/>
                <w:b w:val="0"/>
                <w:i w:val="0"/>
                <w:sz w:val="21"/>
              </w:rPr>
              <w:t>关联货转</w:t>
            </w:r>
            <w:r>
              <w:br/>
            </w:r>
            <w:r>
              <w:rPr>
                <w:rFonts w:ascii="Times New Roman" w:hAnsi="Times New Roman" w:eastAsia="宋体"/>
                <w:b w:val="0"/>
                <w:i w:val="0"/>
                <w:sz w:val="21"/>
              </w:rPr>
              <w:t>变更类型：提交 / 审批通过 / 驳回 / 上传已生效单据 / 作废</w:t>
            </w:r>
            <w:r>
              <w:br/>
            </w:r>
            <w:r>
              <w:rPr>
                <w:rFonts w:ascii="Times New Roman" w:hAnsi="Times New Roman" w:eastAsia="宋体"/>
                <w:b w:val="0"/>
                <w:i w:val="0"/>
                <w:sz w:val="21"/>
              </w:rPr>
              <w:t>操作人、操作意见、操作时间</w:t>
            </w:r>
          </w:p>
        </w:tc>
        <w:tc>
          <w:tcPr>
            <w:tcW w:type="dxa" w:w="3402"/>
          </w:tcPr>
          <w:p>
            <w:pPr>
              <w:spacing w:before="20" w:after="20" w:line="276" w:lineRule="auto"/>
              <w:ind w:firstLine="0"/>
            </w:pPr>
            <w:r/>
            <w:r>
              <w:rPr>
                <w:rFonts w:ascii="Times New Roman" w:hAnsi="Times New Roman" w:eastAsia="宋体"/>
                <w:b w:val="0"/>
                <w:i w:val="0"/>
                <w:sz w:val="21"/>
              </w:rPr>
              <w:t>记录货转全流程节点留痕；变更类型枚举是否需补充重提类型尚未确定</w:t>
            </w:r>
          </w:p>
        </w:tc>
      </w:tr>
      <w:tr>
        <w:tc>
          <w:tcPr>
            <w:tcW w:type="dxa" w:w="1474"/>
          </w:tcPr>
          <w:p>
            <w:pPr>
              <w:spacing w:before="20" w:after="20" w:line="276" w:lineRule="auto"/>
              <w:ind w:firstLine="0"/>
            </w:pPr>
            <w:r/>
            <w:r>
              <w:rPr>
                <w:rFonts w:ascii="Times New Roman" w:hAnsi="Times New Roman" w:eastAsia="宋体"/>
                <w:b w:val="0"/>
                <w:i w:val="0"/>
                <w:sz w:val="21"/>
              </w:rPr>
              <w:t>签署状态</w:t>
            </w:r>
          </w:p>
        </w:tc>
        <w:tc>
          <w:tcPr>
            <w:tcW w:type="dxa" w:w="4195"/>
          </w:tcPr>
          <w:p>
            <w:pPr>
              <w:spacing w:before="20" w:after="20" w:line="276" w:lineRule="auto"/>
              <w:ind w:firstLine="0"/>
            </w:pPr>
            <w:r/>
            <w:r>
              <w:rPr>
                <w:rFonts w:ascii="Times New Roman" w:hAnsi="Times New Roman" w:eastAsia="宋体"/>
                <w:b w:val="0"/>
                <w:i w:val="0"/>
                <w:sz w:val="21"/>
              </w:rPr>
              <w:t>待签署</w:t>
            </w:r>
            <w:r>
              <w:br/>
            </w:r>
            <w:r>
              <w:rPr>
                <w:rFonts w:ascii="Times New Roman" w:hAnsi="Times New Roman" w:eastAsia="宋体"/>
                <w:b w:val="0"/>
                <w:i w:val="0"/>
                <w:sz w:val="21"/>
              </w:rPr>
              <w:t>双签</w:t>
            </w:r>
          </w:p>
        </w:tc>
        <w:tc>
          <w:tcPr>
            <w:tcW w:type="dxa" w:w="3402"/>
          </w:tcPr>
          <w:p>
            <w:pPr>
              <w:spacing w:before="20" w:after="20" w:line="276" w:lineRule="auto"/>
              <w:ind w:firstLine="0"/>
            </w:pPr>
            <w:r/>
            <w:r>
              <w:rPr>
                <w:rFonts w:ascii="Times New Roman" w:hAnsi="Times New Roman" w:eastAsia="宋体"/>
                <w:b w:val="0"/>
                <w:i w:val="0"/>
                <w:sz w:val="21"/>
              </w:rPr>
              <w:t>独立于货转状态的第 2 个维度，直接决定审批路径与必填附件类型；其落库字段名与枚举编码尚未定义</w:t>
            </w:r>
          </w:p>
        </w:tc>
      </w:tr>
      <w:tr>
        <w:tc>
          <w:tcPr>
            <w:tcW w:type="dxa" w:w="1474"/>
          </w:tcPr>
          <w:p>
            <w:pPr>
              <w:spacing w:before="20" w:after="20" w:line="276" w:lineRule="auto"/>
              <w:ind w:firstLine="0"/>
            </w:pPr>
            <w:r/>
            <w:r>
              <w:rPr>
                <w:rFonts w:ascii="Times New Roman" w:hAnsi="Times New Roman" w:eastAsia="宋体"/>
                <w:b w:val="0"/>
                <w:i w:val="0"/>
                <w:sz w:val="21"/>
              </w:rPr>
              <w:t>合同</w:t>
            </w:r>
          </w:p>
        </w:tc>
        <w:tc>
          <w:tcPr>
            <w:tcW w:type="dxa" w:w="4195"/>
          </w:tcPr>
          <w:p>
            <w:pPr>
              <w:spacing w:before="20" w:after="20" w:line="276" w:lineRule="auto"/>
              <w:ind w:firstLine="0"/>
            </w:pPr>
            <w:r/>
            <w:r>
              <w:rPr>
                <w:rFonts w:ascii="Times New Roman" w:hAnsi="Times New Roman" w:eastAsia="宋体"/>
                <w:b w:val="0"/>
                <w:i w:val="0"/>
                <w:sz w:val="21"/>
              </w:rPr>
              <w:t>合同编号、合同状态</w:t>
            </w:r>
            <w:r>
              <w:br/>
            </w:r>
            <w:r>
              <w:rPr>
                <w:rFonts w:ascii="Times New Roman" w:hAnsi="Times New Roman" w:eastAsia="宋体"/>
                <w:b w:val="0"/>
                <w:i w:val="0"/>
                <w:sz w:val="21"/>
              </w:rPr>
              <w:t>合同单价、数量、总价、签订日期、合同有效期、合同类型</w:t>
            </w:r>
            <w:r>
              <w:br/>
            </w:r>
            <w:r>
              <w:rPr>
                <w:rFonts w:ascii="Times New Roman" w:hAnsi="Times New Roman" w:eastAsia="宋体"/>
                <w:b w:val="0"/>
                <w:i w:val="0"/>
                <w:sz w:val="21"/>
              </w:rPr>
              <w:t>合同签署状态、回款账号、运输方式、发货地址、收货地址、收货人姓名、业务类型</w:t>
            </w:r>
          </w:p>
        </w:tc>
        <w:tc>
          <w:tcPr>
            <w:tcW w:type="dxa" w:w="3402"/>
          </w:tcPr>
          <w:p>
            <w:pPr>
              <w:spacing w:before="20" w:after="20" w:line="276" w:lineRule="auto"/>
              <w:ind w:firstLine="0"/>
            </w:pPr>
            <w:r/>
            <w:r>
              <w:rPr>
                <w:rFonts w:ascii="Times New Roman" w:hAnsi="Times New Roman" w:eastAsia="宋体"/>
                <w:b w:val="0"/>
                <w:i w:val="0"/>
                <w:sz w:val="21"/>
              </w:rPr>
              <w:t>货转的必填上游关联对象；货转完成后其合同状态同步变化，发票的合同关联随之重新绑定</w:t>
            </w:r>
          </w:p>
        </w:tc>
      </w:tr>
      <w:tr>
        <w:tc>
          <w:tcPr>
            <w:tcW w:type="dxa" w:w="1474"/>
          </w:tcPr>
          <w:p>
            <w:pPr>
              <w:spacing w:before="20" w:after="20" w:line="276" w:lineRule="auto"/>
              <w:ind w:firstLine="0"/>
            </w:pPr>
            <w:r/>
            <w:r>
              <w:rPr>
                <w:rFonts w:ascii="Times New Roman" w:hAnsi="Times New Roman" w:eastAsia="宋体"/>
                <w:b w:val="0"/>
                <w:i w:val="0"/>
                <w:sz w:val="21"/>
              </w:rPr>
              <w:t>收货信息</w:t>
            </w:r>
          </w:p>
        </w:tc>
        <w:tc>
          <w:tcPr>
            <w:tcW w:type="dxa" w:w="4195"/>
          </w:tcPr>
          <w:p>
            <w:pPr>
              <w:spacing w:before="20" w:after="20" w:line="276" w:lineRule="auto"/>
              <w:ind w:firstLine="0"/>
            </w:pPr>
            <w:r/>
            <w:r>
              <w:rPr>
                <w:rFonts w:ascii="Times New Roman" w:hAnsi="Times New Roman" w:eastAsia="宋体"/>
                <w:b w:val="0"/>
                <w:i w:val="0"/>
                <w:sz w:val="21"/>
              </w:rPr>
              <w:t>收货编号、关联发货批次、品名</w:t>
            </w:r>
            <w:r>
              <w:br/>
            </w:r>
            <w:r>
              <w:rPr>
                <w:rFonts w:ascii="Times New Roman" w:hAnsi="Times New Roman" w:eastAsia="宋体"/>
                <w:b w:val="0"/>
                <w:i w:val="0"/>
                <w:sz w:val="21"/>
              </w:rPr>
              <w:t>收货数量、收货日期、车数</w:t>
            </w:r>
          </w:p>
        </w:tc>
        <w:tc>
          <w:tcPr>
            <w:tcW w:type="dxa" w:w="3402"/>
          </w:tcPr>
          <w:p>
            <w:pPr>
              <w:spacing w:before="20" w:after="20" w:line="276" w:lineRule="auto"/>
              <w:ind w:firstLine="0"/>
            </w:pPr>
            <w:r/>
            <w:r>
              <w:rPr>
                <w:rFonts w:ascii="Times New Roman" w:hAnsi="Times New Roman" w:eastAsia="宋体"/>
                <w:b w:val="0"/>
                <w:i w:val="0"/>
                <w:sz w:val="21"/>
              </w:rPr>
              <w:t>货转开具时的可多选对象，来源于收发货管理中已开具的收货记录，是货转不可脱离收发货独立发起的业务前置</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4.10.6　角色权限与数据权限</w:t>
      </w:r>
    </w:p>
    <w:p>
      <w:pPr>
        <w:spacing w:before="0" w:after="120" w:line="360" w:lineRule="auto"/>
      </w:pPr>
      <w:r>
        <w:rPr>
          <w:rFonts w:ascii="Times New Roman" w:hAnsi="Times New Roman" w:eastAsia="宋体"/>
          <w:b w:val="0"/>
          <w:i w:val="0"/>
          <w:sz w:val="24"/>
        </w:rPr>
        <w:t>本期为系统全量权限（业务方裁决 D17 / QA-012）；下表角色为典型使用角色，非权限分级。源文档明确的按钮可见性差异为状态与数据相关而非角色相关（来源：货转管理 02.07 §2.1.2 与 §3.3）：已生效与已作废状态下作废按钮不显示，无附件时下载按钮不显示，方向切换后状态 Tab 重置为全部；审核权与作废权在源文档角色矩阵中曾区分业务部与风控部，本期按全量权限执行。</w:t>
      </w:r>
    </w:p>
    <w:p>
      <w:pPr>
        <w:spacing w:before="0" w:after="80" w:line="360" w:lineRule="auto"/>
      </w:pPr>
      <w:r>
        <w:rPr>
          <w:rFonts w:ascii="Times New Roman" w:hAnsi="Times New Roman" w:eastAsia="宋体"/>
          <w:b w:val="0"/>
          <w:i w:val="0"/>
          <w:sz w:val="24"/>
        </w:rPr>
        <w:t>数据可见性：按单据归属与业务筛选查看；手机号、统一社会信用代码等敏感字段默认打码，手动点击查看完整值且查看行为留痕。</w:t>
      </w:r>
    </w:p>
    <w:p>
      <w:pPr>
        <w:pStyle w:val="Heading3"/>
        <w:keepNext/>
        <w:spacing w:before="160" w:after="80" w:line="312" w:lineRule="auto"/>
        <w:ind w:firstLine="0"/>
      </w:pPr>
      <w:r>
        <w:rPr>
          <w:rFonts w:ascii="Times New Roman" w:hAnsi="Times New Roman" w:eastAsia="黑体"/>
          <w:b/>
          <w:i w:val="0"/>
          <w:sz w:val="24"/>
        </w:rPr>
        <w:t>4.10.7　业务流程与页面</w:t>
      </w:r>
    </w:p>
    <w:p>
      <w:pPr>
        <w:spacing w:before="120" w:after="60"/>
        <w:ind w:firstLine="0"/>
        <w:jc w:val="center"/>
      </w:pPr>
      <w:r>
        <w:drawing>
          <wp:inline xmlns:a="http://schemas.openxmlformats.org/drawingml/2006/main" xmlns:pic="http://schemas.openxmlformats.org/drawingml/2006/picture">
            <wp:extent cx="5616000" cy="2678897"/>
            <wp:docPr id="19" name="Picture 19"/>
            <wp:cNvGraphicFramePr>
              <a:graphicFrameLocks noChangeAspect="1"/>
            </wp:cNvGraphicFramePr>
            <a:graphic>
              <a:graphicData uri="http://schemas.openxmlformats.org/drawingml/2006/picture">
                <pic:pic>
                  <pic:nvPicPr>
                    <pic:cNvPr id="0" name="mermaid-goods-transfer.png"/>
                    <pic:cNvPicPr/>
                  </pic:nvPicPr>
                  <pic:blipFill>
                    <a:blip r:embed="rId29"/>
                    <a:stretch>
                      <a:fillRect/>
                    </a:stretch>
                  </pic:blipFill>
                  <pic:spPr>
                    <a:xfrm>
                      <a:off x="0" y="0"/>
                      <a:ext cx="5616000" cy="2678897"/>
                    </a:xfrm>
                    <a:prstGeom prst="rect"/>
                  </pic:spPr>
                </pic:pic>
              </a:graphicData>
            </a:graphic>
          </wp:inline>
        </w:drawing>
      </w:r>
    </w:p>
    <w:p>
      <w:pPr>
        <w:spacing w:before="0" w:after="200" w:line="240" w:lineRule="auto"/>
        <w:ind w:firstLine="0"/>
        <w:jc w:val="center"/>
      </w:pPr>
      <w:r>
        <w:rPr>
          <w:rFonts w:ascii="Times New Roman" w:hAnsi="Times New Roman" w:eastAsia="宋体"/>
          <w:b w:val="0"/>
          <w:i w:val="0"/>
          <w:sz w:val="21"/>
        </w:rPr>
        <w:t>图 4-10-1　货转管理 主业务流程</w:t>
      </w:r>
    </w:p>
    <w:p>
      <w:pPr>
        <w:spacing w:before="0" w:after="60" w:line="360" w:lineRule="auto"/>
      </w:pPr>
      <w:r>
        <w:rPr>
          <w:rFonts w:ascii="Times New Roman" w:hAnsi="Times New Roman" w:eastAsia="宋体"/>
          <w:b/>
          <w:i w:val="0"/>
          <w:sz w:val="24"/>
        </w:rPr>
        <w:t>主流程步骤：</w:t>
      </w:r>
    </w:p>
    <w:p>
      <w:pPr>
        <w:spacing w:before="0" w:after="60" w:line="336" w:lineRule="auto"/>
        <w:ind w:left="510" w:hanging="510"/>
      </w:pPr>
      <w:r>
        <w:rPr>
          <w:rFonts w:ascii="Times New Roman" w:hAnsi="Times New Roman" w:eastAsia="宋体"/>
          <w:b w:val="0"/>
          <w:i w:val="0"/>
          <w:sz w:val="24"/>
        </w:rPr>
        <w:t>1. 业务员在货转管理列表点击开具货转，选择上游货转或新增下游货转</w:t>
      </w:r>
    </w:p>
    <w:p>
      <w:pPr>
        <w:spacing w:before="0" w:after="60" w:line="336" w:lineRule="auto"/>
        <w:ind w:left="510" w:hanging="510"/>
      </w:pPr>
      <w:r>
        <w:rPr>
          <w:rFonts w:ascii="Times New Roman" w:hAnsi="Times New Roman" w:eastAsia="宋体"/>
          <w:b w:val="0"/>
          <w:i w:val="0"/>
          <w:sz w:val="24"/>
        </w:rPr>
        <w:t>2. 第一步选择需要开具货转的合同（单选，须为执行中状态的合同）</w:t>
      </w:r>
    </w:p>
    <w:p>
      <w:pPr>
        <w:spacing w:before="0" w:after="60" w:line="336" w:lineRule="auto"/>
        <w:ind w:left="510" w:hanging="510"/>
      </w:pPr>
      <w:r>
        <w:rPr>
          <w:rFonts w:ascii="Times New Roman" w:hAnsi="Times New Roman" w:eastAsia="宋体"/>
          <w:b w:val="0"/>
          <w:i w:val="0"/>
          <w:sz w:val="24"/>
        </w:rPr>
        <w:t>3. 第二步选择该合同对应已开具的收货信息（可多选）</w:t>
      </w:r>
    </w:p>
    <w:p>
      <w:pPr>
        <w:spacing w:before="0" w:after="60" w:line="336" w:lineRule="auto"/>
        <w:ind w:left="510" w:hanging="510"/>
      </w:pPr>
      <w:r>
        <w:rPr>
          <w:rFonts w:ascii="Times New Roman" w:hAnsi="Times New Roman" w:eastAsia="宋体"/>
          <w:b w:val="0"/>
          <w:i w:val="0"/>
          <w:sz w:val="24"/>
        </w:rPr>
        <w:t>4. 第三步填写货转开具日期信息与货转开具数量，数量按实际业务货转单填写</w:t>
      </w:r>
    </w:p>
    <w:p>
      <w:pPr>
        <w:spacing w:before="0" w:after="60" w:line="336" w:lineRule="auto"/>
        <w:ind w:left="510" w:hanging="510"/>
      </w:pPr>
      <w:r>
        <w:rPr>
          <w:rFonts w:ascii="Times New Roman" w:hAnsi="Times New Roman" w:eastAsia="宋体"/>
          <w:b w:val="0"/>
          <w:i w:val="0"/>
          <w:sz w:val="24"/>
        </w:rPr>
        <w:t>5. 第四步选择签署状态：待签署触发平台内部串行审批，双签默认跳过审批直接生效</w:t>
      </w:r>
    </w:p>
    <w:p>
      <w:pPr>
        <w:spacing w:before="0" w:after="60" w:line="336" w:lineRule="auto"/>
        <w:ind w:left="510" w:hanging="510"/>
      </w:pPr>
      <w:r>
        <w:rPr>
          <w:rFonts w:ascii="Times New Roman" w:hAnsi="Times New Roman" w:eastAsia="宋体"/>
          <w:b w:val="0"/>
          <w:i w:val="0"/>
          <w:sz w:val="24"/>
        </w:rPr>
        <w:t>6. 第五步上传货转附件（1 个必填加 1 个非必填，必填项跟随签署状态），上传凭证时自动识别并回填字段，业务员确认或调整</w:t>
      </w:r>
    </w:p>
    <w:p>
      <w:pPr>
        <w:spacing w:before="0" w:after="60" w:line="336" w:lineRule="auto"/>
        <w:ind w:left="510" w:hanging="510"/>
      </w:pPr>
      <w:r>
        <w:rPr>
          <w:rFonts w:ascii="Times New Roman" w:hAnsi="Times New Roman" w:eastAsia="宋体"/>
          <w:b w:val="0"/>
          <w:i w:val="0"/>
          <w:sz w:val="24"/>
        </w:rPr>
        <w:t>7. 提交后签署状态为待签署的进入审批中，审核通过进入待上传已生效单据，审核驳回进入驳回</w:t>
      </w:r>
    </w:p>
    <w:p>
      <w:pPr>
        <w:spacing w:before="0" w:after="60" w:line="336" w:lineRule="auto"/>
        <w:ind w:left="510" w:hanging="510"/>
      </w:pPr>
      <w:r>
        <w:rPr>
          <w:rFonts w:ascii="Times New Roman" w:hAnsi="Times New Roman" w:eastAsia="宋体"/>
          <w:b w:val="0"/>
          <w:i w:val="0"/>
          <w:sz w:val="24"/>
        </w:rPr>
        <w:t>8. 上传已生效单据后货转转为已生效，或签署状态为双签的跳过审批直接生效</w:t>
      </w:r>
    </w:p>
    <w:p>
      <w:pPr>
        <w:spacing w:before="0" w:after="60" w:line="336" w:lineRule="auto"/>
        <w:ind w:left="510" w:hanging="510"/>
      </w:pPr>
      <w:r>
        <w:rPr>
          <w:rFonts w:ascii="Times New Roman" w:hAnsi="Times New Roman" w:eastAsia="宋体"/>
          <w:b w:val="0"/>
          <w:i w:val="0"/>
          <w:sz w:val="24"/>
        </w:rPr>
        <w:t>9. 货转生效后联动仓储入库或出库登记、更新库存台账数量，并重算业务线账面库存与货值</w:t>
      </w:r>
    </w:p>
    <w:p>
      <w:pPr>
        <w:spacing w:before="0" w:after="60" w:line="336" w:lineRule="auto"/>
        <w:ind w:left="510" w:hanging="510"/>
      </w:pPr>
      <w:r>
        <w:rPr>
          <w:rFonts w:ascii="Times New Roman" w:hAnsi="Times New Roman" w:eastAsia="宋体"/>
          <w:b w:val="0"/>
          <w:i w:val="0"/>
          <w:sz w:val="24"/>
        </w:rPr>
        <w:t>10. 货转完成后可对对应合同发起结算登记，发票的合同关联随之重新绑定</w:t>
      </w:r>
    </w:p>
    <w:p>
      <w:pPr>
        <w:spacing w:before="120" w:after="60" w:line="360" w:lineRule="auto"/>
      </w:pPr>
      <w:r>
        <w:rPr>
          <w:rFonts w:ascii="Times New Roman" w:hAnsi="Times New Roman" w:eastAsia="宋体"/>
          <w:b/>
          <w:i w:val="0"/>
          <w:sz w:val="24"/>
        </w:rPr>
        <w:t>异常分支：</w:t>
      </w:r>
    </w:p>
    <w:tbl>
      <w:tblPr>
        <w:tblStyle w:val="TableGrid"/>
        <w:tblW w:type="auto" w:w="0"/>
        <w:jc w:val="center"/>
        <w:tblLayout w:type="fixed"/>
        <w:tblLook w:firstColumn="1" w:firstRow="1" w:lastColumn="0" w:lastRow="0" w:noHBand="0" w:noVBand="1" w:val="04A0"/>
      </w:tblPr>
      <w:tblGrid>
        <w:gridCol w:w="4479"/>
        <w:gridCol w:w="4479"/>
      </w:tblGrid>
      <w:tr>
        <w:trPr>
          <w:tblHeader w:val="true"/>
        </w:trPr>
        <w:tc>
          <w:tcPr>
            <w:tcW w:type="dxa" w:w="2835"/>
            <w:shd w:val="clear" w:color="auto" w:fill="DCE6F1"/>
          </w:tcPr>
          <w:p>
            <w:pPr>
              <w:spacing w:before="40" w:after="40" w:line="276" w:lineRule="auto"/>
              <w:jc w:val="center"/>
            </w:pPr>
            <w:r/>
            <w:r>
              <w:rPr>
                <w:rFonts w:ascii="Times New Roman" w:hAnsi="Times New Roman" w:eastAsia="黑体"/>
                <w:b/>
                <w:i w:val="0"/>
                <w:sz w:val="21"/>
              </w:rPr>
              <w:t>异常场景</w:t>
            </w:r>
          </w:p>
        </w:tc>
        <w:tc>
          <w:tcPr>
            <w:tcW w:type="dxa" w:w="6236"/>
            <w:shd w:val="clear" w:color="auto" w:fill="DCE6F1"/>
          </w:tcPr>
          <w:p>
            <w:pPr>
              <w:spacing w:before="40" w:after="40" w:line="276" w:lineRule="auto"/>
              <w:jc w:val="center"/>
            </w:pPr>
            <w:r/>
            <w:r>
              <w:rPr>
                <w:rFonts w:ascii="Times New Roman" w:hAnsi="Times New Roman" w:eastAsia="黑体"/>
                <w:b/>
                <w:i w:val="0"/>
                <w:sz w:val="21"/>
              </w:rPr>
              <w:t>系统处理</w:t>
            </w:r>
          </w:p>
        </w:tc>
      </w:tr>
      <w:tr>
        <w:tc>
          <w:tcPr>
            <w:tcW w:type="dxa" w:w="2835"/>
          </w:tcPr>
          <w:p>
            <w:pPr>
              <w:spacing w:before="20" w:after="20" w:line="276" w:lineRule="auto"/>
              <w:ind w:firstLine="0"/>
            </w:pPr>
            <w:r/>
            <w:r>
              <w:rPr>
                <w:rFonts w:ascii="Times New Roman" w:hAnsi="Times New Roman" w:eastAsia="宋体"/>
                <w:b w:val="0"/>
                <w:i w:val="0"/>
                <w:sz w:val="21"/>
              </w:rPr>
              <w:t>关联的合同已作废</w:t>
            </w:r>
          </w:p>
        </w:tc>
        <w:tc>
          <w:tcPr>
            <w:tcW w:type="dxa" w:w="6236"/>
          </w:tcPr>
          <w:p>
            <w:pPr>
              <w:spacing w:before="20" w:after="20" w:line="276" w:lineRule="auto"/>
              <w:ind w:firstLine="0"/>
            </w:pPr>
            <w:r/>
            <w:r>
              <w:rPr>
                <w:rFonts w:ascii="Times New Roman" w:hAnsi="Times New Roman" w:eastAsia="宋体"/>
                <w:b w:val="0"/>
                <w:i w:val="0"/>
                <w:sz w:val="21"/>
              </w:rPr>
              <w:t>红字提示该合同已作废，无法货转，阻止提交</w:t>
            </w:r>
          </w:p>
        </w:tc>
      </w:tr>
      <w:tr>
        <w:tc>
          <w:tcPr>
            <w:tcW w:type="dxa" w:w="2835"/>
          </w:tcPr>
          <w:p>
            <w:pPr>
              <w:spacing w:before="20" w:after="20" w:line="276" w:lineRule="auto"/>
              <w:ind w:firstLine="0"/>
            </w:pPr>
            <w:r/>
            <w:r>
              <w:rPr>
                <w:rFonts w:ascii="Times New Roman" w:hAnsi="Times New Roman" w:eastAsia="宋体"/>
                <w:b w:val="0"/>
                <w:i w:val="0"/>
                <w:sz w:val="21"/>
              </w:rPr>
              <w:t>货转数量超过合同剩余数量或超过可用库存</w:t>
            </w:r>
          </w:p>
        </w:tc>
        <w:tc>
          <w:tcPr>
            <w:tcW w:type="dxa" w:w="6236"/>
          </w:tcPr>
          <w:p>
            <w:pPr>
              <w:spacing w:before="20" w:after="20" w:line="276" w:lineRule="auto"/>
              <w:ind w:firstLine="0"/>
            </w:pPr>
            <w:r/>
            <w:r>
              <w:rPr>
                <w:rFonts w:ascii="Times New Roman" w:hAnsi="Times New Roman" w:eastAsia="宋体"/>
                <w:b w:val="0"/>
                <w:i w:val="0"/>
                <w:sz w:val="21"/>
              </w:rPr>
              <w:t>分别提示货转数量 X 超过合同剩余数量 Y、货转数量不能大于可用库存，在数量字段下方红字内联提示并阻止提交</w:t>
            </w:r>
          </w:p>
        </w:tc>
      </w:tr>
      <w:tr>
        <w:tc>
          <w:tcPr>
            <w:tcW w:type="dxa" w:w="2835"/>
          </w:tcPr>
          <w:p>
            <w:pPr>
              <w:spacing w:before="20" w:after="20" w:line="276" w:lineRule="auto"/>
              <w:ind w:firstLine="0"/>
            </w:pPr>
            <w:r/>
            <w:r>
              <w:rPr>
                <w:rFonts w:ascii="Times New Roman" w:hAnsi="Times New Roman" w:eastAsia="宋体"/>
                <w:b w:val="0"/>
                <w:i w:val="0"/>
                <w:sz w:val="21"/>
              </w:rPr>
              <w:t>上游或下游货转类型与实际业务不符</w:t>
            </w:r>
          </w:p>
        </w:tc>
        <w:tc>
          <w:tcPr>
            <w:tcW w:type="dxa" w:w="6236"/>
          </w:tcPr>
          <w:p>
            <w:pPr>
              <w:spacing w:before="20" w:after="20" w:line="276" w:lineRule="auto"/>
              <w:ind w:firstLine="0"/>
            </w:pPr>
            <w:r/>
            <w:r>
              <w:rPr>
                <w:rFonts w:ascii="Times New Roman" w:hAnsi="Times New Roman" w:eastAsia="宋体"/>
                <w:b w:val="0"/>
                <w:i w:val="0"/>
                <w:sz w:val="21"/>
              </w:rPr>
              <w:t>顶部红色条提示货转类型错误并阻止提交，提示条常驻至修正</w:t>
            </w:r>
          </w:p>
        </w:tc>
      </w:tr>
      <w:tr>
        <w:tc>
          <w:tcPr>
            <w:tcW w:type="dxa" w:w="2835"/>
          </w:tcPr>
          <w:p>
            <w:pPr>
              <w:spacing w:before="20" w:after="20" w:line="276" w:lineRule="auto"/>
              <w:ind w:firstLine="0"/>
            </w:pPr>
            <w:r/>
            <w:r>
              <w:rPr>
                <w:rFonts w:ascii="Times New Roman" w:hAnsi="Times New Roman" w:eastAsia="宋体"/>
                <w:b w:val="0"/>
                <w:i w:val="0"/>
                <w:sz w:val="21"/>
              </w:rPr>
              <w:t>货转附件必填项未上传，或已上传单据与签署状态不匹配</w:t>
            </w:r>
          </w:p>
        </w:tc>
        <w:tc>
          <w:tcPr>
            <w:tcW w:type="dxa" w:w="6236"/>
          </w:tcPr>
          <w:p>
            <w:pPr>
              <w:spacing w:before="20" w:after="20" w:line="276" w:lineRule="auto"/>
              <w:ind w:firstLine="0"/>
            </w:pPr>
            <w:r/>
            <w:r>
              <w:rPr>
                <w:rFonts w:ascii="Times New Roman" w:hAnsi="Times New Roman" w:eastAsia="宋体"/>
                <w:b w:val="0"/>
                <w:i w:val="0"/>
                <w:sz w:val="21"/>
              </w:rPr>
              <w:t>定位到上传控件并保持弹窗打开，阻止提交；拦截文案尚未明确</w:t>
            </w:r>
          </w:p>
        </w:tc>
      </w:tr>
      <w:tr>
        <w:tc>
          <w:tcPr>
            <w:tcW w:type="dxa" w:w="2835"/>
          </w:tcPr>
          <w:p>
            <w:pPr>
              <w:spacing w:before="20" w:after="20" w:line="276" w:lineRule="auto"/>
              <w:ind w:firstLine="0"/>
            </w:pPr>
            <w:r/>
            <w:r>
              <w:rPr>
                <w:rFonts w:ascii="Times New Roman" w:hAnsi="Times New Roman" w:eastAsia="宋体"/>
                <w:b w:val="0"/>
                <w:i w:val="0"/>
                <w:sz w:val="21"/>
              </w:rPr>
              <w:t>凭证识别失败</w:t>
            </w:r>
          </w:p>
        </w:tc>
        <w:tc>
          <w:tcPr>
            <w:tcW w:type="dxa" w:w="6236"/>
          </w:tcPr>
          <w:p>
            <w:pPr>
              <w:spacing w:before="20" w:after="20" w:line="276" w:lineRule="auto"/>
              <w:ind w:firstLine="0"/>
            </w:pPr>
            <w:r/>
            <w:r>
              <w:rPr>
                <w:rFonts w:ascii="Times New Roman" w:hAnsi="Times New Roman" w:eastAsia="宋体"/>
                <w:b w:val="0"/>
                <w:i w:val="0"/>
                <w:sz w:val="21"/>
              </w:rPr>
              <w:t>提示 OCR 识别失败，请手动填写，降级为手动录入，不阻断提交</w:t>
            </w:r>
          </w:p>
        </w:tc>
      </w:tr>
      <w:tr>
        <w:tc>
          <w:tcPr>
            <w:tcW w:type="dxa" w:w="2835"/>
          </w:tcPr>
          <w:p>
            <w:pPr>
              <w:spacing w:before="20" w:after="20" w:line="276" w:lineRule="auto"/>
              <w:ind w:firstLine="0"/>
            </w:pPr>
            <w:r/>
            <w:r>
              <w:rPr>
                <w:rFonts w:ascii="Times New Roman" w:hAnsi="Times New Roman" w:eastAsia="宋体"/>
                <w:b w:val="0"/>
                <w:i w:val="0"/>
                <w:sz w:val="21"/>
              </w:rPr>
              <w:t>待上传已生效单据状态停留超过 30 天未上传，或对已生效货转点击作废</w:t>
            </w:r>
          </w:p>
        </w:tc>
        <w:tc>
          <w:tcPr>
            <w:tcW w:type="dxa" w:w="6236"/>
          </w:tcPr>
          <w:p>
            <w:pPr>
              <w:spacing w:before="20" w:after="20" w:line="276" w:lineRule="auto"/>
              <w:ind w:firstLine="0"/>
            </w:pPr>
            <w:r/>
            <w:r>
              <w:rPr>
                <w:rFonts w:ascii="Times New Roman" w:hAnsi="Times New Roman" w:eastAsia="宋体"/>
                <w:b w:val="0"/>
                <w:i w:val="0"/>
                <w:sz w:val="21"/>
              </w:rPr>
              <w:t>前者由系统自动作废并提示已超 30 天未上传已生效单据；后者阻止作废并提示已生效货转不能作废，请走解除流程</w:t>
            </w:r>
          </w:p>
        </w:tc>
      </w:tr>
    </w:tbl>
    <w:p>
      <w:pPr>
        <w:spacing w:before="0" w:after="0" w:line="240" w:lineRule="auto"/>
      </w:pPr>
    </w:p>
    <w:p>
      <w:pPr>
        <w:spacing w:before="120" w:after="60"/>
        <w:ind w:firstLine="0"/>
        <w:jc w:val="center"/>
      </w:pPr>
      <w:r>
        <w:drawing>
          <wp:inline xmlns:a="http://schemas.openxmlformats.org/drawingml/2006/main" xmlns:pic="http://schemas.openxmlformats.org/drawingml/2006/picture">
            <wp:extent cx="5616000" cy="3334500"/>
            <wp:docPr id="20" name="Picture 20"/>
            <wp:cNvGraphicFramePr>
              <a:graphicFrameLocks noChangeAspect="1"/>
            </wp:cNvGraphicFramePr>
            <a:graphic>
              <a:graphicData uri="http://schemas.openxmlformats.org/drawingml/2006/picture">
                <pic:pic>
                  <pic:nvPicPr>
                    <pic:cNvPr id="0" name="goods-transfer.png"/>
                    <pic:cNvPicPr/>
                  </pic:nvPicPr>
                  <pic:blipFill>
                    <a:blip r:embed="rId30"/>
                    <a:stretch>
                      <a:fillRect/>
                    </a:stretch>
                  </pic:blipFill>
                  <pic:spPr>
                    <a:xfrm>
                      <a:off x="0" y="0"/>
                      <a:ext cx="5616000" cy="3334500"/>
                    </a:xfrm>
                    <a:prstGeom prst="rect"/>
                  </pic:spPr>
                </pic:pic>
              </a:graphicData>
            </a:graphic>
          </wp:inline>
        </w:drawing>
      </w:r>
    </w:p>
    <w:p>
      <w:pPr>
        <w:spacing w:before="0" w:after="200" w:line="240" w:lineRule="auto"/>
        <w:ind w:firstLine="0"/>
        <w:jc w:val="center"/>
      </w:pPr>
      <w:r>
        <w:rPr>
          <w:rFonts w:ascii="Times New Roman" w:hAnsi="Times New Roman" w:eastAsia="宋体"/>
          <w:b w:val="0"/>
          <w:i w:val="0"/>
          <w:sz w:val="21"/>
        </w:rPr>
        <w:t>图 4-10-2　货转管理 原型页面</w:t>
      </w:r>
    </w:p>
    <w:p>
      <w:pPr>
        <w:spacing w:before="80" w:after="60" w:line="360" w:lineRule="auto"/>
      </w:pPr>
      <w:r>
        <w:rPr>
          <w:rFonts w:ascii="Times New Roman" w:hAnsi="Times New Roman" w:eastAsia="宋体"/>
          <w:b/>
          <w:i w:val="0"/>
          <w:sz w:val="24"/>
        </w:rPr>
        <w:t>页面级说明：</w:t>
      </w: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tblGrid>
      <w:tr>
        <w:trPr>
          <w:tblHeader w:val="true"/>
        </w:trPr>
        <w:tc>
          <w:tcPr>
            <w:tcW w:type="dxa" w:w="1178"/>
            <w:shd w:val="clear" w:color="auto" w:fill="DCE6F1"/>
          </w:tcPr>
          <w:p>
            <w:pPr>
              <w:spacing w:before="40" w:after="40" w:line="276" w:lineRule="auto"/>
              <w:jc w:val="center"/>
            </w:pPr>
            <w:r/>
            <w:r>
              <w:rPr>
                <w:rFonts w:ascii="Times New Roman" w:hAnsi="Times New Roman" w:eastAsia="黑体"/>
                <w:b/>
                <w:i w:val="0"/>
                <w:sz w:val="19"/>
              </w:rPr>
              <w:t>页面</w:t>
            </w:r>
          </w:p>
        </w:tc>
        <w:tc>
          <w:tcPr>
            <w:tcW w:type="dxa" w:w="1531"/>
            <w:shd w:val="clear" w:color="auto" w:fill="DCE6F1"/>
          </w:tcPr>
          <w:p>
            <w:pPr>
              <w:spacing w:before="40" w:after="40" w:line="276" w:lineRule="auto"/>
              <w:jc w:val="center"/>
            </w:pPr>
            <w:r/>
            <w:r>
              <w:rPr>
                <w:rFonts w:ascii="Times New Roman" w:hAnsi="Times New Roman" w:eastAsia="黑体"/>
                <w:b/>
                <w:i w:val="0"/>
                <w:sz w:val="19"/>
              </w:rPr>
              <w:t>原型文件</w:t>
            </w:r>
          </w:p>
        </w:tc>
        <w:tc>
          <w:tcPr>
            <w:tcW w:type="dxa" w:w="1119"/>
            <w:shd w:val="clear" w:color="auto" w:fill="DCE6F1"/>
          </w:tcPr>
          <w:p>
            <w:pPr>
              <w:spacing w:before="40" w:after="40" w:line="276" w:lineRule="auto"/>
              <w:jc w:val="center"/>
            </w:pPr>
            <w:r/>
            <w:r>
              <w:rPr>
                <w:rFonts w:ascii="Times New Roman" w:hAnsi="Times New Roman" w:eastAsia="黑体"/>
                <w:b/>
                <w:i w:val="0"/>
                <w:sz w:val="19"/>
              </w:rPr>
              <w:t>进入方式</w:t>
            </w:r>
          </w:p>
        </w:tc>
        <w:tc>
          <w:tcPr>
            <w:tcW w:type="dxa" w:w="2062"/>
            <w:shd w:val="clear" w:color="auto" w:fill="DCE6F1"/>
          </w:tcPr>
          <w:p>
            <w:pPr>
              <w:spacing w:before="40" w:after="40" w:line="276" w:lineRule="auto"/>
              <w:jc w:val="center"/>
            </w:pPr>
            <w:r/>
            <w:r>
              <w:rPr>
                <w:rFonts w:ascii="Times New Roman" w:hAnsi="Times New Roman" w:eastAsia="黑体"/>
                <w:b/>
                <w:i w:val="0"/>
                <w:sz w:val="19"/>
              </w:rPr>
              <w:t>关键区块</w:t>
            </w:r>
          </w:p>
        </w:tc>
        <w:tc>
          <w:tcPr>
            <w:tcW w:type="dxa" w:w="1767"/>
            <w:shd w:val="clear" w:color="auto" w:fill="DCE6F1"/>
          </w:tcPr>
          <w:p>
            <w:pPr>
              <w:spacing w:before="40" w:after="40" w:line="276" w:lineRule="auto"/>
              <w:jc w:val="center"/>
            </w:pPr>
            <w:r/>
            <w:r>
              <w:rPr>
                <w:rFonts w:ascii="Times New Roman" w:hAnsi="Times New Roman" w:eastAsia="黑体"/>
                <w:b/>
                <w:i w:val="0"/>
                <w:sz w:val="19"/>
              </w:rPr>
              <w:t>主要按钮与行为</w:t>
            </w:r>
          </w:p>
        </w:tc>
        <w:tc>
          <w:tcPr>
            <w:tcW w:type="dxa" w:w="1414"/>
            <w:shd w:val="clear" w:color="auto" w:fill="DCE6F1"/>
          </w:tcPr>
          <w:p>
            <w:pPr>
              <w:spacing w:before="40" w:after="40" w:line="276" w:lineRule="auto"/>
              <w:jc w:val="center"/>
            </w:pPr>
            <w:r/>
            <w:r>
              <w:rPr>
                <w:rFonts w:ascii="Times New Roman" w:hAnsi="Times New Roman" w:eastAsia="黑体"/>
                <w:b/>
                <w:i w:val="0"/>
                <w:sz w:val="19"/>
              </w:rPr>
              <w:t>跳转去向</w:t>
            </w:r>
          </w:p>
        </w:tc>
      </w:tr>
      <w:tr>
        <w:tc>
          <w:tcPr>
            <w:tcW w:type="dxa" w:w="1178"/>
          </w:tcPr>
          <w:p>
            <w:pPr>
              <w:spacing w:before="20" w:after="20" w:line="276" w:lineRule="auto"/>
              <w:ind w:firstLine="0"/>
            </w:pPr>
            <w:r/>
            <w:r>
              <w:rPr>
                <w:rFonts w:ascii="Times New Roman" w:hAnsi="Times New Roman" w:eastAsia="宋体"/>
                <w:b w:val="0"/>
                <w:i w:val="0"/>
                <w:sz w:val="19"/>
              </w:rPr>
              <w:t>货转管理（主列表）</w:t>
            </w:r>
          </w:p>
        </w:tc>
        <w:tc>
          <w:tcPr>
            <w:tcW w:type="dxa" w:w="1531"/>
          </w:tcPr>
          <w:p>
            <w:pPr>
              <w:spacing w:before="20" w:after="20" w:line="276" w:lineRule="auto"/>
              <w:ind w:firstLine="0"/>
            </w:pPr>
            <w:r/>
            <w:r>
              <w:rPr>
                <w:rFonts w:ascii="Times New Roman" w:hAnsi="Times New Roman" w:eastAsia="宋体"/>
                <w:b w:val="0"/>
                <w:i w:val="0"/>
                <w:sz w:val="19"/>
              </w:rPr>
              <w:t>goods-transfer.html</w:t>
            </w:r>
          </w:p>
        </w:tc>
        <w:tc>
          <w:tcPr>
            <w:tcW w:type="dxa" w:w="1119"/>
          </w:tcPr>
          <w:p>
            <w:pPr>
              <w:spacing w:before="20" w:after="20" w:line="276" w:lineRule="auto"/>
              <w:ind w:firstLine="0"/>
            </w:pPr>
            <w:r/>
            <w:r>
              <w:rPr>
                <w:rFonts w:ascii="Times New Roman" w:hAnsi="Times New Roman" w:eastAsia="宋体"/>
                <w:b w:val="0"/>
                <w:i w:val="0"/>
                <w:sz w:val="19"/>
              </w:rPr>
              <w:t>数字供应链 → 货转管理</w:t>
            </w:r>
          </w:p>
        </w:tc>
        <w:tc>
          <w:tcPr>
            <w:tcW w:type="dxa" w:w="2062"/>
          </w:tcPr>
          <w:p>
            <w:pPr>
              <w:spacing w:before="20" w:after="20" w:line="276" w:lineRule="auto"/>
              <w:ind w:firstLine="0"/>
            </w:pPr>
            <w:r/>
            <w:r>
              <w:rPr>
                <w:rFonts w:ascii="Times New Roman" w:hAnsi="Times New Roman" w:eastAsia="宋体"/>
                <w:b w:val="0"/>
                <w:i w:val="0"/>
                <w:sz w:val="19"/>
              </w:rPr>
              <w:t>上游与下游方向切换、状态 Tab（全部 / 审批中 / 待上传已生效单据 / 已生效 / 驳回 / 已作废）、筛选区（编号、货转编号、买方企业、卖方企业、货转开具日期、状态）、上游 7 列与下游 10 列两套列表、分页</w:t>
            </w:r>
          </w:p>
        </w:tc>
        <w:tc>
          <w:tcPr>
            <w:tcW w:type="dxa" w:w="1767"/>
          </w:tcPr>
          <w:p>
            <w:pPr>
              <w:spacing w:before="20" w:after="20" w:line="276" w:lineRule="auto"/>
              <w:ind w:firstLine="0"/>
            </w:pPr>
            <w:r/>
            <w:r>
              <w:rPr>
                <w:rFonts w:ascii="Times New Roman" w:hAnsi="Times New Roman" w:eastAsia="宋体"/>
                <w:b w:val="0"/>
                <w:i w:val="0"/>
                <w:sz w:val="19"/>
              </w:rPr>
              <w:t>开具货转（下拉：上传上游货转 / 新增下游货转）、批量下载、数据导出；行内：查看、作废、下载；上传已生效单据（居中弹窗提交）</w:t>
            </w:r>
          </w:p>
        </w:tc>
        <w:tc>
          <w:tcPr>
            <w:tcW w:type="dxa" w:w="1414"/>
          </w:tcPr>
          <w:p>
            <w:pPr>
              <w:spacing w:before="20" w:after="20" w:line="276" w:lineRule="auto"/>
              <w:ind w:firstLine="0"/>
            </w:pPr>
            <w:r/>
            <w:r>
              <w:rPr>
                <w:rFonts w:ascii="Times New Roman" w:hAnsi="Times New Roman" w:eastAsia="宋体"/>
                <w:b w:val="0"/>
                <w:i w:val="0"/>
                <w:sz w:val="19"/>
              </w:rPr>
              <w:t>开具货转 → 上游货转新建页或下游货转新建页；查看 → 对应方向的货转详情页；上传已生效单据 → 居中弹窗，提交后状态转已生效</w:t>
            </w:r>
          </w:p>
        </w:tc>
      </w:tr>
      <w:tr>
        <w:tc>
          <w:tcPr>
            <w:tcW w:type="dxa" w:w="1178"/>
          </w:tcPr>
          <w:p>
            <w:pPr>
              <w:spacing w:before="20" w:after="20" w:line="276" w:lineRule="auto"/>
              <w:ind w:firstLine="0"/>
            </w:pPr>
            <w:r/>
            <w:r>
              <w:rPr>
                <w:rFonts w:ascii="Times New Roman" w:hAnsi="Times New Roman" w:eastAsia="宋体"/>
                <w:b w:val="0"/>
                <w:i w:val="0"/>
                <w:sz w:val="19"/>
              </w:rPr>
              <w:t>上传上游货转</w:t>
            </w:r>
          </w:p>
        </w:tc>
        <w:tc>
          <w:tcPr>
            <w:tcW w:type="dxa" w:w="1531"/>
          </w:tcPr>
          <w:p>
            <w:pPr>
              <w:spacing w:before="20" w:after="20" w:line="276" w:lineRule="auto"/>
              <w:ind w:firstLine="0"/>
            </w:pPr>
            <w:r/>
            <w:r>
              <w:rPr>
                <w:rFonts w:ascii="Times New Roman" w:hAnsi="Times New Roman" w:eastAsia="宋体"/>
                <w:b w:val="0"/>
                <w:i w:val="0"/>
                <w:sz w:val="19"/>
              </w:rPr>
              <w:t>goods-transfer-up-new.html</w:t>
            </w:r>
          </w:p>
        </w:tc>
        <w:tc>
          <w:tcPr>
            <w:tcW w:type="dxa" w:w="1119"/>
          </w:tcPr>
          <w:p>
            <w:pPr>
              <w:spacing w:before="20" w:after="20" w:line="276" w:lineRule="auto"/>
              <w:ind w:firstLine="0"/>
            </w:pPr>
            <w:r/>
            <w:r>
              <w:rPr>
                <w:rFonts w:ascii="Times New Roman" w:hAnsi="Times New Roman" w:eastAsia="宋体"/>
                <w:b w:val="0"/>
                <w:i w:val="0"/>
                <w:sz w:val="19"/>
              </w:rPr>
              <w:t>货转管理列表「开具货转 → 上传上游货转」</w:t>
            </w:r>
          </w:p>
        </w:tc>
        <w:tc>
          <w:tcPr>
            <w:tcW w:type="dxa" w:w="2062"/>
          </w:tcPr>
          <w:p>
            <w:pPr>
              <w:spacing w:before="20" w:after="20" w:line="276" w:lineRule="auto"/>
              <w:ind w:firstLine="0"/>
            </w:pPr>
            <w:r/>
            <w:r>
              <w:rPr>
                <w:rFonts w:ascii="Times New Roman" w:hAnsi="Times New Roman" w:eastAsia="宋体"/>
                <w:b w:val="0"/>
                <w:i w:val="0"/>
                <w:sz w:val="19"/>
              </w:rPr>
              <w:t>区块 1 合同信息（13 字段只读）、区块 2 收货记录子表（7 列，可多选）、区块 3 货转证明（3 列）、附件信息、签署状态</w:t>
            </w:r>
          </w:p>
        </w:tc>
        <w:tc>
          <w:tcPr>
            <w:tcW w:type="dxa" w:w="1767"/>
          </w:tcPr>
          <w:p>
            <w:pPr>
              <w:spacing w:before="20" w:after="20" w:line="276" w:lineRule="auto"/>
              <w:ind w:firstLine="0"/>
            </w:pPr>
            <w:r/>
            <w:r>
              <w:rPr>
                <w:rFonts w:ascii="Times New Roman" w:hAnsi="Times New Roman" w:eastAsia="宋体"/>
                <w:b w:val="0"/>
                <w:i w:val="0"/>
                <w:sz w:val="19"/>
              </w:rPr>
              <w:t>提交（弹提交确认弹窗，确认后生成上游货转编号）、取消、收货记录全选与反选、单行勾选</w:t>
            </w:r>
          </w:p>
        </w:tc>
        <w:tc>
          <w:tcPr>
            <w:tcW w:type="dxa" w:w="1414"/>
          </w:tcPr>
          <w:p>
            <w:pPr>
              <w:spacing w:before="20" w:after="20" w:line="276" w:lineRule="auto"/>
              <w:ind w:firstLine="0"/>
            </w:pPr>
            <w:r/>
            <w:r>
              <w:rPr>
                <w:rFonts w:ascii="Times New Roman" w:hAnsi="Times New Roman" w:eastAsia="宋体"/>
                <w:b w:val="0"/>
                <w:i w:val="0"/>
                <w:sz w:val="19"/>
              </w:rPr>
              <w:t>提交成功 → 货转管理列表，签署状态为待签署时状态为审批中，双签时状态为已生效；取消 → 返回货转管理列表</w:t>
            </w:r>
          </w:p>
        </w:tc>
      </w:tr>
      <w:tr>
        <w:tc>
          <w:tcPr>
            <w:tcW w:type="dxa" w:w="1178"/>
          </w:tcPr>
          <w:p>
            <w:pPr>
              <w:spacing w:before="20" w:after="20" w:line="276" w:lineRule="auto"/>
              <w:ind w:firstLine="0"/>
            </w:pPr>
            <w:r/>
            <w:r>
              <w:rPr>
                <w:rFonts w:ascii="Times New Roman" w:hAnsi="Times New Roman" w:eastAsia="宋体"/>
                <w:b w:val="0"/>
                <w:i w:val="0"/>
                <w:sz w:val="19"/>
              </w:rPr>
              <w:t>已上传上游货转详情</w:t>
            </w:r>
          </w:p>
        </w:tc>
        <w:tc>
          <w:tcPr>
            <w:tcW w:type="dxa" w:w="1531"/>
          </w:tcPr>
          <w:p>
            <w:pPr>
              <w:spacing w:before="20" w:after="20" w:line="276" w:lineRule="auto"/>
              <w:ind w:firstLine="0"/>
            </w:pPr>
            <w:r/>
            <w:r>
              <w:rPr>
                <w:rFonts w:ascii="Times New Roman" w:hAnsi="Times New Roman" w:eastAsia="宋体"/>
                <w:b w:val="0"/>
                <w:i w:val="0"/>
                <w:sz w:val="19"/>
              </w:rPr>
              <w:t>goods-transfer-up-detail.html</w:t>
            </w:r>
          </w:p>
        </w:tc>
        <w:tc>
          <w:tcPr>
            <w:tcW w:type="dxa" w:w="1119"/>
          </w:tcPr>
          <w:p>
            <w:pPr>
              <w:spacing w:before="20" w:after="20" w:line="276" w:lineRule="auto"/>
              <w:ind w:firstLine="0"/>
            </w:pPr>
            <w:r/>
            <w:r>
              <w:rPr>
                <w:rFonts w:ascii="Times New Roman" w:hAnsi="Times New Roman" w:eastAsia="宋体"/>
                <w:b w:val="0"/>
                <w:i w:val="0"/>
                <w:sz w:val="19"/>
              </w:rPr>
              <w:t>货转管理列表行「查看」（上游方向）</w:t>
            </w:r>
          </w:p>
        </w:tc>
        <w:tc>
          <w:tcPr>
            <w:tcW w:type="dxa" w:w="2062"/>
          </w:tcPr>
          <w:p>
            <w:pPr>
              <w:spacing w:before="20" w:after="20" w:line="276" w:lineRule="auto"/>
              <w:ind w:firstLine="0"/>
            </w:pPr>
            <w:r/>
            <w:r>
              <w:rPr>
                <w:rFonts w:ascii="Times New Roman" w:hAnsi="Times New Roman" w:eastAsia="宋体"/>
                <w:b w:val="0"/>
                <w:i w:val="0"/>
                <w:sz w:val="19"/>
              </w:rPr>
              <w:t>合同信息、收发信息、货转证明、附件信息、签署状态、状态时间线</w:t>
            </w:r>
          </w:p>
        </w:tc>
        <w:tc>
          <w:tcPr>
            <w:tcW w:type="dxa" w:w="1767"/>
          </w:tcPr>
          <w:p>
            <w:pPr>
              <w:spacing w:before="20" w:after="20" w:line="276" w:lineRule="auto"/>
              <w:ind w:firstLine="0"/>
            </w:pPr>
            <w:r/>
            <w:r>
              <w:rPr>
                <w:rFonts w:ascii="Times New Roman" w:hAnsi="Times New Roman" w:eastAsia="宋体"/>
                <w:b w:val="0"/>
                <w:i w:val="0"/>
                <w:sz w:val="19"/>
              </w:rPr>
              <w:t>上传已生效单据（居中弹窗）、作废、附件下载</w:t>
            </w:r>
          </w:p>
        </w:tc>
        <w:tc>
          <w:tcPr>
            <w:tcW w:type="dxa" w:w="1414"/>
          </w:tcPr>
          <w:p>
            <w:pPr>
              <w:spacing w:before="20" w:after="20" w:line="276" w:lineRule="auto"/>
              <w:ind w:firstLine="0"/>
            </w:pPr>
            <w:r/>
            <w:r>
              <w:rPr>
                <w:rFonts w:ascii="Times New Roman" w:hAnsi="Times New Roman" w:eastAsia="宋体"/>
                <w:b w:val="0"/>
                <w:i w:val="0"/>
                <w:sz w:val="19"/>
              </w:rPr>
              <w:t>上传已生效单据 → 居中弹窗提交后状态转已生效；作废 → 状态转已作废并返回列表</w:t>
            </w:r>
          </w:p>
        </w:tc>
      </w:tr>
      <w:tr>
        <w:tc>
          <w:tcPr>
            <w:tcW w:type="dxa" w:w="1178"/>
          </w:tcPr>
          <w:p>
            <w:pPr>
              <w:spacing w:before="20" w:after="20" w:line="276" w:lineRule="auto"/>
              <w:ind w:firstLine="0"/>
            </w:pPr>
            <w:r/>
            <w:r>
              <w:rPr>
                <w:rFonts w:ascii="Times New Roman" w:hAnsi="Times New Roman" w:eastAsia="宋体"/>
                <w:b w:val="0"/>
                <w:i w:val="0"/>
                <w:sz w:val="19"/>
              </w:rPr>
              <w:t>新增下游货转</w:t>
            </w:r>
          </w:p>
        </w:tc>
        <w:tc>
          <w:tcPr>
            <w:tcW w:type="dxa" w:w="1531"/>
          </w:tcPr>
          <w:p>
            <w:pPr>
              <w:spacing w:before="20" w:after="20" w:line="276" w:lineRule="auto"/>
              <w:ind w:firstLine="0"/>
            </w:pPr>
            <w:r/>
            <w:r>
              <w:rPr>
                <w:rFonts w:ascii="Times New Roman" w:hAnsi="Times New Roman" w:eastAsia="宋体"/>
                <w:b w:val="0"/>
                <w:i w:val="0"/>
                <w:sz w:val="19"/>
              </w:rPr>
              <w:t>goods-transfer-down-new.html</w:t>
            </w:r>
          </w:p>
        </w:tc>
        <w:tc>
          <w:tcPr>
            <w:tcW w:type="dxa" w:w="1119"/>
          </w:tcPr>
          <w:p>
            <w:pPr>
              <w:spacing w:before="20" w:after="20" w:line="276" w:lineRule="auto"/>
              <w:ind w:firstLine="0"/>
            </w:pPr>
            <w:r/>
            <w:r>
              <w:rPr>
                <w:rFonts w:ascii="Times New Roman" w:hAnsi="Times New Roman" w:eastAsia="宋体"/>
                <w:b w:val="0"/>
                <w:i w:val="0"/>
                <w:sz w:val="19"/>
              </w:rPr>
              <w:t>货转管理列表「开具货转 → 新增下游货转」</w:t>
            </w:r>
          </w:p>
        </w:tc>
        <w:tc>
          <w:tcPr>
            <w:tcW w:type="dxa" w:w="2062"/>
          </w:tcPr>
          <w:p>
            <w:pPr>
              <w:spacing w:before="20" w:after="20" w:line="276" w:lineRule="auto"/>
              <w:ind w:firstLine="0"/>
            </w:pPr>
            <w:r/>
            <w:r>
              <w:rPr>
                <w:rFonts w:ascii="Times New Roman" w:hAnsi="Times New Roman" w:eastAsia="宋体"/>
                <w:b w:val="0"/>
                <w:i w:val="0"/>
                <w:sz w:val="19"/>
              </w:rPr>
              <w:t>合同信息、收货记录选择、货转证明（含货转开具方式、货转开具日期、货转开具数量）、附件信息、签署状态</w:t>
            </w:r>
          </w:p>
        </w:tc>
        <w:tc>
          <w:tcPr>
            <w:tcW w:type="dxa" w:w="1767"/>
          </w:tcPr>
          <w:p>
            <w:pPr>
              <w:spacing w:before="20" w:after="20" w:line="276" w:lineRule="auto"/>
              <w:ind w:firstLine="0"/>
            </w:pPr>
            <w:r/>
            <w:r>
              <w:rPr>
                <w:rFonts w:ascii="Times New Roman" w:hAnsi="Times New Roman" w:eastAsia="宋体"/>
                <w:b w:val="0"/>
                <w:i w:val="0"/>
                <w:sz w:val="19"/>
              </w:rPr>
              <w:t>提交、取消、收货记录全选与反选、单行勾选</w:t>
            </w:r>
          </w:p>
        </w:tc>
        <w:tc>
          <w:tcPr>
            <w:tcW w:type="dxa" w:w="1414"/>
          </w:tcPr>
          <w:p>
            <w:pPr>
              <w:spacing w:before="20" w:after="20" w:line="276" w:lineRule="auto"/>
              <w:ind w:firstLine="0"/>
            </w:pPr>
            <w:r/>
            <w:r>
              <w:rPr>
                <w:rFonts w:ascii="Times New Roman" w:hAnsi="Times New Roman" w:eastAsia="宋体"/>
                <w:b w:val="0"/>
                <w:i w:val="0"/>
                <w:sz w:val="19"/>
              </w:rPr>
              <w:t>提交成功 → 货转管理列表，签署状态为待签署时状态为审批中，双签时状态为已生效；取消 → 返回货转管理列表</w:t>
            </w:r>
          </w:p>
        </w:tc>
      </w:tr>
      <w:tr>
        <w:tc>
          <w:tcPr>
            <w:tcW w:type="dxa" w:w="1178"/>
          </w:tcPr>
          <w:p>
            <w:pPr>
              <w:spacing w:before="20" w:after="20" w:line="276" w:lineRule="auto"/>
              <w:ind w:firstLine="0"/>
            </w:pPr>
            <w:r/>
            <w:r>
              <w:rPr>
                <w:rFonts w:ascii="Times New Roman" w:hAnsi="Times New Roman" w:eastAsia="宋体"/>
                <w:b w:val="0"/>
                <w:i w:val="0"/>
                <w:sz w:val="19"/>
              </w:rPr>
              <w:t>下游货转详情</w:t>
            </w:r>
          </w:p>
        </w:tc>
        <w:tc>
          <w:tcPr>
            <w:tcW w:type="dxa" w:w="1531"/>
          </w:tcPr>
          <w:p>
            <w:pPr>
              <w:spacing w:before="20" w:after="20" w:line="276" w:lineRule="auto"/>
              <w:ind w:firstLine="0"/>
            </w:pPr>
            <w:r/>
            <w:r>
              <w:rPr>
                <w:rFonts w:ascii="Times New Roman" w:hAnsi="Times New Roman" w:eastAsia="宋体"/>
                <w:b w:val="0"/>
                <w:i w:val="0"/>
                <w:sz w:val="19"/>
              </w:rPr>
              <w:t>goods-transfer-down-detail.html</w:t>
            </w:r>
          </w:p>
        </w:tc>
        <w:tc>
          <w:tcPr>
            <w:tcW w:type="dxa" w:w="1119"/>
          </w:tcPr>
          <w:p>
            <w:pPr>
              <w:spacing w:before="20" w:after="20" w:line="276" w:lineRule="auto"/>
              <w:ind w:firstLine="0"/>
            </w:pPr>
            <w:r/>
            <w:r>
              <w:rPr>
                <w:rFonts w:ascii="Times New Roman" w:hAnsi="Times New Roman" w:eastAsia="宋体"/>
                <w:b w:val="0"/>
                <w:i w:val="0"/>
                <w:sz w:val="19"/>
              </w:rPr>
              <w:t>货转管理列表行「查看」（下游方向）</w:t>
            </w:r>
          </w:p>
        </w:tc>
        <w:tc>
          <w:tcPr>
            <w:tcW w:type="dxa" w:w="2062"/>
          </w:tcPr>
          <w:p>
            <w:pPr>
              <w:spacing w:before="20" w:after="20" w:line="276" w:lineRule="auto"/>
              <w:ind w:firstLine="0"/>
            </w:pPr>
            <w:r/>
            <w:r>
              <w:rPr>
                <w:rFonts w:ascii="Times New Roman" w:hAnsi="Times New Roman" w:eastAsia="宋体"/>
                <w:b w:val="0"/>
                <w:i w:val="0"/>
                <w:sz w:val="19"/>
              </w:rPr>
              <w:t>合同信息、收发信息、货转证明、附件信息、签署状态、状态时间线</w:t>
            </w:r>
          </w:p>
        </w:tc>
        <w:tc>
          <w:tcPr>
            <w:tcW w:type="dxa" w:w="1767"/>
          </w:tcPr>
          <w:p>
            <w:pPr>
              <w:spacing w:before="20" w:after="20" w:line="276" w:lineRule="auto"/>
              <w:ind w:firstLine="0"/>
            </w:pPr>
            <w:r/>
            <w:r>
              <w:rPr>
                <w:rFonts w:ascii="Times New Roman" w:hAnsi="Times New Roman" w:eastAsia="宋体"/>
                <w:b w:val="0"/>
                <w:i w:val="0"/>
                <w:sz w:val="19"/>
              </w:rPr>
              <w:t>上传已生效单据（居中弹窗）、作废、附件下载</w:t>
            </w:r>
          </w:p>
        </w:tc>
        <w:tc>
          <w:tcPr>
            <w:tcW w:type="dxa" w:w="1414"/>
          </w:tcPr>
          <w:p>
            <w:pPr>
              <w:spacing w:before="20" w:after="20" w:line="276" w:lineRule="auto"/>
              <w:ind w:firstLine="0"/>
            </w:pPr>
            <w:r/>
            <w:r>
              <w:rPr>
                <w:rFonts w:ascii="Times New Roman" w:hAnsi="Times New Roman" w:eastAsia="宋体"/>
                <w:b w:val="0"/>
                <w:i w:val="0"/>
                <w:sz w:val="19"/>
              </w:rPr>
              <w:t>上传已生效单据 → 居中弹窗提交后状态转已生效；作废 → 状态转已作废并返回列表</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4.10.8　验收标准与待确认项</w:t>
      </w:r>
    </w:p>
    <w:tbl>
      <w:tblPr>
        <w:tblStyle w:val="TableGrid"/>
        <w:tblW w:type="auto" w:w="0"/>
        <w:jc w:val="center"/>
        <w:tblLayout w:type="fixed"/>
        <w:tblLook w:firstColumn="1" w:firstRow="1" w:lastColumn="0" w:lastRow="0" w:noHBand="0" w:noVBand="1" w:val="04A0"/>
      </w:tblPr>
      <w:tblGrid>
        <w:gridCol w:w="4479"/>
        <w:gridCol w:w="4479"/>
      </w:tblGrid>
      <w:tr>
        <w:trPr>
          <w:tblHeader w:val="true"/>
        </w:trPr>
        <w:tc>
          <w:tcPr>
            <w:tcW w:type="dxa" w:w="1701"/>
            <w:shd w:val="clear" w:color="auto" w:fill="DCE6F1"/>
          </w:tcPr>
          <w:p>
            <w:pPr>
              <w:spacing w:before="40" w:after="40" w:line="276" w:lineRule="auto"/>
              <w:jc w:val="center"/>
            </w:pPr>
            <w:r/>
            <w:r>
              <w:rPr>
                <w:rFonts w:ascii="Times New Roman" w:hAnsi="Times New Roman" w:eastAsia="黑体"/>
                <w:b/>
                <w:i w:val="0"/>
                <w:sz w:val="21"/>
              </w:rPr>
              <w:t>功能</w:t>
            </w:r>
          </w:p>
        </w:tc>
        <w:tc>
          <w:tcPr>
            <w:tcW w:type="dxa" w:w="7370"/>
            <w:shd w:val="clear" w:color="auto" w:fill="DCE6F1"/>
          </w:tcPr>
          <w:p>
            <w:pPr>
              <w:spacing w:before="40" w:after="40" w:line="276" w:lineRule="auto"/>
              <w:jc w:val="center"/>
            </w:pPr>
            <w:r/>
            <w:r>
              <w:rPr>
                <w:rFonts w:ascii="Times New Roman" w:hAnsi="Times New Roman" w:eastAsia="黑体"/>
                <w:b/>
                <w:i w:val="0"/>
                <w:sz w:val="21"/>
              </w:rPr>
              <w:t>验收要点（由关键规则转写）</w:t>
            </w:r>
          </w:p>
        </w:tc>
      </w:tr>
      <w:tr>
        <w:tc>
          <w:tcPr>
            <w:tcW w:type="dxa" w:w="1701"/>
          </w:tcPr>
          <w:p>
            <w:pPr>
              <w:spacing w:before="20" w:after="20" w:line="276" w:lineRule="auto"/>
              <w:ind w:firstLine="0"/>
            </w:pPr>
            <w:r/>
            <w:r>
              <w:rPr>
                <w:rFonts w:ascii="Times New Roman" w:hAnsi="Times New Roman" w:eastAsia="宋体"/>
                <w:b w:val="0"/>
                <w:i w:val="0"/>
                <w:sz w:val="21"/>
              </w:rPr>
              <w:t>上游货转与下游货转分类</w:t>
            </w:r>
          </w:p>
        </w:tc>
        <w:tc>
          <w:tcPr>
            <w:tcW w:type="dxa" w:w="7370"/>
          </w:tcPr>
          <w:p>
            <w:pPr>
              <w:spacing w:before="20" w:after="20" w:line="276" w:lineRule="auto"/>
              <w:ind w:firstLine="0"/>
            </w:pPr>
            <w:r/>
            <w:r>
              <w:rPr>
                <w:rFonts w:ascii="Times New Roman" w:hAnsi="Times New Roman" w:eastAsia="宋体"/>
                <w:b w:val="0"/>
                <w:i w:val="0"/>
                <w:sz w:val="21"/>
              </w:rPr>
              <w:t>上游货转使业务线账面库存增加，下游货转使账面库存减少；两类货转共用同一套 6 态状态机与同一套状态枚举，不区分上下游专有枚举</w:t>
            </w:r>
          </w:p>
        </w:tc>
      </w:tr>
      <w:tr>
        <w:tc>
          <w:tcPr>
            <w:tcW w:type="dxa" w:w="1701"/>
          </w:tcPr>
          <w:p>
            <w:pPr>
              <w:spacing w:before="20" w:after="20" w:line="276" w:lineRule="auto"/>
              <w:ind w:firstLine="0"/>
            </w:pPr>
            <w:r/>
            <w:r>
              <w:rPr>
                <w:rFonts w:ascii="Times New Roman" w:hAnsi="Times New Roman" w:eastAsia="宋体"/>
                <w:b w:val="0"/>
                <w:i w:val="0"/>
                <w:sz w:val="21"/>
              </w:rPr>
              <w:t>开具货转五步流程</w:t>
            </w:r>
          </w:p>
        </w:tc>
        <w:tc>
          <w:tcPr>
            <w:tcW w:type="dxa" w:w="7370"/>
          </w:tcPr>
          <w:p>
            <w:pPr>
              <w:spacing w:before="20" w:after="20" w:line="276" w:lineRule="auto"/>
              <w:ind w:firstLine="0"/>
            </w:pPr>
            <w:r/>
            <w:r>
              <w:rPr>
                <w:rFonts w:ascii="Times New Roman" w:hAnsi="Times New Roman" w:eastAsia="宋体"/>
                <w:b w:val="0"/>
                <w:i w:val="0"/>
                <w:sz w:val="21"/>
              </w:rPr>
              <w:t>合同单选；收货信息可多选且必须是已开具的收货记录；货转数量按实际业务货转单填写；签署状态取值为待签署或双签；提交前必须上传货转附件</w:t>
            </w:r>
          </w:p>
        </w:tc>
      </w:tr>
      <w:tr>
        <w:tc>
          <w:tcPr>
            <w:tcW w:type="dxa" w:w="1701"/>
          </w:tcPr>
          <w:p>
            <w:pPr>
              <w:spacing w:before="20" w:after="20" w:line="276" w:lineRule="auto"/>
              <w:ind w:firstLine="0"/>
            </w:pPr>
            <w:r/>
            <w:r>
              <w:rPr>
                <w:rFonts w:ascii="Times New Roman" w:hAnsi="Times New Roman" w:eastAsia="宋体"/>
                <w:b w:val="0"/>
                <w:i w:val="0"/>
                <w:sz w:val="21"/>
              </w:rPr>
              <w:t>签署状态决定审批路径</w:t>
            </w:r>
          </w:p>
        </w:tc>
        <w:tc>
          <w:tcPr>
            <w:tcW w:type="dxa" w:w="7370"/>
          </w:tcPr>
          <w:p>
            <w:pPr>
              <w:spacing w:before="20" w:after="20" w:line="276" w:lineRule="auto"/>
              <w:ind w:firstLine="0"/>
            </w:pPr>
            <w:r/>
            <w:r>
              <w:rPr>
                <w:rFonts w:ascii="Times New Roman" w:hAnsi="Times New Roman" w:eastAsia="宋体"/>
                <w:b w:val="0"/>
                <w:i w:val="0"/>
                <w:sz w:val="21"/>
              </w:rPr>
              <w:t>签署状态为待签署时触发平台内部串行审批，货转进入审批中；签署状态为双签时默认跳过审批直接生效，货转直接进入已生效；两条路径在同一套状态机内落地</w:t>
            </w:r>
          </w:p>
        </w:tc>
      </w:tr>
      <w:tr>
        <w:tc>
          <w:tcPr>
            <w:tcW w:type="dxa" w:w="1701"/>
          </w:tcPr>
          <w:p>
            <w:pPr>
              <w:spacing w:before="20" w:after="20" w:line="276" w:lineRule="auto"/>
              <w:ind w:firstLine="0"/>
            </w:pPr>
            <w:r/>
            <w:r>
              <w:rPr>
                <w:rFonts w:ascii="Times New Roman" w:hAnsi="Times New Roman" w:eastAsia="宋体"/>
                <w:b w:val="0"/>
                <w:i w:val="0"/>
                <w:sz w:val="21"/>
              </w:rPr>
              <w:t>货转状态机与作废</w:t>
            </w:r>
          </w:p>
        </w:tc>
        <w:tc>
          <w:tcPr>
            <w:tcW w:type="dxa" w:w="7370"/>
          </w:tcPr>
          <w:p>
            <w:pPr>
              <w:spacing w:before="20" w:after="20" w:line="276" w:lineRule="auto"/>
              <w:ind w:firstLine="0"/>
            </w:pPr>
            <w:r/>
            <w:r>
              <w:rPr>
                <w:rFonts w:ascii="Times New Roman" w:hAnsi="Times New Roman" w:eastAsia="宋体"/>
                <w:b w:val="0"/>
                <w:i w:val="0"/>
                <w:sz w:val="21"/>
              </w:rPr>
              <w:t>待上传已生效单据状态停留超过 30 天未上传已生效单据，系统自动作废并提示；已生效货转不可作废，提示已生效货转不能作废，请走解除流程；驳回与已作废均为终态</w:t>
            </w:r>
          </w:p>
        </w:tc>
      </w:tr>
      <w:tr>
        <w:tc>
          <w:tcPr>
            <w:tcW w:type="dxa" w:w="1701"/>
          </w:tcPr>
          <w:p>
            <w:pPr>
              <w:spacing w:before="20" w:after="20" w:line="276" w:lineRule="auto"/>
              <w:ind w:firstLine="0"/>
            </w:pPr>
            <w:r/>
            <w:r>
              <w:rPr>
                <w:rFonts w:ascii="Times New Roman" w:hAnsi="Times New Roman" w:eastAsia="宋体"/>
                <w:b w:val="0"/>
                <w:i w:val="0"/>
                <w:sz w:val="21"/>
              </w:rPr>
              <w:t>货转附件规则</w:t>
            </w:r>
          </w:p>
        </w:tc>
        <w:tc>
          <w:tcPr>
            <w:tcW w:type="dxa" w:w="7370"/>
          </w:tcPr>
          <w:p>
            <w:pPr>
              <w:spacing w:before="20" w:after="20" w:line="276" w:lineRule="auto"/>
              <w:ind w:firstLine="0"/>
            </w:pPr>
            <w:r/>
            <w:r>
              <w:rPr>
                <w:rFonts w:ascii="Times New Roman" w:hAnsi="Times New Roman" w:eastAsia="宋体"/>
                <w:b w:val="0"/>
                <w:i w:val="0"/>
                <w:sz w:val="21"/>
              </w:rPr>
              <w:t>必填项为待盖章单据或已盖章单据，跟随签署状态选择：签署状态为待签署时必填待盖章单据，为双签时必填已盖章单据；上传弹窗不提供单据类型下拉；非必填附件的类型取值尚未明确</w:t>
            </w:r>
          </w:p>
        </w:tc>
      </w:tr>
      <w:tr>
        <w:tc>
          <w:tcPr>
            <w:tcW w:type="dxa" w:w="1701"/>
          </w:tcPr>
          <w:p>
            <w:pPr>
              <w:spacing w:before="20" w:after="20" w:line="276" w:lineRule="auto"/>
              <w:ind w:firstLine="0"/>
            </w:pPr>
            <w:r/>
            <w:r>
              <w:rPr>
                <w:rFonts w:ascii="Times New Roman" w:hAnsi="Times New Roman" w:eastAsia="宋体"/>
                <w:b w:val="0"/>
                <w:i w:val="0"/>
                <w:sz w:val="21"/>
              </w:rPr>
              <w:t>凭证智能识别</w:t>
            </w:r>
          </w:p>
        </w:tc>
        <w:tc>
          <w:tcPr>
            <w:tcW w:type="dxa" w:w="7370"/>
          </w:tcPr>
          <w:p>
            <w:pPr>
              <w:spacing w:before="20" w:after="20" w:line="276" w:lineRule="auto"/>
              <w:ind w:firstLine="0"/>
            </w:pPr>
            <w:r/>
            <w:r>
              <w:rPr>
                <w:rFonts w:ascii="Times New Roman" w:hAnsi="Times New Roman" w:eastAsia="宋体"/>
                <w:b w:val="0"/>
                <w:i w:val="0"/>
                <w:sz w:val="21"/>
              </w:rPr>
              <w:t>铁路运单识别 8 项（运单号、发货人、收货人、品名、数量、发站、到站、日期）；商品所有权确认单识别 6 项（单号、所有权人、受让人、品名、数量、转移日期）；提货单识别 5 项（单号、提货人、品名、数量、提货日期）；识别失败时提示 OCR 识别失败，请手动填写并降级为手动录入，不阻断提交</w:t>
            </w:r>
          </w:p>
        </w:tc>
      </w:tr>
      <w:tr>
        <w:tc>
          <w:tcPr>
            <w:tcW w:type="dxa" w:w="1701"/>
          </w:tcPr>
          <w:p>
            <w:pPr>
              <w:spacing w:before="20" w:after="20" w:line="276" w:lineRule="auto"/>
              <w:ind w:firstLine="0"/>
            </w:pPr>
            <w:r/>
            <w:r>
              <w:rPr>
                <w:rFonts w:ascii="Times New Roman" w:hAnsi="Times New Roman" w:eastAsia="宋体"/>
                <w:b w:val="0"/>
                <w:i w:val="0"/>
                <w:sz w:val="21"/>
              </w:rPr>
              <w:t>货转生效后的四路联动</w:t>
            </w:r>
          </w:p>
        </w:tc>
        <w:tc>
          <w:tcPr>
            <w:tcW w:type="dxa" w:w="7370"/>
          </w:tcPr>
          <w:p>
            <w:pPr>
              <w:spacing w:before="20" w:after="20" w:line="276" w:lineRule="auto"/>
              <w:ind w:firstLine="0"/>
            </w:pPr>
            <w:r/>
            <w:r>
              <w:rPr>
                <w:rFonts w:ascii="Times New Roman" w:hAnsi="Times New Roman" w:eastAsia="宋体"/>
                <w:b w:val="0"/>
                <w:i w:val="0"/>
                <w:sz w:val="21"/>
              </w:rPr>
              <w:t>上游货转生效触发仓储入库登记，下游货转生效触发仓储出库登记，货转生效更新库存台账数量，业务线账面库存按已收货转加、已开货转减重算；任一路联动失败是否回滚货转状态尚未定义</w:t>
            </w:r>
          </w:p>
        </w:tc>
      </w:tr>
      <w:tr>
        <w:tc>
          <w:tcPr>
            <w:tcW w:type="dxa" w:w="1701"/>
          </w:tcPr>
          <w:p>
            <w:pPr>
              <w:spacing w:before="20" w:after="20" w:line="276" w:lineRule="auto"/>
              <w:ind w:firstLine="0"/>
            </w:pPr>
            <w:r/>
            <w:r>
              <w:rPr>
                <w:rFonts w:ascii="Times New Roman" w:hAnsi="Times New Roman" w:eastAsia="宋体"/>
                <w:b w:val="0"/>
                <w:i w:val="0"/>
                <w:sz w:val="21"/>
              </w:rPr>
              <w:t>货转与合同、结算、发票的关联</w:t>
            </w:r>
          </w:p>
        </w:tc>
        <w:tc>
          <w:tcPr>
            <w:tcW w:type="dxa" w:w="7370"/>
          </w:tcPr>
          <w:p>
            <w:pPr>
              <w:spacing w:before="20" w:after="20" w:line="276" w:lineRule="auto"/>
              <w:ind w:firstLine="0"/>
            </w:pPr>
            <w:r/>
            <w:r>
              <w:rPr>
                <w:rFonts w:ascii="Times New Roman" w:hAnsi="Times New Roman" w:eastAsia="宋体"/>
                <w:b w:val="0"/>
                <w:i w:val="0"/>
                <w:sz w:val="21"/>
              </w:rPr>
              <w:t>货转必须关联执行中状态的合同，关联合同已作废时提示该合同已作废，无法货转；货转编号与合同编号均冗余保存在货转记录上；已开具货转后可进行对应合同的结算登记</w:t>
            </w:r>
          </w:p>
        </w:tc>
      </w:tr>
      <w:tr>
        <w:tc>
          <w:tcPr>
            <w:tcW w:type="dxa" w:w="1701"/>
          </w:tcPr>
          <w:p>
            <w:pPr>
              <w:spacing w:before="20" w:after="20" w:line="276" w:lineRule="auto"/>
              <w:ind w:firstLine="0"/>
            </w:pPr>
            <w:r/>
            <w:r>
              <w:rPr>
                <w:rFonts w:ascii="Times New Roman" w:hAnsi="Times New Roman" w:eastAsia="宋体"/>
                <w:b w:val="0"/>
                <w:i w:val="0"/>
                <w:sz w:val="21"/>
              </w:rPr>
              <w:t>货转数量校验与方向纠错</w:t>
            </w:r>
          </w:p>
        </w:tc>
        <w:tc>
          <w:tcPr>
            <w:tcW w:type="dxa" w:w="7370"/>
          </w:tcPr>
          <w:p>
            <w:pPr>
              <w:spacing w:before="20" w:after="20" w:line="276" w:lineRule="auto"/>
              <w:ind w:firstLine="0"/>
            </w:pPr>
            <w:r/>
            <w:r>
              <w:rPr>
                <w:rFonts w:ascii="Times New Roman" w:hAnsi="Times New Roman" w:eastAsia="宋体"/>
                <w:b w:val="0"/>
                <w:i w:val="0"/>
                <w:sz w:val="21"/>
              </w:rPr>
              <w:t>货转数量超过合同剩余数量时提示货转数量 X 超过合同剩余数量 Y，超过可用库存时提示货转数量不能大于可用库存；上游与下游类型登记与实际业务不符时顶部红色条提示货转类型错误；两级校验的先后关系尚未定义</w:t>
            </w:r>
          </w:p>
        </w:tc>
      </w:tr>
    </w:tbl>
    <w:p>
      <w:pPr>
        <w:spacing w:before="0" w:after="0" w:line="240" w:lineRule="auto"/>
      </w:pPr>
    </w:p>
    <w:p>
      <w:pPr>
        <w:spacing w:before="120" w:after="60" w:line="360" w:lineRule="auto"/>
      </w:pPr>
      <w:r>
        <w:rPr>
          <w:rFonts w:ascii="Times New Roman" w:hAnsi="Times New Roman" w:eastAsia="宋体"/>
          <w:b/>
          <w:i w:val="0"/>
          <w:sz w:val="24"/>
        </w:rPr>
        <w:t>待业务方确认：</w:t>
      </w:r>
    </w:p>
    <w:p>
      <w:pPr>
        <w:spacing w:before="0" w:after="60" w:line="336" w:lineRule="auto"/>
        <w:ind w:left="340" w:firstLine="0"/>
      </w:pPr>
      <w:r>
        <w:rPr>
          <w:rFonts w:ascii="Times New Roman" w:hAnsi="Times New Roman" w:eastAsia="宋体"/>
          <w:b w:val="0"/>
          <w:i w:val="0"/>
          <w:sz w:val="24"/>
        </w:rPr>
        <w:t>· 待业务方确认：货转主列表 6 态的枚举命名，源文档取值与页面实现取值在审批中、待上传已生效单据、已作废三项上不一致</w:t>
      </w:r>
    </w:p>
    <w:p>
      <w:pPr>
        <w:spacing w:before="0" w:after="60" w:line="336" w:lineRule="auto"/>
        <w:ind w:left="340" w:firstLine="0"/>
      </w:pPr>
      <w:r>
        <w:rPr>
          <w:rFonts w:ascii="Times New Roman" w:hAnsi="Times New Roman" w:eastAsia="宋体"/>
          <w:b w:val="0"/>
          <w:i w:val="0"/>
          <w:sz w:val="24"/>
        </w:rPr>
        <w:t>· 待业务方确认：货转类型与货转方向的映射关系，上游货转是否固定对应入库货转、下游货转是否固定对应出库货转</w:t>
      </w:r>
    </w:p>
    <w:p>
      <w:pPr>
        <w:spacing w:before="0" w:after="60" w:line="336" w:lineRule="auto"/>
        <w:ind w:left="340" w:firstLine="0"/>
      </w:pPr>
      <w:r>
        <w:rPr>
          <w:rFonts w:ascii="Times New Roman" w:hAnsi="Times New Roman" w:eastAsia="宋体"/>
          <w:b w:val="0"/>
          <w:i w:val="0"/>
          <w:sz w:val="24"/>
        </w:rPr>
        <w:t>· 待业务方确认：驳回后的货转能否修改后重新提交，若可以则重提后回到哪个状态</w:t>
      </w:r>
    </w:p>
    <w:p>
      <w:pPr>
        <w:spacing w:before="0" w:after="60" w:line="336" w:lineRule="auto"/>
        <w:ind w:left="340" w:firstLine="0"/>
      </w:pPr>
      <w:r>
        <w:rPr>
          <w:rFonts w:ascii="Times New Roman" w:hAnsi="Times New Roman" w:eastAsia="宋体"/>
          <w:b w:val="0"/>
          <w:i w:val="0"/>
          <w:sz w:val="24"/>
        </w:rPr>
        <w:t>· 待业务方确认：已生效是审核通过后一步到位还是需先进入待上传已生效单据两步流转</w:t>
      </w:r>
    </w:p>
    <w:p>
      <w:pPr>
        <w:spacing w:before="0" w:after="60" w:line="336" w:lineRule="auto"/>
        <w:ind w:left="340" w:firstLine="0"/>
      </w:pPr>
      <w:r>
        <w:rPr>
          <w:rFonts w:ascii="Times New Roman" w:hAnsi="Times New Roman" w:eastAsia="宋体"/>
          <w:b w:val="0"/>
          <w:i w:val="0"/>
          <w:sz w:val="24"/>
        </w:rPr>
        <w:t>· 待业务方确认：数量校验是按合同剩余数量还是按可用库存，或两级校验并明确先后关系</w:t>
      </w:r>
    </w:p>
    <w:p>
      <w:pPr>
        <w:spacing w:before="0" w:after="60" w:line="336" w:lineRule="auto"/>
        <w:ind w:left="340" w:firstLine="0"/>
      </w:pPr>
      <w:r>
        <w:rPr>
          <w:rFonts w:ascii="Times New Roman" w:hAnsi="Times New Roman" w:eastAsia="宋体"/>
          <w:b w:val="0"/>
          <w:i w:val="0"/>
          <w:sz w:val="24"/>
        </w:rPr>
        <w:t>· 待业务方确认：已生效货转不能作废时提示的解除流程具体内容</w:t>
      </w:r>
    </w:p>
    <w:p>
      <w:pPr>
        <w:spacing w:before="0" w:after="60" w:line="336" w:lineRule="auto"/>
        <w:ind w:left="340" w:firstLine="0"/>
      </w:pPr>
      <w:r>
        <w:rPr>
          <w:rFonts w:ascii="Times New Roman" w:hAnsi="Times New Roman" w:eastAsia="宋体"/>
          <w:b w:val="0"/>
          <w:i w:val="0"/>
          <w:sz w:val="24"/>
        </w:rPr>
        <w:t>· 待业务方确认：货转编号前缀的具体含义与两段流水的取号规则</w:t>
      </w:r>
    </w:p>
    <w:p>
      <w:pPr>
        <w:spacing w:before="0" w:after="60" w:line="336" w:lineRule="auto"/>
        <w:ind w:left="340" w:firstLine="0"/>
      </w:pPr>
      <w:r>
        <w:rPr>
          <w:rFonts w:ascii="Times New Roman" w:hAnsi="Times New Roman" w:eastAsia="宋体"/>
          <w:b w:val="0"/>
          <w:i w:val="0"/>
          <w:sz w:val="24"/>
        </w:rPr>
        <w:t>· 待业务方确认：搜索条件的完整清单，现行文档标题写 7 项但只列出 5 项</w:t>
      </w:r>
    </w:p>
    <w:p>
      <w:pPr>
        <w:spacing w:before="0" w:after="60" w:line="336" w:lineRule="auto"/>
        <w:ind w:left="340" w:firstLine="0"/>
      </w:pPr>
      <w:r>
        <w:rPr>
          <w:rFonts w:ascii="Times New Roman" w:hAnsi="Times New Roman" w:eastAsia="宋体"/>
          <w:b w:val="0"/>
          <w:i w:val="0"/>
          <w:sz w:val="24"/>
        </w:rPr>
        <w:t>· 待业务方确认：主列表是否保留数据导出按钮，页面现状仅有批量下载</w:t>
      </w:r>
    </w:p>
    <w:p>
      <w:pPr>
        <w:spacing w:before="0" w:after="60" w:line="336" w:lineRule="auto"/>
        <w:ind w:left="340" w:firstLine="0"/>
      </w:pPr>
      <w:r>
        <w:rPr>
          <w:rFonts w:ascii="Times New Roman" w:hAnsi="Times New Roman" w:eastAsia="宋体"/>
          <w:b w:val="0"/>
          <w:i w:val="0"/>
          <w:sz w:val="24"/>
        </w:rPr>
        <w:t>· 待业务方确认：货转非必填附件的类型取值</w:t>
      </w:r>
    </w:p>
    <w:p>
      <w:pPr>
        <w:spacing w:before="0" w:after="60" w:line="336" w:lineRule="auto"/>
        <w:ind w:left="340" w:firstLine="0"/>
      </w:pPr>
      <w:r>
        <w:rPr>
          <w:rFonts w:ascii="Times New Roman" w:hAnsi="Times New Roman" w:eastAsia="宋体"/>
          <w:b w:val="0"/>
          <w:i w:val="0"/>
          <w:sz w:val="24"/>
        </w:rPr>
        <w:t>· 待业务方确认：识别结果 JSON 的字段结构，以及其脱敏范围</w:t>
      </w:r>
    </w:p>
    <w:p>
      <w:pPr>
        <w:spacing w:before="0" w:after="60" w:line="336" w:lineRule="auto"/>
        <w:ind w:left="340" w:firstLine="0"/>
      </w:pPr>
      <w:r>
        <w:rPr>
          <w:rFonts w:ascii="Times New Roman" w:hAnsi="Times New Roman" w:eastAsia="宋体"/>
          <w:b w:val="0"/>
          <w:i w:val="0"/>
          <w:sz w:val="24"/>
        </w:rPr>
        <w:t>· 待业务方确认：超期自动作废的定时任务频率与判定时点</w:t>
      </w:r>
    </w:p>
    <w:p>
      <w:pPr>
        <w:spacing w:before="0" w:after="60" w:line="336" w:lineRule="auto"/>
        <w:ind w:left="340" w:firstLine="0"/>
      </w:pPr>
      <w:r>
        <w:rPr>
          <w:rFonts w:ascii="Times New Roman" w:hAnsi="Times New Roman" w:eastAsia="宋体"/>
          <w:b w:val="0"/>
          <w:i w:val="0"/>
          <w:sz w:val="24"/>
        </w:rPr>
        <w:t>· 待业务方确认：货转生效后四条联动链路任一路失败时的回滚与重试策略</w:t>
      </w:r>
    </w:p>
    <w:p>
      <w:r>
        <w:br w:type="page"/>
      </w:r>
    </w:p>
    <w:p>
      <w:pPr>
        <w:pStyle w:val="Heading2"/>
        <w:keepNext/>
        <w:spacing w:before="240" w:after="120" w:line="312" w:lineRule="auto"/>
        <w:ind w:firstLine="0"/>
      </w:pPr>
      <w:r>
        <w:rPr>
          <w:rFonts w:ascii="Times New Roman" w:hAnsi="Times New Roman" w:eastAsia="黑体"/>
          <w:b/>
          <w:i w:val="0"/>
          <w:sz w:val="28"/>
        </w:rPr>
        <w:t>4.11　付款管理</w:t>
      </w:r>
    </w:p>
    <w:p>
      <w:pPr>
        <w:spacing w:before="0" w:after="160" w:line="360" w:lineRule="auto"/>
      </w:pPr>
      <w:r>
        <w:rPr>
          <w:rFonts w:ascii="Times New Roman" w:hAnsi="Times New Roman" w:eastAsia="宋体"/>
          <w:b w:val="0"/>
          <w:i w:val="0"/>
          <w:color w:val="595959"/>
          <w:sz w:val="21"/>
        </w:rPr>
        <w:t>菜单路径：数字供应链 / 资金管理 / 付款管理</w:t>
      </w:r>
    </w:p>
    <w:p>
      <w:pPr>
        <w:pStyle w:val="Heading3"/>
        <w:keepNext/>
        <w:spacing w:before="160" w:after="80" w:line="312" w:lineRule="auto"/>
        <w:ind w:firstLine="0"/>
      </w:pPr>
      <w:r>
        <w:rPr>
          <w:rFonts w:ascii="Times New Roman" w:hAnsi="Times New Roman" w:eastAsia="黑体"/>
          <w:b/>
          <w:i w:val="0"/>
          <w:sz w:val="24"/>
        </w:rPr>
        <w:t>4.11.1　一页结论</w:t>
      </w:r>
    </w:p>
    <w:p>
      <w:pPr>
        <w:spacing w:before="0" w:after="120" w:line="360" w:lineRule="auto"/>
      </w:pPr>
      <w:r>
        <w:rPr>
          <w:rFonts w:ascii="Times New Roman" w:hAnsi="Times New Roman" w:eastAsia="宋体"/>
          <w:b w:val="0"/>
          <w:i w:val="0"/>
          <w:sz w:val="24"/>
        </w:rPr>
        <w:t>把平台外已发生的对外付款登记成可追溯的付款单：关联合同与结算单、串行三级审批、凭证留痕，并与业务线资金进度打通。</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928"/>
            <w:shd w:val="clear" w:color="auto" w:fill="DCE6F1"/>
          </w:tcPr>
          <w:p>
            <w:pPr>
              <w:spacing w:before="40" w:after="40" w:line="276" w:lineRule="auto"/>
              <w:jc w:val="center"/>
            </w:pPr>
            <w:r/>
            <w:r>
              <w:rPr>
                <w:rFonts w:ascii="Times New Roman" w:hAnsi="Times New Roman" w:eastAsia="黑体"/>
                <w:b/>
                <w:i w:val="0"/>
                <w:sz w:val="21"/>
              </w:rPr>
              <w:t>问题</w:t>
            </w:r>
          </w:p>
        </w:tc>
        <w:tc>
          <w:tcPr>
            <w:tcW w:type="dxa" w:w="3572"/>
            <w:shd w:val="clear" w:color="auto" w:fill="DCE6F1"/>
          </w:tcPr>
          <w:p>
            <w:pPr>
              <w:spacing w:before="40" w:after="40" w:line="276" w:lineRule="auto"/>
              <w:jc w:val="center"/>
            </w:pPr>
            <w:r/>
            <w:r>
              <w:rPr>
                <w:rFonts w:ascii="Times New Roman" w:hAnsi="Times New Roman" w:eastAsia="黑体"/>
                <w:b/>
                <w:i w:val="0"/>
                <w:sz w:val="21"/>
              </w:rPr>
              <w:t>当前做法</w:t>
            </w:r>
          </w:p>
        </w:tc>
        <w:tc>
          <w:tcPr>
            <w:tcW w:type="dxa" w:w="3572"/>
            <w:shd w:val="clear" w:color="auto" w:fill="DCE6F1"/>
          </w:tcPr>
          <w:p>
            <w:pPr>
              <w:spacing w:before="40" w:after="40" w:line="276" w:lineRule="auto"/>
              <w:jc w:val="center"/>
            </w:pPr>
            <w:r/>
            <w:r>
              <w:rPr>
                <w:rFonts w:ascii="Times New Roman" w:hAnsi="Times New Roman" w:eastAsia="黑体"/>
                <w:b/>
                <w:i w:val="0"/>
                <w:sz w:val="21"/>
              </w:rPr>
              <w:t>本模块解法</w:t>
            </w:r>
          </w:p>
        </w:tc>
      </w:tr>
      <w:tr>
        <w:tc>
          <w:tcPr>
            <w:tcW w:type="dxa" w:w="1928"/>
          </w:tcPr>
          <w:p>
            <w:pPr>
              <w:spacing w:before="20" w:after="20" w:line="276" w:lineRule="auto"/>
              <w:ind w:firstLine="0"/>
            </w:pPr>
            <w:r/>
            <w:r>
              <w:rPr>
                <w:rFonts w:ascii="Times New Roman" w:hAnsi="Times New Roman" w:eastAsia="宋体"/>
                <w:b w:val="0"/>
                <w:i w:val="0"/>
                <w:sz w:val="21"/>
              </w:rPr>
              <w:t>线下付款凭证与合同、结算单对不上号</w:t>
            </w:r>
          </w:p>
        </w:tc>
        <w:tc>
          <w:tcPr>
            <w:tcW w:type="dxa" w:w="3572"/>
          </w:tcPr>
          <w:p>
            <w:pPr>
              <w:spacing w:before="20" w:after="20" w:line="276" w:lineRule="auto"/>
              <w:ind w:firstLine="0"/>
            </w:pPr>
            <w:r/>
            <w:r>
              <w:rPr>
                <w:rFonts w:ascii="Times New Roman" w:hAnsi="Times New Roman" w:eastAsia="宋体"/>
                <w:b w:val="0"/>
                <w:i w:val="0"/>
                <w:sz w:val="21"/>
              </w:rPr>
              <w:t>付款记录散落在邮件、微信群与线下台账，财务只能人工比对金额与单据</w:t>
            </w:r>
          </w:p>
        </w:tc>
        <w:tc>
          <w:tcPr>
            <w:tcW w:type="dxa" w:w="3572"/>
          </w:tcPr>
          <w:p>
            <w:pPr>
              <w:spacing w:before="20" w:after="20" w:line="276" w:lineRule="auto"/>
              <w:ind w:firstLine="0"/>
            </w:pPr>
            <w:r/>
            <w:r>
              <w:rPr>
                <w:rFonts w:ascii="Times New Roman" w:hAnsi="Times New Roman" w:eastAsia="宋体"/>
                <w:b w:val="0"/>
                <w:i w:val="0"/>
                <w:sz w:val="21"/>
              </w:rPr>
              <w:t>付款申请必须关联上游单据，申请金额、实际金额与付款凭证在同一张付款单内留痕</w:t>
            </w:r>
          </w:p>
        </w:tc>
      </w:tr>
      <w:tr>
        <w:tc>
          <w:tcPr>
            <w:tcW w:type="dxa" w:w="1928"/>
          </w:tcPr>
          <w:p>
            <w:pPr>
              <w:spacing w:before="20" w:after="20" w:line="276" w:lineRule="auto"/>
              <w:ind w:firstLine="0"/>
            </w:pPr>
            <w:r/>
            <w:r>
              <w:rPr>
                <w:rFonts w:ascii="Times New Roman" w:hAnsi="Times New Roman" w:eastAsia="宋体"/>
                <w:b w:val="0"/>
                <w:i w:val="0"/>
                <w:sz w:val="21"/>
              </w:rPr>
              <w:t>系统试算金额与线下实际转账金额常常不一致</w:t>
            </w:r>
          </w:p>
        </w:tc>
        <w:tc>
          <w:tcPr>
            <w:tcW w:type="dxa" w:w="3572"/>
          </w:tcPr>
          <w:p>
            <w:pPr>
              <w:spacing w:before="20" w:after="20" w:line="276" w:lineRule="auto"/>
              <w:ind w:firstLine="0"/>
            </w:pPr>
            <w:r/>
            <w:r>
              <w:rPr>
                <w:rFonts w:ascii="Times New Roman" w:hAnsi="Times New Roman" w:eastAsia="宋体"/>
                <w:b w:val="0"/>
                <w:i w:val="0"/>
                <w:sz w:val="21"/>
              </w:rPr>
              <w:t>线下按实际谈定价转账，线上单据金额不更新，事后对账反复返工</w:t>
            </w:r>
          </w:p>
        </w:tc>
        <w:tc>
          <w:tcPr>
            <w:tcW w:type="dxa" w:w="3572"/>
          </w:tcPr>
          <w:p>
            <w:pPr>
              <w:spacing w:before="20" w:after="20" w:line="276" w:lineRule="auto"/>
              <w:ind w:firstLine="0"/>
            </w:pPr>
            <w:r/>
            <w:r>
              <w:rPr>
                <w:rFonts w:ascii="Times New Roman" w:hAnsi="Times New Roman" w:eastAsia="宋体"/>
                <w:b w:val="0"/>
                <w:i w:val="0"/>
                <w:sz w:val="21"/>
              </w:rPr>
              <w:t>申请金额与实际金额分字段记录，出现差异时给出可核对提示但不阻断，差异本身留痕</w:t>
            </w:r>
          </w:p>
        </w:tc>
      </w:tr>
      <w:tr>
        <w:tc>
          <w:tcPr>
            <w:tcW w:type="dxa" w:w="1928"/>
          </w:tcPr>
          <w:p>
            <w:pPr>
              <w:spacing w:before="20" w:after="20" w:line="276" w:lineRule="auto"/>
              <w:ind w:firstLine="0"/>
            </w:pPr>
            <w:r/>
            <w:r>
              <w:rPr>
                <w:rFonts w:ascii="Times New Roman" w:hAnsi="Times New Roman" w:eastAsia="宋体"/>
                <w:b w:val="0"/>
                <w:i w:val="0"/>
                <w:sz w:val="21"/>
              </w:rPr>
              <w:t>付款前的风险没有统一卡口</w:t>
            </w:r>
          </w:p>
        </w:tc>
        <w:tc>
          <w:tcPr>
            <w:tcW w:type="dxa" w:w="3572"/>
          </w:tcPr>
          <w:p>
            <w:pPr>
              <w:spacing w:before="20" w:after="20" w:line="276" w:lineRule="auto"/>
              <w:ind w:firstLine="0"/>
            </w:pPr>
            <w:r/>
            <w:r>
              <w:rPr>
                <w:rFonts w:ascii="Times New Roman" w:hAnsi="Times New Roman" w:eastAsia="宋体"/>
                <w:b w:val="0"/>
                <w:i w:val="0"/>
                <w:sz w:val="21"/>
              </w:rPr>
              <w:t>合同是否有效、客户额度够不够、保证金够不够，靠人工回忆与线下沟通</w:t>
            </w:r>
          </w:p>
        </w:tc>
        <w:tc>
          <w:tcPr>
            <w:tcW w:type="dxa" w:w="3572"/>
          </w:tcPr>
          <w:p>
            <w:pPr>
              <w:spacing w:before="20" w:after="20" w:line="276" w:lineRule="auto"/>
              <w:ind w:firstLine="0"/>
            </w:pPr>
            <w:r/>
            <w:r>
              <w:rPr>
                <w:rFonts w:ascii="Times New Roman" w:hAnsi="Times New Roman" w:eastAsia="宋体"/>
                <w:b w:val="0"/>
                <w:i w:val="0"/>
                <w:sz w:val="21"/>
              </w:rPr>
              <w:t>提交前自动执行 4 类前置校验，结果分通过、警告、不通过三级并给出具体数值对比</w:t>
            </w:r>
          </w:p>
        </w:tc>
      </w:tr>
      <w:tr>
        <w:tc>
          <w:tcPr>
            <w:tcW w:type="dxa" w:w="1928"/>
          </w:tcPr>
          <w:p>
            <w:pPr>
              <w:spacing w:before="20" w:after="20" w:line="276" w:lineRule="auto"/>
              <w:ind w:firstLine="0"/>
            </w:pPr>
            <w:r/>
            <w:r>
              <w:rPr>
                <w:rFonts w:ascii="Times New Roman" w:hAnsi="Times New Roman" w:eastAsia="宋体"/>
                <w:b w:val="0"/>
                <w:i w:val="0"/>
                <w:sz w:val="21"/>
              </w:rPr>
              <w:t>付款进度与合同履约、业务线资金进度、发票环节脱节</w:t>
            </w:r>
          </w:p>
        </w:tc>
        <w:tc>
          <w:tcPr>
            <w:tcW w:type="dxa" w:w="3572"/>
          </w:tcPr>
          <w:p>
            <w:pPr>
              <w:spacing w:before="20" w:after="20" w:line="276" w:lineRule="auto"/>
              <w:ind w:firstLine="0"/>
            </w:pPr>
            <w:r/>
            <w:r>
              <w:rPr>
                <w:rFonts w:ascii="Times New Roman" w:hAnsi="Times New Roman" w:eastAsia="宋体"/>
                <w:b w:val="0"/>
                <w:i w:val="0"/>
                <w:sz w:val="21"/>
              </w:rPr>
              <w:t>履约进度靠 Excel 汇总，各模块数据对不上</w:t>
            </w:r>
          </w:p>
        </w:tc>
        <w:tc>
          <w:tcPr>
            <w:tcW w:type="dxa" w:w="3572"/>
          </w:tcPr>
          <w:p>
            <w:pPr>
              <w:spacing w:before="20" w:after="20" w:line="276" w:lineRule="auto"/>
              <w:ind w:firstLine="0"/>
            </w:pPr>
            <w:r/>
            <w:r>
              <w:rPr>
                <w:rFonts w:ascii="Times New Roman" w:hAnsi="Times New Roman" w:eastAsia="宋体"/>
                <w:b w:val="0"/>
                <w:i w:val="0"/>
                <w:sz w:val="21"/>
              </w:rPr>
              <w:t>付款单关联合同与结算单，付款完成后回写业务线资金进度并衔接发票环节</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4.11.2　背景与目标</w:t>
      </w:r>
    </w:p>
    <w:tbl>
      <w:tblPr>
        <w:tblStyle w:val="TableGrid"/>
        <w:tblW w:type="auto" w:w="0"/>
        <w:jc w:val="center"/>
        <w:tblLayout w:type="fixed"/>
        <w:tblLook w:firstColumn="1" w:firstRow="1" w:lastColumn="0" w:lastRow="0" w:noHBand="0" w:noVBand="1" w:val="04A0"/>
      </w:tblPr>
      <w:tblGrid>
        <w:gridCol w:w="8958"/>
      </w:tblGrid>
      <w:tr>
        <w:trPr>
          <w:tblHeader w:val="true"/>
        </w:trPr>
        <w:tc>
          <w:tcPr>
            <w:tcW w:type="dxa" w:w="9071"/>
            <w:shd w:val="clear" w:color="auto" w:fill="DCE6F1"/>
          </w:tcPr>
          <w:p>
            <w:pPr>
              <w:spacing w:before="40" w:after="40" w:line="276" w:lineRule="auto"/>
              <w:jc w:val="center"/>
            </w:pPr>
            <w:r/>
            <w:r>
              <w:rPr>
                <w:rFonts w:ascii="Times New Roman" w:hAnsi="Times New Roman" w:eastAsia="黑体"/>
                <w:b/>
                <w:i w:val="0"/>
                <w:sz w:val="21"/>
              </w:rPr>
              <w:t>目标 / 衡量口径</w:t>
            </w:r>
          </w:p>
        </w:tc>
      </w:tr>
      <w:tr>
        <w:tc>
          <w:tcPr>
            <w:tcW w:type="dxa" w:w="9071"/>
          </w:tcPr>
          <w:p>
            <w:pPr>
              <w:spacing w:before="20" w:after="20" w:line="276" w:lineRule="auto"/>
              <w:ind w:firstLine="0"/>
            </w:pPr>
            <w:r/>
            <w:r>
              <w:rPr>
                <w:rFonts w:ascii="Times New Roman" w:hAnsi="Times New Roman" w:eastAsia="宋体"/>
                <w:b w:val="0"/>
                <w:i w:val="0"/>
                <w:sz w:val="21"/>
              </w:rPr>
              <w:t>付款申请、串行三级审批、凭证登记三段动作全部在系统内留痕，单据状态与变更记录可逐笔追溯</w:t>
            </w:r>
          </w:p>
        </w:tc>
      </w:tr>
      <w:tr>
        <w:tc>
          <w:tcPr>
            <w:tcW w:type="dxa" w:w="9071"/>
          </w:tcPr>
          <w:p>
            <w:pPr>
              <w:spacing w:before="20" w:after="20" w:line="276" w:lineRule="auto"/>
              <w:ind w:firstLine="0"/>
            </w:pPr>
            <w:r/>
            <w:r>
              <w:rPr>
                <w:rFonts w:ascii="Times New Roman" w:hAnsi="Times New Roman" w:eastAsia="宋体"/>
                <w:b w:val="0"/>
                <w:i w:val="0"/>
                <w:sz w:val="21"/>
              </w:rPr>
              <w:t>合同有效性与客户额度两类阻断型校验在提交前完成拦截，问题单据不进入审批流</w:t>
            </w:r>
          </w:p>
        </w:tc>
      </w:tr>
      <w:tr>
        <w:tc>
          <w:tcPr>
            <w:tcW w:type="dxa" w:w="9071"/>
          </w:tcPr>
          <w:p>
            <w:pPr>
              <w:spacing w:before="20" w:after="20" w:line="276" w:lineRule="auto"/>
              <w:ind w:firstLine="0"/>
            </w:pPr>
            <w:r/>
            <w:r>
              <w:rPr>
                <w:rFonts w:ascii="Times New Roman" w:hAnsi="Times New Roman" w:eastAsia="宋体"/>
                <w:b w:val="0"/>
                <w:i w:val="0"/>
                <w:sz w:val="21"/>
              </w:rPr>
              <w:t>申请金额与实际金额双字段留存并支持差异提示，付款台账可与线下账目逐笔核对</w:t>
            </w:r>
          </w:p>
        </w:tc>
      </w:tr>
      <w:tr>
        <w:tc>
          <w:tcPr>
            <w:tcW w:type="dxa" w:w="9071"/>
          </w:tcPr>
          <w:p>
            <w:pPr>
              <w:spacing w:before="20" w:after="20" w:line="276" w:lineRule="auto"/>
              <w:ind w:firstLine="0"/>
            </w:pPr>
            <w:r/>
            <w:r>
              <w:rPr>
                <w:rFonts w:ascii="Times New Roman" w:hAnsi="Times New Roman" w:eastAsia="宋体"/>
                <w:b w:val="0"/>
                <w:i w:val="0"/>
                <w:sz w:val="21"/>
              </w:rPr>
              <w:t>付款单与合同、结算单建立关联，付款进度可被合同详情与业务线查询（运行数据以系统运行报表为准）</w:t>
            </w:r>
          </w:p>
        </w:tc>
      </w:tr>
    </w:tbl>
    <w:p>
      <w:pPr>
        <w:spacing w:before="0" w:after="0" w:line="240" w:lineRule="auto"/>
      </w:pPr>
    </w:p>
    <w:p>
      <w:pPr>
        <w:spacing w:before="80" w:after="120" w:line="360" w:lineRule="auto"/>
      </w:pPr>
      <w:r>
        <w:rPr>
          <w:rFonts w:ascii="Times New Roman" w:hAnsi="Times New Roman" w:eastAsia="宋体"/>
          <w:b w:val="0"/>
          <w:i w:val="0"/>
          <w:color w:val="595959"/>
          <w:sz w:val="21"/>
        </w:rPr>
        <w:t>说明：文中口径以业务方已确认结论为准；未确认项集中列于本章末与第 5 章。</w:t>
      </w:r>
    </w:p>
    <w:p>
      <w:pPr>
        <w:pStyle w:val="Heading3"/>
        <w:keepNext/>
        <w:spacing w:before="160" w:after="80" w:line="312" w:lineRule="auto"/>
        <w:ind w:firstLine="0"/>
      </w:pPr>
      <w:r>
        <w:rPr>
          <w:rFonts w:ascii="Times New Roman" w:hAnsi="Times New Roman" w:eastAsia="黑体"/>
          <w:b/>
          <w:i w:val="0"/>
          <w:sz w:val="24"/>
        </w:rPr>
        <w:t>4.11.3　角色与用户需求</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361"/>
            <w:shd w:val="clear" w:color="auto" w:fill="DCE6F1"/>
          </w:tcPr>
          <w:p>
            <w:pPr>
              <w:spacing w:before="40" w:after="40" w:line="276" w:lineRule="auto"/>
              <w:jc w:val="center"/>
            </w:pPr>
            <w:r/>
            <w:r>
              <w:rPr>
                <w:rFonts w:ascii="Times New Roman" w:hAnsi="Times New Roman" w:eastAsia="黑体"/>
                <w:b/>
                <w:i w:val="0"/>
                <w:sz w:val="21"/>
              </w:rPr>
              <w:t>角色</w:t>
            </w:r>
          </w:p>
        </w:tc>
        <w:tc>
          <w:tcPr>
            <w:tcW w:type="dxa" w:w="1247"/>
            <w:shd w:val="clear" w:color="auto" w:fill="DCE6F1"/>
          </w:tcPr>
          <w:p>
            <w:pPr>
              <w:spacing w:before="40" w:after="40" w:line="276" w:lineRule="auto"/>
              <w:jc w:val="center"/>
            </w:pPr>
            <w:r/>
            <w:r>
              <w:rPr>
                <w:rFonts w:ascii="Times New Roman" w:hAnsi="Times New Roman" w:eastAsia="黑体"/>
                <w:b/>
                <w:i w:val="0"/>
                <w:sz w:val="21"/>
              </w:rPr>
              <w:t>所属部门</w:t>
            </w:r>
          </w:p>
        </w:tc>
        <w:tc>
          <w:tcPr>
            <w:tcW w:type="dxa" w:w="6463"/>
            <w:shd w:val="clear" w:color="auto" w:fill="DCE6F1"/>
          </w:tcPr>
          <w:p>
            <w:pPr>
              <w:spacing w:before="40" w:after="40" w:line="276" w:lineRule="auto"/>
              <w:jc w:val="center"/>
            </w:pPr>
            <w:r/>
            <w:r>
              <w:rPr>
                <w:rFonts w:ascii="Times New Roman" w:hAnsi="Times New Roman" w:eastAsia="黑体"/>
                <w:b/>
                <w:i w:val="0"/>
                <w:sz w:val="21"/>
              </w:rPr>
              <w:t>用户需求（我要…以便…）</w:t>
            </w:r>
          </w:p>
        </w:tc>
      </w:tr>
      <w:tr>
        <w:tc>
          <w:tcPr>
            <w:tcW w:type="dxa" w:w="1361"/>
          </w:tcPr>
          <w:p>
            <w:pPr>
              <w:spacing w:before="20" w:after="20" w:line="276" w:lineRule="auto"/>
              <w:ind w:firstLine="0"/>
            </w:pPr>
            <w:r/>
            <w:r>
              <w:rPr>
                <w:rFonts w:ascii="Times New Roman" w:hAnsi="Times New Roman" w:eastAsia="宋体"/>
                <w:b w:val="0"/>
                <w:i w:val="0"/>
                <w:sz w:val="21"/>
              </w:rPr>
              <w:t>业务员</w:t>
            </w:r>
          </w:p>
        </w:tc>
        <w:tc>
          <w:tcPr>
            <w:tcW w:type="dxa" w:w="1247"/>
          </w:tcPr>
          <w:p>
            <w:pPr>
              <w:spacing w:before="20" w:after="20" w:line="276" w:lineRule="auto"/>
              <w:ind w:firstLine="0"/>
            </w:pPr>
            <w:r/>
            <w:r>
              <w:rPr>
                <w:rFonts w:ascii="Times New Roman" w:hAnsi="Times New Roman" w:eastAsia="宋体"/>
                <w:b w:val="0"/>
                <w:i w:val="0"/>
                <w:sz w:val="21"/>
              </w:rPr>
              <w:t>业务部</w:t>
            </w:r>
          </w:p>
        </w:tc>
        <w:tc>
          <w:tcPr>
            <w:tcW w:type="dxa" w:w="6463"/>
          </w:tcPr>
          <w:p>
            <w:pPr>
              <w:spacing w:before="20" w:after="20" w:line="276" w:lineRule="auto"/>
              <w:ind w:firstLine="0"/>
            </w:pPr>
            <w:r/>
            <w:r>
              <w:rPr>
                <w:rFonts w:ascii="Times New Roman" w:hAnsi="Times New Roman" w:eastAsia="宋体"/>
                <w:b w:val="0"/>
                <w:i w:val="0"/>
                <w:sz w:val="21"/>
              </w:rPr>
              <w:t>我要创建付款申请并登记线下打款凭证，以便资金出账有据可查</w:t>
            </w:r>
          </w:p>
        </w:tc>
      </w:tr>
      <w:tr>
        <w:tc>
          <w:tcPr>
            <w:tcW w:type="dxa" w:w="1361"/>
          </w:tcPr>
          <w:p>
            <w:pPr>
              <w:spacing w:before="20" w:after="20" w:line="276" w:lineRule="auto"/>
              <w:ind w:firstLine="0"/>
            </w:pPr>
            <w:r/>
            <w:r>
              <w:rPr>
                <w:rFonts w:ascii="Times New Roman" w:hAnsi="Times New Roman" w:eastAsia="宋体"/>
                <w:b w:val="0"/>
                <w:i w:val="0"/>
                <w:sz w:val="21"/>
              </w:rPr>
              <w:t>业务部审批人</w:t>
            </w:r>
          </w:p>
        </w:tc>
        <w:tc>
          <w:tcPr>
            <w:tcW w:type="dxa" w:w="1247"/>
          </w:tcPr>
          <w:p>
            <w:pPr>
              <w:spacing w:before="20" w:after="20" w:line="276" w:lineRule="auto"/>
              <w:ind w:firstLine="0"/>
            </w:pPr>
            <w:r/>
            <w:r>
              <w:rPr>
                <w:rFonts w:ascii="Times New Roman" w:hAnsi="Times New Roman" w:eastAsia="宋体"/>
                <w:b w:val="0"/>
                <w:i w:val="0"/>
                <w:sz w:val="21"/>
              </w:rPr>
              <w:t>业务部</w:t>
            </w:r>
          </w:p>
        </w:tc>
        <w:tc>
          <w:tcPr>
            <w:tcW w:type="dxa" w:w="6463"/>
          </w:tcPr>
          <w:p>
            <w:pPr>
              <w:spacing w:before="20" w:after="20" w:line="276" w:lineRule="auto"/>
              <w:ind w:firstLine="0"/>
            </w:pPr>
            <w:r/>
            <w:r>
              <w:rPr>
                <w:rFonts w:ascii="Times New Roman" w:hAnsi="Times New Roman" w:eastAsia="宋体"/>
                <w:b w:val="0"/>
                <w:i w:val="0"/>
                <w:sz w:val="21"/>
              </w:rPr>
              <w:t>我要在审批链第一节点复核付款事由，以便不合规的付款不往下流转</w:t>
            </w:r>
          </w:p>
        </w:tc>
      </w:tr>
      <w:tr>
        <w:tc>
          <w:tcPr>
            <w:tcW w:type="dxa" w:w="1361"/>
          </w:tcPr>
          <w:p>
            <w:pPr>
              <w:spacing w:before="20" w:after="20" w:line="276" w:lineRule="auto"/>
              <w:ind w:firstLine="0"/>
            </w:pPr>
            <w:r/>
            <w:r>
              <w:rPr>
                <w:rFonts w:ascii="Times New Roman" w:hAnsi="Times New Roman" w:eastAsia="宋体"/>
                <w:b w:val="0"/>
                <w:i w:val="0"/>
                <w:sz w:val="21"/>
              </w:rPr>
              <w:t>风控部</w:t>
            </w:r>
          </w:p>
        </w:tc>
        <w:tc>
          <w:tcPr>
            <w:tcW w:type="dxa" w:w="1247"/>
          </w:tcPr>
          <w:p>
            <w:pPr>
              <w:spacing w:before="20" w:after="20" w:line="276" w:lineRule="auto"/>
              <w:ind w:firstLine="0"/>
            </w:pPr>
            <w:r/>
            <w:r>
              <w:rPr>
                <w:rFonts w:ascii="Times New Roman" w:hAnsi="Times New Roman" w:eastAsia="宋体"/>
                <w:b w:val="0"/>
                <w:i w:val="0"/>
                <w:sz w:val="21"/>
              </w:rPr>
              <w:t>风控部</w:t>
            </w:r>
          </w:p>
        </w:tc>
        <w:tc>
          <w:tcPr>
            <w:tcW w:type="dxa" w:w="6463"/>
          </w:tcPr>
          <w:p>
            <w:pPr>
              <w:spacing w:before="20" w:after="20" w:line="276" w:lineRule="auto"/>
              <w:ind w:firstLine="0"/>
            </w:pPr>
            <w:r/>
            <w:r>
              <w:rPr>
                <w:rFonts w:ascii="Times New Roman" w:hAnsi="Times New Roman" w:eastAsia="宋体"/>
                <w:b w:val="0"/>
                <w:i w:val="0"/>
                <w:sz w:val="21"/>
              </w:rPr>
              <w:t>我要在第二节点校验合同、额度、保证金等风险点，以便风险敞口不被放大</w:t>
            </w:r>
          </w:p>
        </w:tc>
      </w:tr>
      <w:tr>
        <w:tc>
          <w:tcPr>
            <w:tcW w:type="dxa" w:w="1361"/>
          </w:tcPr>
          <w:p>
            <w:pPr>
              <w:spacing w:before="20" w:after="20" w:line="276" w:lineRule="auto"/>
              <w:ind w:firstLine="0"/>
            </w:pPr>
            <w:r/>
            <w:r>
              <w:rPr>
                <w:rFonts w:ascii="Times New Roman" w:hAnsi="Times New Roman" w:eastAsia="宋体"/>
                <w:b w:val="0"/>
                <w:i w:val="0"/>
                <w:sz w:val="21"/>
              </w:rPr>
              <w:t>财务部</w:t>
            </w:r>
          </w:p>
        </w:tc>
        <w:tc>
          <w:tcPr>
            <w:tcW w:type="dxa" w:w="1247"/>
          </w:tcPr>
          <w:p>
            <w:pPr>
              <w:spacing w:before="20" w:after="20" w:line="276" w:lineRule="auto"/>
              <w:ind w:firstLine="0"/>
            </w:pPr>
            <w:r/>
            <w:r>
              <w:rPr>
                <w:rFonts w:ascii="Times New Roman" w:hAnsi="Times New Roman" w:eastAsia="宋体"/>
                <w:b w:val="0"/>
                <w:i w:val="0"/>
                <w:sz w:val="21"/>
              </w:rPr>
              <w:t>财务部</w:t>
            </w:r>
          </w:p>
        </w:tc>
        <w:tc>
          <w:tcPr>
            <w:tcW w:type="dxa" w:w="6463"/>
          </w:tcPr>
          <w:p>
            <w:pPr>
              <w:spacing w:before="20" w:after="20" w:line="276" w:lineRule="auto"/>
              <w:ind w:firstLine="0"/>
            </w:pPr>
            <w:r/>
            <w:r>
              <w:rPr>
                <w:rFonts w:ascii="Times New Roman" w:hAnsi="Times New Roman" w:eastAsia="宋体"/>
                <w:b w:val="0"/>
                <w:i w:val="0"/>
                <w:sz w:val="21"/>
              </w:rPr>
              <w:t>我要在第三节点完成审批并核对申请金额与实际金额，以便账实一致</w:t>
            </w:r>
          </w:p>
        </w:tc>
      </w:tr>
      <w:tr>
        <w:tc>
          <w:tcPr>
            <w:tcW w:type="dxa" w:w="1361"/>
          </w:tcPr>
          <w:p>
            <w:pPr>
              <w:spacing w:before="20" w:after="20" w:line="276" w:lineRule="auto"/>
              <w:ind w:firstLine="0"/>
            </w:pPr>
            <w:r/>
            <w:r>
              <w:rPr>
                <w:rFonts w:ascii="Times New Roman" w:hAnsi="Times New Roman" w:eastAsia="宋体"/>
                <w:b w:val="0"/>
                <w:i w:val="0"/>
                <w:sz w:val="21"/>
              </w:rPr>
              <w:t>总经办</w:t>
            </w:r>
          </w:p>
        </w:tc>
        <w:tc>
          <w:tcPr>
            <w:tcW w:type="dxa" w:w="1247"/>
          </w:tcPr>
          <w:p>
            <w:pPr>
              <w:spacing w:before="20" w:after="20" w:line="276" w:lineRule="auto"/>
              <w:ind w:firstLine="0"/>
            </w:pPr>
            <w:r/>
            <w:r>
              <w:rPr>
                <w:rFonts w:ascii="Times New Roman" w:hAnsi="Times New Roman" w:eastAsia="宋体"/>
                <w:b w:val="0"/>
                <w:i w:val="0"/>
                <w:sz w:val="21"/>
              </w:rPr>
              <w:t>总经办</w:t>
            </w:r>
          </w:p>
        </w:tc>
        <w:tc>
          <w:tcPr>
            <w:tcW w:type="dxa" w:w="6463"/>
          </w:tcPr>
          <w:p>
            <w:pPr>
              <w:spacing w:before="20" w:after="20" w:line="276" w:lineRule="auto"/>
              <w:ind w:firstLine="0"/>
            </w:pPr>
            <w:r/>
            <w:r>
              <w:rPr>
                <w:rFonts w:ascii="Times New Roman" w:hAnsi="Times New Roman" w:eastAsia="宋体"/>
                <w:b w:val="0"/>
                <w:i w:val="0"/>
                <w:sz w:val="21"/>
              </w:rPr>
              <w:t>我要查看付款单全过程与凭证，以便掌握整体资金投放情况</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4.11.4　功能结构与范围</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474"/>
            <w:shd w:val="clear" w:color="auto" w:fill="DCE6F1"/>
          </w:tcPr>
          <w:p>
            <w:pPr>
              <w:spacing w:before="40" w:after="40" w:line="276" w:lineRule="auto"/>
              <w:jc w:val="center"/>
            </w:pPr>
            <w:r/>
            <w:r>
              <w:rPr>
                <w:rFonts w:ascii="Times New Roman" w:hAnsi="Times New Roman" w:eastAsia="黑体"/>
                <w:b/>
                <w:i w:val="0"/>
                <w:sz w:val="21"/>
              </w:rPr>
              <w:t>功能</w:t>
            </w:r>
          </w:p>
        </w:tc>
        <w:tc>
          <w:tcPr>
            <w:tcW w:type="dxa" w:w="3175"/>
            <w:shd w:val="clear" w:color="auto" w:fill="DCE6F1"/>
          </w:tcPr>
          <w:p>
            <w:pPr>
              <w:spacing w:before="40" w:after="40" w:line="276" w:lineRule="auto"/>
              <w:jc w:val="center"/>
            </w:pPr>
            <w:r/>
            <w:r>
              <w:rPr>
                <w:rFonts w:ascii="Times New Roman" w:hAnsi="Times New Roman" w:eastAsia="黑体"/>
                <w:b/>
                <w:i w:val="0"/>
                <w:sz w:val="21"/>
              </w:rPr>
              <w:t>功能说明</w:t>
            </w:r>
          </w:p>
        </w:tc>
        <w:tc>
          <w:tcPr>
            <w:tcW w:type="dxa" w:w="4422"/>
            <w:shd w:val="clear" w:color="auto" w:fill="DCE6F1"/>
          </w:tcPr>
          <w:p>
            <w:pPr>
              <w:spacing w:before="40" w:after="40" w:line="276" w:lineRule="auto"/>
              <w:jc w:val="center"/>
            </w:pPr>
            <w:r/>
            <w:r>
              <w:rPr>
                <w:rFonts w:ascii="Times New Roman" w:hAnsi="Times New Roman" w:eastAsia="黑体"/>
                <w:b/>
                <w:i w:val="0"/>
                <w:sz w:val="21"/>
              </w:rPr>
              <w:t>关键规则</w:t>
            </w:r>
          </w:p>
        </w:tc>
      </w:tr>
      <w:tr>
        <w:tc>
          <w:tcPr>
            <w:tcW w:type="dxa" w:w="1474"/>
          </w:tcPr>
          <w:p>
            <w:pPr>
              <w:spacing w:before="20" w:after="20" w:line="276" w:lineRule="auto"/>
              <w:ind w:firstLine="0"/>
            </w:pPr>
            <w:r/>
            <w:r>
              <w:rPr>
                <w:rFonts w:ascii="Times New Roman" w:hAnsi="Times New Roman" w:eastAsia="宋体"/>
                <w:b w:val="0"/>
                <w:i w:val="0"/>
                <w:sz w:val="21"/>
              </w:rPr>
              <w:t>付款申请创建</w:t>
            </w:r>
          </w:p>
        </w:tc>
        <w:tc>
          <w:tcPr>
            <w:tcW w:type="dxa" w:w="3175"/>
          </w:tcPr>
          <w:p>
            <w:pPr>
              <w:spacing w:before="20" w:after="20" w:line="276" w:lineRule="auto"/>
              <w:ind w:firstLine="0"/>
            </w:pPr>
            <w:r/>
            <w:r>
              <w:rPr>
                <w:rFonts w:ascii="Times New Roman" w:hAnsi="Times New Roman" w:eastAsia="宋体"/>
                <w:b w:val="0"/>
                <w:i w:val="0"/>
                <w:sz w:val="21"/>
              </w:rPr>
              <w:t>新建付款单，关联上游单据并登记付款类型、付款双方与申请金额</w:t>
            </w:r>
          </w:p>
        </w:tc>
        <w:tc>
          <w:tcPr>
            <w:tcW w:type="dxa" w:w="4422"/>
          </w:tcPr>
          <w:p>
            <w:pPr>
              <w:spacing w:before="20" w:after="20" w:line="276" w:lineRule="auto"/>
              <w:ind w:firstLine="0"/>
            </w:pPr>
            <w:r/>
            <w:r>
              <w:rPr>
                <w:rFonts w:ascii="Times New Roman" w:hAnsi="Times New Roman" w:eastAsia="宋体"/>
                <w:b w:val="0"/>
                <w:i w:val="0"/>
                <w:sz w:val="21"/>
              </w:rPr>
              <w:t>关联单据类型限合同、订单、结算单、保证金，至少选择 1 个且为必填；付款类型限采购付款、费用付款、其他；付款方式限银行转账、票据、其他；申请金额、付款方、收款方均为必填</w:t>
            </w:r>
          </w:p>
        </w:tc>
      </w:tr>
      <w:tr>
        <w:tc>
          <w:tcPr>
            <w:tcW w:type="dxa" w:w="1474"/>
          </w:tcPr>
          <w:p>
            <w:pPr>
              <w:spacing w:before="20" w:after="20" w:line="276" w:lineRule="auto"/>
              <w:ind w:firstLine="0"/>
            </w:pPr>
            <w:r/>
            <w:r>
              <w:rPr>
                <w:rFonts w:ascii="Times New Roman" w:hAnsi="Times New Roman" w:eastAsia="宋体"/>
                <w:b w:val="0"/>
                <w:i w:val="0"/>
                <w:sz w:val="21"/>
              </w:rPr>
              <w:t>付款前置校验</w:t>
            </w:r>
          </w:p>
        </w:tc>
        <w:tc>
          <w:tcPr>
            <w:tcW w:type="dxa" w:w="3175"/>
          </w:tcPr>
          <w:p>
            <w:pPr>
              <w:spacing w:before="20" w:after="20" w:line="276" w:lineRule="auto"/>
              <w:ind w:firstLine="0"/>
            </w:pPr>
            <w:r/>
            <w:r>
              <w:rPr>
                <w:rFonts w:ascii="Times New Roman" w:hAnsi="Times New Roman" w:eastAsia="宋体"/>
                <w:b w:val="0"/>
                <w:i w:val="0"/>
                <w:sz w:val="21"/>
              </w:rPr>
              <w:t>提交申请时自动执行 4 类校验并输出逐项结果</w:t>
            </w:r>
          </w:p>
        </w:tc>
        <w:tc>
          <w:tcPr>
            <w:tcW w:type="dxa" w:w="4422"/>
          </w:tcPr>
          <w:p>
            <w:pPr>
              <w:spacing w:before="20" w:after="20" w:line="276" w:lineRule="auto"/>
              <w:ind w:firstLine="0"/>
            </w:pPr>
            <w:r/>
            <w:r>
              <w:rPr>
                <w:rFonts w:ascii="Times New Roman" w:hAnsi="Times New Roman" w:eastAsia="宋体"/>
                <w:b w:val="0"/>
                <w:i w:val="0"/>
                <w:sz w:val="21"/>
              </w:rPr>
              <w:t>校验类型固定 4 类：合同有效性、额度可用、回款足额、保证金足额；合同已过期或作废、可用额度小于付款金额，结果为不通过并阻止提交；客户已回款小于本次付款、客户保证金小于应付，结果为警告，仅黄灯提醒不阻止；任一校验不通过即阻止付款</w:t>
            </w:r>
          </w:p>
        </w:tc>
      </w:tr>
      <w:tr>
        <w:tc>
          <w:tcPr>
            <w:tcW w:type="dxa" w:w="1474"/>
          </w:tcPr>
          <w:p>
            <w:pPr>
              <w:spacing w:before="20" w:after="20" w:line="276" w:lineRule="auto"/>
              <w:ind w:firstLine="0"/>
            </w:pPr>
            <w:r/>
            <w:r>
              <w:rPr>
                <w:rFonts w:ascii="Times New Roman" w:hAnsi="Times New Roman" w:eastAsia="宋体"/>
                <w:b w:val="0"/>
                <w:i w:val="0"/>
                <w:sz w:val="21"/>
              </w:rPr>
              <w:t>串行三级审批</w:t>
            </w:r>
          </w:p>
        </w:tc>
        <w:tc>
          <w:tcPr>
            <w:tcW w:type="dxa" w:w="3175"/>
          </w:tcPr>
          <w:p>
            <w:pPr>
              <w:spacing w:before="20" w:after="20" w:line="276" w:lineRule="auto"/>
              <w:ind w:firstLine="0"/>
            </w:pPr>
            <w:r/>
            <w:r>
              <w:rPr>
                <w:rFonts w:ascii="Times New Roman" w:hAnsi="Times New Roman" w:eastAsia="宋体"/>
                <w:b w:val="0"/>
                <w:i w:val="0"/>
                <w:sz w:val="21"/>
              </w:rPr>
              <w:t>校验通过后按业务部、风控部、财务部三级串行审批</w:t>
            </w:r>
          </w:p>
        </w:tc>
        <w:tc>
          <w:tcPr>
            <w:tcW w:type="dxa" w:w="4422"/>
          </w:tcPr>
          <w:p>
            <w:pPr>
              <w:spacing w:before="20" w:after="20" w:line="276" w:lineRule="auto"/>
              <w:ind w:firstLine="0"/>
            </w:pPr>
            <w:r/>
            <w:r>
              <w:rPr>
                <w:rFonts w:ascii="Times New Roman" w:hAnsi="Times New Roman" w:eastAsia="宋体"/>
                <w:b w:val="0"/>
                <w:i w:val="0"/>
                <w:sz w:val="21"/>
              </w:rPr>
              <w:t>三级依次审核，任一节点驳回单据立即进入已驳回终态；每次审批留存节点序号、审批人、审批意见、决策时间</w:t>
            </w:r>
          </w:p>
        </w:tc>
      </w:tr>
      <w:tr>
        <w:tc>
          <w:tcPr>
            <w:tcW w:type="dxa" w:w="1474"/>
          </w:tcPr>
          <w:p>
            <w:pPr>
              <w:spacing w:before="20" w:after="20" w:line="276" w:lineRule="auto"/>
              <w:ind w:firstLine="0"/>
            </w:pPr>
            <w:r/>
            <w:r>
              <w:rPr>
                <w:rFonts w:ascii="Times New Roman" w:hAnsi="Times New Roman" w:eastAsia="宋体"/>
                <w:b w:val="0"/>
                <w:i w:val="0"/>
                <w:sz w:val="21"/>
              </w:rPr>
              <w:t>线下付款与凭证登记</w:t>
            </w:r>
          </w:p>
        </w:tc>
        <w:tc>
          <w:tcPr>
            <w:tcW w:type="dxa" w:w="3175"/>
          </w:tcPr>
          <w:p>
            <w:pPr>
              <w:spacing w:before="20" w:after="20" w:line="276" w:lineRule="auto"/>
              <w:ind w:firstLine="0"/>
            </w:pPr>
            <w:r/>
            <w:r>
              <w:rPr>
                <w:rFonts w:ascii="Times New Roman" w:hAnsi="Times New Roman" w:eastAsia="宋体"/>
                <w:b w:val="0"/>
                <w:i w:val="0"/>
                <w:sz w:val="21"/>
              </w:rPr>
              <w:t>审批通过后在平台外完成实际支付，回平台登记实际金额并上传付款凭证</w:t>
            </w:r>
          </w:p>
        </w:tc>
        <w:tc>
          <w:tcPr>
            <w:tcW w:type="dxa" w:w="4422"/>
          </w:tcPr>
          <w:p>
            <w:pPr>
              <w:spacing w:before="20" w:after="20" w:line="276" w:lineRule="auto"/>
              <w:ind w:firstLine="0"/>
            </w:pPr>
            <w:r/>
            <w:r>
              <w:rPr>
                <w:rFonts w:ascii="Times New Roman" w:hAnsi="Times New Roman" w:eastAsia="宋体"/>
                <w:b w:val="0"/>
                <w:i w:val="0"/>
                <w:sz w:val="21"/>
              </w:rPr>
              <w:t>付款凭证为图片或 PDF，线下付款后必填；未上传凭证不得将单据置为已付款；登记的实际金额与申请金额不一致时提示「实际金额 X ≠ 申请金额 Y」，保留两个金额不自动改写</w:t>
            </w:r>
          </w:p>
        </w:tc>
      </w:tr>
      <w:tr>
        <w:tc>
          <w:tcPr>
            <w:tcW w:type="dxa" w:w="1474"/>
          </w:tcPr>
          <w:p>
            <w:pPr>
              <w:spacing w:before="20" w:after="20" w:line="276" w:lineRule="auto"/>
              <w:ind w:firstLine="0"/>
            </w:pPr>
            <w:r/>
            <w:r>
              <w:rPr>
                <w:rFonts w:ascii="Times New Roman" w:hAnsi="Times New Roman" w:eastAsia="宋体"/>
                <w:b w:val="0"/>
                <w:i w:val="0"/>
                <w:sz w:val="21"/>
              </w:rPr>
              <w:t>付款单状态流转</w:t>
            </w:r>
          </w:p>
        </w:tc>
        <w:tc>
          <w:tcPr>
            <w:tcW w:type="dxa" w:w="3175"/>
          </w:tcPr>
          <w:p>
            <w:pPr>
              <w:spacing w:before="20" w:after="20" w:line="276" w:lineRule="auto"/>
              <w:ind w:firstLine="0"/>
            </w:pPr>
            <w:r/>
            <w:r>
              <w:rPr>
                <w:rFonts w:ascii="Times New Roman" w:hAnsi="Times New Roman" w:eastAsia="宋体"/>
                <w:b w:val="0"/>
                <w:i w:val="0"/>
                <w:sz w:val="21"/>
              </w:rPr>
              <w:t>按审批与凭证登记结果推进付款单状态</w:t>
            </w:r>
          </w:p>
        </w:tc>
        <w:tc>
          <w:tcPr>
            <w:tcW w:type="dxa" w:w="4422"/>
          </w:tcPr>
          <w:p>
            <w:pPr>
              <w:spacing w:before="20" w:after="20" w:line="276" w:lineRule="auto"/>
              <w:ind w:firstLine="0"/>
            </w:pPr>
            <w:r/>
            <w:r>
              <w:rPr>
                <w:rFonts w:ascii="Times New Roman" w:hAnsi="Times New Roman" w:eastAsia="宋体"/>
                <w:b w:val="0"/>
                <w:i w:val="0"/>
                <w:sz w:val="21"/>
              </w:rPr>
              <w:t>审批通过后为待线下付款，凭证登记完成后为已付款（终态）；任一审批节点驳回为已驳回（终态）；平台不执行线上扣款与打款，不存在扣款失败、补足余额、账户异常等分支</w:t>
            </w:r>
          </w:p>
        </w:tc>
      </w:tr>
      <w:tr>
        <w:tc>
          <w:tcPr>
            <w:tcW w:type="dxa" w:w="1474"/>
          </w:tcPr>
          <w:p>
            <w:pPr>
              <w:spacing w:before="20" w:after="20" w:line="276" w:lineRule="auto"/>
              <w:ind w:firstLine="0"/>
            </w:pPr>
            <w:r/>
            <w:r>
              <w:rPr>
                <w:rFonts w:ascii="Times New Roman" w:hAnsi="Times New Roman" w:eastAsia="宋体"/>
                <w:b w:val="0"/>
                <w:i w:val="0"/>
                <w:sz w:val="21"/>
              </w:rPr>
              <w:t>付款变更留痕</w:t>
            </w:r>
          </w:p>
        </w:tc>
        <w:tc>
          <w:tcPr>
            <w:tcW w:type="dxa" w:w="3175"/>
          </w:tcPr>
          <w:p>
            <w:pPr>
              <w:spacing w:before="20" w:after="20" w:line="276" w:lineRule="auto"/>
              <w:ind w:firstLine="0"/>
            </w:pPr>
            <w:r/>
            <w:r>
              <w:rPr>
                <w:rFonts w:ascii="Times New Roman" w:hAnsi="Times New Roman" w:eastAsia="宋体"/>
                <w:b w:val="0"/>
                <w:i w:val="0"/>
                <w:sz w:val="21"/>
              </w:rPr>
              <w:t>记录付款单每一次关键动作，形成完整操作轨迹</w:t>
            </w:r>
          </w:p>
        </w:tc>
        <w:tc>
          <w:tcPr>
            <w:tcW w:type="dxa" w:w="4422"/>
          </w:tcPr>
          <w:p>
            <w:pPr>
              <w:spacing w:before="20" w:after="20" w:line="276" w:lineRule="auto"/>
              <w:ind w:firstLine="0"/>
            </w:pPr>
            <w:r/>
            <w:r>
              <w:rPr>
                <w:rFonts w:ascii="Times New Roman" w:hAnsi="Times New Roman" w:eastAsia="宋体"/>
                <w:b w:val="0"/>
                <w:i w:val="0"/>
                <w:sz w:val="21"/>
              </w:rPr>
              <w:t>提交、审批通过、审批驳回、凭证登记完成各写入 1 条变更记录，含操作人与操作时间</w:t>
            </w:r>
          </w:p>
        </w:tc>
      </w:tr>
      <w:tr>
        <w:tc>
          <w:tcPr>
            <w:tcW w:type="dxa" w:w="1474"/>
          </w:tcPr>
          <w:p>
            <w:pPr>
              <w:spacing w:before="20" w:after="20" w:line="276" w:lineRule="auto"/>
              <w:ind w:firstLine="0"/>
            </w:pPr>
            <w:r/>
            <w:r>
              <w:rPr>
                <w:rFonts w:ascii="Times New Roman" w:hAnsi="Times New Roman" w:eastAsia="宋体"/>
                <w:b w:val="0"/>
                <w:i w:val="0"/>
                <w:sz w:val="21"/>
              </w:rPr>
              <w:t>付款列表查询与导出</w:t>
            </w:r>
          </w:p>
        </w:tc>
        <w:tc>
          <w:tcPr>
            <w:tcW w:type="dxa" w:w="3175"/>
          </w:tcPr>
          <w:p>
            <w:pPr>
              <w:spacing w:before="20" w:after="20" w:line="276" w:lineRule="auto"/>
              <w:ind w:firstLine="0"/>
            </w:pPr>
            <w:r/>
            <w:r>
              <w:rPr>
                <w:rFonts w:ascii="Times New Roman" w:hAnsi="Times New Roman" w:eastAsia="宋体"/>
                <w:b w:val="0"/>
                <w:i w:val="0"/>
                <w:sz w:val="21"/>
              </w:rPr>
              <w:t>按状态分页签查询付款单并导出台账</w:t>
            </w:r>
          </w:p>
        </w:tc>
        <w:tc>
          <w:tcPr>
            <w:tcW w:type="dxa" w:w="4422"/>
          </w:tcPr>
          <w:p>
            <w:pPr>
              <w:spacing w:before="20" w:after="20" w:line="276" w:lineRule="auto"/>
              <w:ind w:firstLine="0"/>
            </w:pPr>
            <w:r/>
            <w:r>
              <w:rPr>
                <w:rFonts w:ascii="Times New Roman" w:hAnsi="Times New Roman" w:eastAsia="宋体"/>
                <w:b w:val="0"/>
                <w:i w:val="0"/>
                <w:sz w:val="21"/>
              </w:rPr>
              <w:t>页签为全部、待提交、审批中、已付款、驳回、无效，计数按数据实时统计；列表展示合同编号、收款方、付款类型、资金来源、付款金额、付款日期、资金流水号、付款状态；导出为 Excel</w:t>
            </w:r>
          </w:p>
        </w:tc>
      </w:tr>
      <w:tr>
        <w:tc>
          <w:tcPr>
            <w:tcW w:type="dxa" w:w="1474"/>
          </w:tcPr>
          <w:p>
            <w:pPr>
              <w:spacing w:before="20" w:after="20" w:line="276" w:lineRule="auto"/>
              <w:ind w:firstLine="0"/>
            </w:pPr>
            <w:r/>
            <w:r>
              <w:rPr>
                <w:rFonts w:ascii="Times New Roman" w:hAnsi="Times New Roman" w:eastAsia="宋体"/>
                <w:b w:val="0"/>
                <w:i w:val="0"/>
                <w:sz w:val="21"/>
              </w:rPr>
              <w:t>付款与下游联动</w:t>
            </w:r>
          </w:p>
        </w:tc>
        <w:tc>
          <w:tcPr>
            <w:tcW w:type="dxa" w:w="3175"/>
          </w:tcPr>
          <w:p>
            <w:pPr>
              <w:spacing w:before="20" w:after="20" w:line="276" w:lineRule="auto"/>
              <w:ind w:firstLine="0"/>
            </w:pPr>
            <w:r/>
            <w:r>
              <w:rPr>
                <w:rFonts w:ascii="Times New Roman" w:hAnsi="Times New Roman" w:eastAsia="宋体"/>
                <w:b w:val="0"/>
                <w:i w:val="0"/>
                <w:sz w:val="21"/>
              </w:rPr>
              <w:t>付款结果回写合同与业务线资金进度，并衔接发票环节</w:t>
            </w:r>
          </w:p>
        </w:tc>
        <w:tc>
          <w:tcPr>
            <w:tcW w:type="dxa" w:w="4422"/>
          </w:tcPr>
          <w:p>
            <w:pPr>
              <w:spacing w:before="20" w:after="20" w:line="276" w:lineRule="auto"/>
              <w:ind w:firstLine="0"/>
            </w:pPr>
            <w:r/>
            <w:r>
              <w:rPr>
                <w:rFonts w:ascii="Times New Roman" w:hAnsi="Times New Roman" w:eastAsia="宋体"/>
                <w:b w:val="0"/>
                <w:i w:val="0"/>
                <w:sz w:val="21"/>
              </w:rPr>
              <w:t>付款完成后更新对应合同的付款进度与业务线资金进度；付款完成可触发发票上传环节</w:t>
            </w:r>
          </w:p>
        </w:tc>
      </w:tr>
      <w:tr>
        <w:tc>
          <w:tcPr>
            <w:tcW w:type="dxa" w:w="1474"/>
          </w:tcPr>
          <w:p>
            <w:pPr>
              <w:spacing w:before="20" w:after="20" w:line="276" w:lineRule="auto"/>
              <w:ind w:firstLine="0"/>
            </w:pPr>
            <w:r/>
            <w:r>
              <w:rPr>
                <w:rFonts w:ascii="Times New Roman" w:hAnsi="Times New Roman" w:eastAsia="宋体"/>
                <w:b w:val="0"/>
                <w:i w:val="0"/>
                <w:sz w:val="21"/>
              </w:rPr>
              <w:t>附件与敏感字段处理</w:t>
            </w:r>
          </w:p>
        </w:tc>
        <w:tc>
          <w:tcPr>
            <w:tcW w:type="dxa" w:w="3175"/>
          </w:tcPr>
          <w:p>
            <w:pPr>
              <w:spacing w:before="20" w:after="20" w:line="276" w:lineRule="auto"/>
              <w:ind w:firstLine="0"/>
            </w:pPr>
            <w:r/>
            <w:r>
              <w:rPr>
                <w:rFonts w:ascii="Times New Roman" w:hAnsi="Times New Roman" w:eastAsia="宋体"/>
                <w:b w:val="0"/>
                <w:i w:val="0"/>
                <w:sz w:val="21"/>
              </w:rPr>
              <w:t>约束凭证附件格式与敏感字段的展示方式</w:t>
            </w:r>
          </w:p>
        </w:tc>
        <w:tc>
          <w:tcPr>
            <w:tcW w:type="dxa" w:w="4422"/>
          </w:tcPr>
          <w:p>
            <w:pPr>
              <w:spacing w:before="20" w:after="20" w:line="276" w:lineRule="auto"/>
              <w:ind w:firstLine="0"/>
            </w:pPr>
            <w:r/>
            <w:r>
              <w:rPr>
                <w:rFonts w:ascii="Times New Roman" w:hAnsi="Times New Roman" w:eastAsia="宋体"/>
                <w:b w:val="0"/>
                <w:i w:val="0"/>
                <w:sz w:val="21"/>
              </w:rPr>
              <w:t>付款凭证接受图片与 PDF；银行账号等敏感字段按隐私脱敏规范展示；实际金额与凭证是资金登记的必留项，缺失即不得完成登记</w:t>
            </w:r>
          </w:p>
        </w:tc>
      </w:tr>
    </w:tbl>
    <w:p>
      <w:pPr>
        <w:spacing w:before="0" w:after="0" w:line="240" w:lineRule="auto"/>
      </w:pP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tblGrid>
      <w:tr>
        <w:trPr>
          <w:tblHeader w:val="true"/>
        </w:trPr>
        <w:tc>
          <w:tcPr>
            <w:tcW w:type="dxa" w:w="1247"/>
            <w:shd w:val="clear" w:color="auto" w:fill="DCE6F1"/>
          </w:tcPr>
          <w:p>
            <w:pPr>
              <w:spacing w:before="40" w:after="40" w:line="276" w:lineRule="auto"/>
              <w:jc w:val="center"/>
            </w:pPr>
            <w:r/>
            <w:r>
              <w:rPr>
                <w:rFonts w:ascii="Times New Roman" w:hAnsi="Times New Roman" w:eastAsia="黑体"/>
                <w:b/>
                <w:i w:val="0"/>
                <w:sz w:val="19"/>
              </w:rPr>
              <w:t>页面</w:t>
            </w:r>
          </w:p>
        </w:tc>
        <w:tc>
          <w:tcPr>
            <w:tcW w:type="dxa" w:w="1474"/>
            <w:shd w:val="clear" w:color="auto" w:fill="DCE6F1"/>
          </w:tcPr>
          <w:p>
            <w:pPr>
              <w:spacing w:before="40" w:after="40" w:line="276" w:lineRule="auto"/>
              <w:jc w:val="center"/>
            </w:pPr>
            <w:r/>
            <w:r>
              <w:rPr>
                <w:rFonts w:ascii="Times New Roman" w:hAnsi="Times New Roman" w:eastAsia="黑体"/>
                <w:b/>
                <w:i w:val="0"/>
                <w:sz w:val="19"/>
              </w:rPr>
              <w:t>文件</w:t>
            </w:r>
          </w:p>
        </w:tc>
        <w:tc>
          <w:tcPr>
            <w:tcW w:type="dxa" w:w="1134"/>
            <w:shd w:val="clear" w:color="auto" w:fill="DCE6F1"/>
          </w:tcPr>
          <w:p>
            <w:pPr>
              <w:spacing w:before="40" w:after="40" w:line="276" w:lineRule="auto"/>
              <w:jc w:val="center"/>
            </w:pPr>
            <w:r/>
            <w:r>
              <w:rPr>
                <w:rFonts w:ascii="Times New Roman" w:hAnsi="Times New Roman" w:eastAsia="黑体"/>
                <w:b/>
                <w:i w:val="0"/>
                <w:sz w:val="19"/>
              </w:rPr>
              <w:t>入口</w:t>
            </w:r>
          </w:p>
        </w:tc>
        <w:tc>
          <w:tcPr>
            <w:tcW w:type="dxa" w:w="2041"/>
            <w:shd w:val="clear" w:color="auto" w:fill="DCE6F1"/>
          </w:tcPr>
          <w:p>
            <w:pPr>
              <w:spacing w:before="40" w:after="40" w:line="276" w:lineRule="auto"/>
              <w:jc w:val="center"/>
            </w:pPr>
            <w:r/>
            <w:r>
              <w:rPr>
                <w:rFonts w:ascii="Times New Roman" w:hAnsi="Times New Roman" w:eastAsia="黑体"/>
                <w:b/>
                <w:i w:val="0"/>
                <w:sz w:val="19"/>
              </w:rPr>
              <w:t>主要区块</w:t>
            </w:r>
          </w:p>
        </w:tc>
        <w:tc>
          <w:tcPr>
            <w:tcW w:type="dxa" w:w="1701"/>
            <w:shd w:val="clear" w:color="auto" w:fill="DCE6F1"/>
          </w:tcPr>
          <w:p>
            <w:pPr>
              <w:spacing w:before="40" w:after="40" w:line="276" w:lineRule="auto"/>
              <w:jc w:val="center"/>
            </w:pPr>
            <w:r/>
            <w:r>
              <w:rPr>
                <w:rFonts w:ascii="Times New Roman" w:hAnsi="Times New Roman" w:eastAsia="黑体"/>
                <w:b/>
                <w:i w:val="0"/>
                <w:sz w:val="19"/>
              </w:rPr>
              <w:t>主要操作</w:t>
            </w:r>
          </w:p>
        </w:tc>
        <w:tc>
          <w:tcPr>
            <w:tcW w:type="dxa" w:w="1474"/>
            <w:shd w:val="clear" w:color="auto" w:fill="DCE6F1"/>
          </w:tcPr>
          <w:p>
            <w:pPr>
              <w:spacing w:before="40" w:after="40" w:line="276" w:lineRule="auto"/>
              <w:jc w:val="center"/>
            </w:pPr>
            <w:r/>
            <w:r>
              <w:rPr>
                <w:rFonts w:ascii="Times New Roman" w:hAnsi="Times New Roman" w:eastAsia="黑体"/>
                <w:b/>
                <w:i w:val="0"/>
                <w:sz w:val="19"/>
              </w:rPr>
              <w:t>跳转</w:t>
            </w:r>
          </w:p>
        </w:tc>
      </w:tr>
      <w:tr>
        <w:tc>
          <w:tcPr>
            <w:tcW w:type="dxa" w:w="1247"/>
          </w:tcPr>
          <w:p>
            <w:pPr>
              <w:spacing w:before="20" w:after="20" w:line="276" w:lineRule="auto"/>
              <w:ind w:firstLine="0"/>
            </w:pPr>
            <w:r/>
            <w:r>
              <w:rPr>
                <w:rFonts w:ascii="Times New Roman" w:hAnsi="Times New Roman" w:eastAsia="宋体"/>
                <w:b w:val="0"/>
                <w:i w:val="0"/>
                <w:sz w:val="19"/>
              </w:rPr>
              <w:t>付款列表</w:t>
            </w:r>
          </w:p>
        </w:tc>
        <w:tc>
          <w:tcPr>
            <w:tcW w:type="dxa" w:w="1474"/>
          </w:tcPr>
          <w:p>
            <w:pPr>
              <w:spacing w:before="20" w:after="20" w:line="276" w:lineRule="auto"/>
              <w:ind w:firstLine="0"/>
            </w:pPr>
            <w:r/>
            <w:r>
              <w:rPr>
                <w:rFonts w:ascii="Times New Roman" w:hAnsi="Times New Roman" w:eastAsia="宋体"/>
                <w:b w:val="0"/>
                <w:i w:val="0"/>
                <w:sz w:val="19"/>
              </w:rPr>
              <w:t>payment-list.html</w:t>
            </w:r>
          </w:p>
        </w:tc>
        <w:tc>
          <w:tcPr>
            <w:tcW w:type="dxa" w:w="1134"/>
          </w:tcPr>
          <w:p>
            <w:pPr>
              <w:spacing w:before="20" w:after="20" w:line="276" w:lineRule="auto"/>
              <w:ind w:firstLine="0"/>
            </w:pPr>
            <w:r/>
            <w:r>
              <w:rPr>
                <w:rFonts w:ascii="Times New Roman" w:hAnsi="Times New Roman" w:eastAsia="宋体"/>
                <w:b w:val="0"/>
                <w:i w:val="0"/>
                <w:sz w:val="19"/>
              </w:rPr>
              <w:t>数字供应链 / 资金管理 / 付款管理</w:t>
            </w:r>
          </w:p>
        </w:tc>
        <w:tc>
          <w:tcPr>
            <w:tcW w:type="dxa" w:w="2041"/>
          </w:tcPr>
          <w:p>
            <w:pPr>
              <w:spacing w:before="20" w:after="20" w:line="276" w:lineRule="auto"/>
              <w:ind w:firstLine="0"/>
            </w:pPr>
            <w:r/>
            <w:r>
              <w:rPr>
                <w:rFonts w:ascii="Times New Roman" w:hAnsi="Times New Roman" w:eastAsia="宋体"/>
                <w:b w:val="0"/>
                <w:i w:val="0"/>
                <w:sz w:val="19"/>
              </w:rPr>
              <w:t>状态页签（全部、待提交、审批中、已付款、驳回、无效）+ 筛选查询区 + 付款明细表格（合同编号、收款方、付款类型、资金来源、付款金额、付款日期、资金流水号、付款状态、操作）</w:t>
            </w:r>
          </w:p>
        </w:tc>
        <w:tc>
          <w:tcPr>
            <w:tcW w:type="dxa" w:w="1701"/>
          </w:tcPr>
          <w:p>
            <w:pPr>
              <w:spacing w:before="20" w:after="20" w:line="276" w:lineRule="auto"/>
              <w:ind w:firstLine="0"/>
            </w:pPr>
            <w:r/>
            <w:r>
              <w:rPr>
                <w:rFonts w:ascii="Times New Roman" w:hAnsi="Times New Roman" w:eastAsia="宋体"/>
                <w:b w:val="0"/>
                <w:i w:val="0"/>
                <w:sz w:val="19"/>
              </w:rPr>
              <w:t>查询 / 重置 / 清除全部筛选 / 数据导出（导出 Excel）/ 行内详情</w:t>
            </w:r>
          </w:p>
        </w:tc>
        <w:tc>
          <w:tcPr>
            <w:tcW w:type="dxa" w:w="1474"/>
          </w:tcPr>
          <w:p>
            <w:pPr>
              <w:spacing w:before="20" w:after="20" w:line="276" w:lineRule="auto"/>
              <w:ind w:firstLine="0"/>
            </w:pPr>
            <w:r/>
            <w:r>
              <w:rPr>
                <w:rFonts w:ascii="Times New Roman" w:hAnsi="Times New Roman" w:eastAsia="宋体"/>
                <w:b w:val="0"/>
                <w:i w:val="0"/>
                <w:sz w:val="19"/>
              </w:rPr>
              <w:t>行内详情跳转到付款详情页 payment-detail.html</w:t>
            </w:r>
          </w:p>
        </w:tc>
      </w:tr>
      <w:tr>
        <w:tc>
          <w:tcPr>
            <w:tcW w:type="dxa" w:w="1247"/>
          </w:tcPr>
          <w:p>
            <w:pPr>
              <w:spacing w:before="20" w:after="20" w:line="276" w:lineRule="auto"/>
              <w:ind w:firstLine="0"/>
            </w:pPr>
            <w:r/>
            <w:r>
              <w:rPr>
                <w:rFonts w:ascii="Times New Roman" w:hAnsi="Times New Roman" w:eastAsia="宋体"/>
                <w:b w:val="0"/>
                <w:i w:val="0"/>
                <w:sz w:val="19"/>
              </w:rPr>
              <w:t>新增付款</w:t>
            </w:r>
          </w:p>
        </w:tc>
        <w:tc>
          <w:tcPr>
            <w:tcW w:type="dxa" w:w="1474"/>
          </w:tcPr>
          <w:p>
            <w:pPr>
              <w:spacing w:before="20" w:after="20" w:line="276" w:lineRule="auto"/>
              <w:ind w:firstLine="0"/>
            </w:pPr>
            <w:r/>
            <w:r>
              <w:rPr>
                <w:rFonts w:ascii="Times New Roman" w:hAnsi="Times New Roman" w:eastAsia="宋体"/>
                <w:b w:val="0"/>
                <w:i w:val="0"/>
                <w:sz w:val="19"/>
              </w:rPr>
              <w:t>payment-new.html</w:t>
            </w:r>
          </w:p>
        </w:tc>
        <w:tc>
          <w:tcPr>
            <w:tcW w:type="dxa" w:w="1134"/>
          </w:tcPr>
          <w:p>
            <w:pPr>
              <w:spacing w:before="20" w:after="20" w:line="276" w:lineRule="auto"/>
              <w:ind w:firstLine="0"/>
            </w:pPr>
            <w:r/>
            <w:r>
              <w:rPr>
                <w:rFonts w:ascii="Times New Roman" w:hAnsi="Times New Roman" w:eastAsia="宋体"/>
                <w:b w:val="0"/>
                <w:i w:val="0"/>
                <w:sz w:val="19"/>
              </w:rPr>
              <w:t>付款列表右上「新增付款」</w:t>
            </w:r>
          </w:p>
        </w:tc>
        <w:tc>
          <w:tcPr>
            <w:tcW w:type="dxa" w:w="2041"/>
          </w:tcPr>
          <w:p>
            <w:pPr>
              <w:spacing w:before="20" w:after="20" w:line="276" w:lineRule="auto"/>
              <w:ind w:firstLine="0"/>
            </w:pPr>
            <w:r/>
            <w:r>
              <w:rPr>
                <w:rFonts w:ascii="Times New Roman" w:hAnsi="Times New Roman" w:eastAsia="宋体"/>
                <w:b w:val="0"/>
                <w:i w:val="0"/>
                <w:sz w:val="19"/>
              </w:rPr>
              <w:t>合同信息 / 选择业务线 / 基本信息 / 选择上游结算单 / 选择下游结算单 / 选择货物批次 / 附件信息</w:t>
            </w:r>
          </w:p>
        </w:tc>
        <w:tc>
          <w:tcPr>
            <w:tcW w:type="dxa" w:w="1701"/>
          </w:tcPr>
          <w:p>
            <w:pPr>
              <w:spacing w:before="20" w:after="20" w:line="276" w:lineRule="auto"/>
              <w:ind w:firstLine="0"/>
            </w:pPr>
            <w:r/>
            <w:r>
              <w:rPr>
                <w:rFonts w:ascii="Times New Roman" w:hAnsi="Times New Roman" w:eastAsia="宋体"/>
                <w:b w:val="0"/>
                <w:i w:val="0"/>
                <w:sz w:val="19"/>
              </w:rPr>
              <w:t>保存 / 提交 / 取消 / 上传 / 上传凭证</w:t>
            </w:r>
          </w:p>
        </w:tc>
        <w:tc>
          <w:tcPr>
            <w:tcW w:type="dxa" w:w="1474"/>
          </w:tcPr>
          <w:p>
            <w:pPr>
              <w:spacing w:before="20" w:after="20" w:line="276" w:lineRule="auto"/>
              <w:ind w:firstLine="0"/>
            </w:pPr>
            <w:r/>
            <w:r>
              <w:rPr>
                <w:rFonts w:ascii="Times New Roman" w:hAnsi="Times New Roman" w:eastAsia="宋体"/>
                <w:b w:val="0"/>
                <w:i w:val="0"/>
                <w:sz w:val="19"/>
              </w:rPr>
              <w:t>提交成功后回到付款列表，单据进入审批中状态</w:t>
            </w:r>
          </w:p>
        </w:tc>
      </w:tr>
      <w:tr>
        <w:tc>
          <w:tcPr>
            <w:tcW w:type="dxa" w:w="1247"/>
          </w:tcPr>
          <w:p>
            <w:pPr>
              <w:spacing w:before="20" w:after="20" w:line="276" w:lineRule="auto"/>
              <w:ind w:firstLine="0"/>
            </w:pPr>
            <w:r/>
            <w:r>
              <w:rPr>
                <w:rFonts w:ascii="Times New Roman" w:hAnsi="Times New Roman" w:eastAsia="宋体"/>
                <w:b w:val="0"/>
                <w:i w:val="0"/>
                <w:sz w:val="19"/>
              </w:rPr>
              <w:t>付款详情</w:t>
            </w:r>
          </w:p>
        </w:tc>
        <w:tc>
          <w:tcPr>
            <w:tcW w:type="dxa" w:w="1474"/>
          </w:tcPr>
          <w:p>
            <w:pPr>
              <w:spacing w:before="20" w:after="20" w:line="276" w:lineRule="auto"/>
              <w:ind w:firstLine="0"/>
            </w:pPr>
            <w:r/>
            <w:r>
              <w:rPr>
                <w:rFonts w:ascii="Times New Roman" w:hAnsi="Times New Roman" w:eastAsia="宋体"/>
                <w:b w:val="0"/>
                <w:i w:val="0"/>
                <w:sz w:val="19"/>
              </w:rPr>
              <w:t>payment-detail.html</w:t>
            </w:r>
          </w:p>
        </w:tc>
        <w:tc>
          <w:tcPr>
            <w:tcW w:type="dxa" w:w="1134"/>
          </w:tcPr>
          <w:p>
            <w:pPr>
              <w:spacing w:before="20" w:after="20" w:line="276" w:lineRule="auto"/>
              <w:ind w:firstLine="0"/>
            </w:pPr>
            <w:r/>
            <w:r>
              <w:rPr>
                <w:rFonts w:ascii="Times New Roman" w:hAnsi="Times New Roman" w:eastAsia="宋体"/>
                <w:b w:val="0"/>
                <w:i w:val="0"/>
                <w:sz w:val="19"/>
              </w:rPr>
              <w:t>付款列表行内「详情」</w:t>
            </w:r>
          </w:p>
        </w:tc>
        <w:tc>
          <w:tcPr>
            <w:tcW w:type="dxa" w:w="2041"/>
          </w:tcPr>
          <w:p>
            <w:pPr>
              <w:spacing w:before="20" w:after="20" w:line="276" w:lineRule="auto"/>
              <w:ind w:firstLine="0"/>
            </w:pPr>
            <w:r/>
            <w:r>
              <w:rPr>
                <w:rFonts w:ascii="Times New Roman" w:hAnsi="Times New Roman" w:eastAsia="宋体"/>
                <w:b w:val="0"/>
                <w:i w:val="0"/>
                <w:sz w:val="19"/>
              </w:rPr>
              <w:t>付款信息 / 货物批次 / 上游结算单 / 下游结算单 / 上游发票 / 下游发票 / 附件 / 操作记录</w:t>
            </w:r>
          </w:p>
        </w:tc>
        <w:tc>
          <w:tcPr>
            <w:tcW w:type="dxa" w:w="1701"/>
          </w:tcPr>
          <w:p>
            <w:pPr>
              <w:spacing w:before="20" w:after="20" w:line="276" w:lineRule="auto"/>
              <w:ind w:firstLine="0"/>
            </w:pPr>
            <w:r/>
            <w:r>
              <w:rPr>
                <w:rFonts w:ascii="Times New Roman" w:hAnsi="Times New Roman" w:eastAsia="宋体"/>
                <w:b w:val="0"/>
                <w:i w:val="0"/>
                <w:sz w:val="19"/>
              </w:rPr>
              <w:t>上传（凭证）/ 撤回申请 / 审批通过 / 驳回审批</w:t>
            </w:r>
          </w:p>
        </w:tc>
        <w:tc>
          <w:tcPr>
            <w:tcW w:type="dxa" w:w="1474"/>
          </w:tcPr>
          <w:p>
            <w:pPr>
              <w:spacing w:before="20" w:after="20" w:line="276" w:lineRule="auto"/>
              <w:ind w:firstLine="0"/>
            </w:pPr>
            <w:r/>
            <w:r>
              <w:rPr>
                <w:rFonts w:ascii="Times New Roman" w:hAnsi="Times New Roman" w:eastAsia="宋体"/>
                <w:b w:val="0"/>
                <w:i w:val="0"/>
                <w:sz w:val="19"/>
              </w:rPr>
              <w:t>关联区块可跳转到对应合同、结算单与发票单据</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4.11.5　数据关系</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474"/>
            <w:shd w:val="clear" w:color="auto" w:fill="DCE6F1"/>
          </w:tcPr>
          <w:p>
            <w:pPr>
              <w:spacing w:before="40" w:after="40" w:line="276" w:lineRule="auto"/>
              <w:jc w:val="center"/>
            </w:pPr>
            <w:r/>
            <w:r>
              <w:rPr>
                <w:rFonts w:ascii="Times New Roman" w:hAnsi="Times New Roman" w:eastAsia="黑体"/>
                <w:b/>
                <w:i w:val="0"/>
                <w:sz w:val="21"/>
              </w:rPr>
              <w:t>业务对象</w:t>
            </w:r>
          </w:p>
        </w:tc>
        <w:tc>
          <w:tcPr>
            <w:tcW w:type="dxa" w:w="4195"/>
            <w:shd w:val="clear" w:color="auto" w:fill="DCE6F1"/>
          </w:tcPr>
          <w:p>
            <w:pPr>
              <w:spacing w:before="40" w:after="40" w:line="276" w:lineRule="auto"/>
              <w:jc w:val="center"/>
            </w:pPr>
            <w:r/>
            <w:r>
              <w:rPr>
                <w:rFonts w:ascii="Times New Roman" w:hAnsi="Times New Roman" w:eastAsia="黑体"/>
                <w:b/>
                <w:i w:val="0"/>
                <w:sz w:val="21"/>
              </w:rPr>
              <w:t>关键字段与口径</w:t>
            </w:r>
          </w:p>
        </w:tc>
        <w:tc>
          <w:tcPr>
            <w:tcW w:type="dxa" w:w="3402"/>
            <w:shd w:val="clear" w:color="auto" w:fill="DCE6F1"/>
          </w:tcPr>
          <w:p>
            <w:pPr>
              <w:spacing w:before="40" w:after="40" w:line="276" w:lineRule="auto"/>
              <w:jc w:val="center"/>
            </w:pPr>
            <w:r/>
            <w:r>
              <w:rPr>
                <w:rFonts w:ascii="Times New Roman" w:hAnsi="Times New Roman" w:eastAsia="黑体"/>
                <w:b/>
                <w:i w:val="0"/>
                <w:sz w:val="21"/>
              </w:rPr>
              <w:t>与其他对象的关系</w:t>
            </w:r>
          </w:p>
        </w:tc>
      </w:tr>
      <w:tr>
        <w:tc>
          <w:tcPr>
            <w:tcW w:type="dxa" w:w="1474"/>
          </w:tcPr>
          <w:p>
            <w:pPr>
              <w:spacing w:before="20" w:after="20" w:line="276" w:lineRule="auto"/>
              <w:ind w:firstLine="0"/>
            </w:pPr>
            <w:r/>
            <w:r>
              <w:rPr>
                <w:rFonts w:ascii="Times New Roman" w:hAnsi="Times New Roman" w:eastAsia="宋体"/>
                <w:b w:val="0"/>
                <w:i w:val="0"/>
                <w:sz w:val="21"/>
              </w:rPr>
              <w:t>付款申请单</w:t>
            </w:r>
          </w:p>
        </w:tc>
        <w:tc>
          <w:tcPr>
            <w:tcW w:type="dxa" w:w="4195"/>
          </w:tcPr>
          <w:p>
            <w:pPr>
              <w:spacing w:before="20" w:after="20" w:line="276" w:lineRule="auto"/>
              <w:ind w:firstLine="0"/>
            </w:pPr>
            <w:r/>
            <w:r>
              <w:rPr>
                <w:rFonts w:ascii="Times New Roman" w:hAnsi="Times New Roman" w:eastAsia="宋体"/>
                <w:b w:val="0"/>
                <w:i w:val="0"/>
                <w:sz w:val="21"/>
              </w:rPr>
              <w:t>付款申请单号：varchar(32)，编号前缀与流水位数未定义</w:t>
            </w:r>
            <w:r>
              <w:br/>
            </w:r>
            <w:r>
              <w:rPr>
                <w:rFonts w:ascii="Times New Roman" w:hAnsi="Times New Roman" w:eastAsia="宋体"/>
                <w:b w:val="0"/>
                <w:i w:val="0"/>
                <w:sz w:val="21"/>
              </w:rPr>
              <w:t>付款类型：采购付款 / 费用付款 / 其他</w:t>
            </w:r>
            <w:r>
              <w:br/>
            </w:r>
            <w:r>
              <w:rPr>
                <w:rFonts w:ascii="Times New Roman" w:hAnsi="Times New Roman" w:eastAsia="宋体"/>
                <w:b w:val="0"/>
                <w:i w:val="0"/>
                <w:sz w:val="21"/>
              </w:rPr>
              <w:t>关联单据类型：合同 / 订单 / 结算单 / 保证金；关联单据 ID 必填</w:t>
            </w:r>
            <w:r>
              <w:br/>
            </w:r>
            <w:r>
              <w:rPr>
                <w:rFonts w:ascii="Times New Roman" w:hAnsi="Times New Roman" w:eastAsia="宋体"/>
                <w:b w:val="0"/>
                <w:i w:val="0"/>
                <w:sz w:val="21"/>
              </w:rPr>
              <w:t>付款方（货主方）与收款方（上游供应商等）均为必填</w:t>
            </w:r>
            <w:r>
              <w:br/>
            </w:r>
            <w:r>
              <w:rPr>
                <w:rFonts w:ascii="Times New Roman" w:hAnsi="Times New Roman" w:eastAsia="宋体"/>
                <w:b w:val="0"/>
                <w:i w:val="0"/>
                <w:sz w:val="21"/>
              </w:rPr>
              <w:t>申请金额：decimal(20,2)，创建时填写</w:t>
            </w:r>
            <w:r>
              <w:br/>
            </w:r>
            <w:r>
              <w:rPr>
                <w:rFonts w:ascii="Times New Roman" w:hAnsi="Times New Roman" w:eastAsia="宋体"/>
                <w:b w:val="0"/>
                <w:i w:val="0"/>
                <w:sz w:val="21"/>
              </w:rPr>
              <w:t>实际金额：线下付款完成后填写，允许与申请金额不一致</w:t>
            </w:r>
            <w:r>
              <w:br/>
            </w:r>
            <w:r>
              <w:rPr>
                <w:rFonts w:ascii="Times New Roman" w:hAnsi="Times New Roman" w:eastAsia="宋体"/>
                <w:b w:val="0"/>
                <w:i w:val="0"/>
                <w:sz w:val="21"/>
              </w:rPr>
              <w:t>付款日期：线下实际完成日期</w:t>
            </w:r>
            <w:r>
              <w:br/>
            </w:r>
            <w:r>
              <w:rPr>
                <w:rFonts w:ascii="Times New Roman" w:hAnsi="Times New Roman" w:eastAsia="宋体"/>
                <w:b w:val="0"/>
                <w:i w:val="0"/>
                <w:sz w:val="21"/>
              </w:rPr>
              <w:t>付款凭证：图片或 PDF，线下付款后必填</w:t>
            </w:r>
            <w:r>
              <w:br/>
            </w:r>
            <w:r>
              <w:rPr>
                <w:rFonts w:ascii="Times New Roman" w:hAnsi="Times New Roman" w:eastAsia="宋体"/>
                <w:b w:val="0"/>
                <w:i w:val="0"/>
                <w:sz w:val="21"/>
              </w:rPr>
              <w:t>付款方式：银行转账 / 票据 / 其他</w:t>
            </w:r>
            <w:r>
              <w:br/>
            </w:r>
            <w:r>
              <w:rPr>
                <w:rFonts w:ascii="Times New Roman" w:hAnsi="Times New Roman" w:eastAsia="宋体"/>
                <w:b w:val="0"/>
                <w:i w:val="0"/>
                <w:sz w:val="21"/>
              </w:rPr>
              <w:t>付款状态：待线下付款 / 已付款 / 已驳回，状态枚举值未定义</w:t>
            </w:r>
          </w:p>
        </w:tc>
        <w:tc>
          <w:tcPr>
            <w:tcW w:type="dxa" w:w="3402"/>
          </w:tcPr>
          <w:p>
            <w:pPr>
              <w:spacing w:before="20" w:after="20" w:line="276" w:lineRule="auto"/>
              <w:ind w:firstLine="0"/>
            </w:pPr>
            <w:r/>
            <w:r>
              <w:rPr>
                <w:rFonts w:ascii="Times New Roman" w:hAnsi="Times New Roman" w:eastAsia="宋体"/>
                <w:b w:val="0"/>
                <w:i w:val="0"/>
                <w:sz w:val="21"/>
              </w:rPr>
              <w:t>关联合同、结算单等上游单据；付款完成后回写业务线资金进度与合同付款进度</w:t>
            </w:r>
          </w:p>
        </w:tc>
      </w:tr>
      <w:tr>
        <w:tc>
          <w:tcPr>
            <w:tcW w:type="dxa" w:w="1474"/>
          </w:tcPr>
          <w:p>
            <w:pPr>
              <w:spacing w:before="20" w:after="20" w:line="276" w:lineRule="auto"/>
              <w:ind w:firstLine="0"/>
            </w:pPr>
            <w:r/>
            <w:r>
              <w:rPr>
                <w:rFonts w:ascii="Times New Roman" w:hAnsi="Times New Roman" w:eastAsia="宋体"/>
                <w:b w:val="0"/>
                <w:i w:val="0"/>
                <w:sz w:val="21"/>
              </w:rPr>
              <w:t>付款审批记录</w:t>
            </w:r>
          </w:p>
        </w:tc>
        <w:tc>
          <w:tcPr>
            <w:tcW w:type="dxa" w:w="4195"/>
          </w:tcPr>
          <w:p>
            <w:pPr>
              <w:spacing w:before="20" w:after="20" w:line="276" w:lineRule="auto"/>
              <w:ind w:firstLine="0"/>
            </w:pPr>
            <w:r/>
            <w:r>
              <w:rPr>
                <w:rFonts w:ascii="Times New Roman" w:hAnsi="Times New Roman" w:eastAsia="宋体"/>
                <w:b w:val="0"/>
                <w:i w:val="0"/>
                <w:sz w:val="21"/>
              </w:rPr>
              <w:t>当前节点：1 业务部 / 2 风控部 / 3 财务部</w:t>
            </w:r>
            <w:r>
              <w:br/>
            </w:r>
            <w:r>
              <w:rPr>
                <w:rFonts w:ascii="Times New Roman" w:hAnsi="Times New Roman" w:eastAsia="宋体"/>
                <w:b w:val="0"/>
                <w:i w:val="0"/>
                <w:sz w:val="21"/>
              </w:rPr>
              <w:t>审批人</w:t>
            </w:r>
            <w:r>
              <w:br/>
            </w:r>
            <w:r>
              <w:rPr>
                <w:rFonts w:ascii="Times New Roman" w:hAnsi="Times New Roman" w:eastAsia="宋体"/>
                <w:b w:val="0"/>
                <w:i w:val="0"/>
                <w:sz w:val="21"/>
              </w:rPr>
              <w:t>审批意见</w:t>
            </w:r>
            <w:r>
              <w:br/>
            </w:r>
            <w:r>
              <w:rPr>
                <w:rFonts w:ascii="Times New Roman" w:hAnsi="Times New Roman" w:eastAsia="宋体"/>
                <w:b w:val="0"/>
                <w:i w:val="0"/>
                <w:sz w:val="21"/>
              </w:rPr>
              <w:t>决策：通过 / 驳回</w:t>
            </w:r>
            <w:r>
              <w:br/>
            </w:r>
            <w:r>
              <w:rPr>
                <w:rFonts w:ascii="Times New Roman" w:hAnsi="Times New Roman" w:eastAsia="宋体"/>
                <w:b w:val="0"/>
                <w:i w:val="0"/>
                <w:sz w:val="21"/>
              </w:rPr>
              <w:t>决策时间</w:t>
            </w:r>
          </w:p>
        </w:tc>
        <w:tc>
          <w:tcPr>
            <w:tcW w:type="dxa" w:w="3402"/>
          </w:tcPr>
          <w:p>
            <w:pPr>
              <w:spacing w:before="20" w:after="20" w:line="276" w:lineRule="auto"/>
              <w:ind w:firstLine="0"/>
            </w:pPr>
            <w:r/>
            <w:r>
              <w:rPr>
                <w:rFonts w:ascii="Times New Roman" w:hAnsi="Times New Roman" w:eastAsia="宋体"/>
                <w:b w:val="0"/>
                <w:i w:val="0"/>
                <w:sz w:val="21"/>
              </w:rPr>
              <w:t>同一张付款申请单下按节点串行累积多条审批记录</w:t>
            </w:r>
          </w:p>
        </w:tc>
      </w:tr>
      <w:tr>
        <w:tc>
          <w:tcPr>
            <w:tcW w:type="dxa" w:w="1474"/>
          </w:tcPr>
          <w:p>
            <w:pPr>
              <w:spacing w:before="20" w:after="20" w:line="276" w:lineRule="auto"/>
              <w:ind w:firstLine="0"/>
            </w:pPr>
            <w:r/>
            <w:r>
              <w:rPr>
                <w:rFonts w:ascii="Times New Roman" w:hAnsi="Times New Roman" w:eastAsia="宋体"/>
                <w:b w:val="0"/>
                <w:i w:val="0"/>
                <w:sz w:val="21"/>
              </w:rPr>
              <w:t>付款前置校验记录</w:t>
            </w:r>
          </w:p>
        </w:tc>
        <w:tc>
          <w:tcPr>
            <w:tcW w:type="dxa" w:w="4195"/>
          </w:tcPr>
          <w:p>
            <w:pPr>
              <w:spacing w:before="20" w:after="20" w:line="276" w:lineRule="auto"/>
              <w:ind w:firstLine="0"/>
            </w:pPr>
            <w:r/>
            <w:r>
              <w:rPr>
                <w:rFonts w:ascii="Times New Roman" w:hAnsi="Times New Roman" w:eastAsia="宋体"/>
                <w:b w:val="0"/>
                <w:i w:val="0"/>
                <w:sz w:val="21"/>
              </w:rPr>
              <w:t>校验类型：合同有效性 / 额度可用 / 回款足额 / 保证金足额</w:t>
            </w:r>
            <w:r>
              <w:br/>
            </w:r>
            <w:r>
              <w:rPr>
                <w:rFonts w:ascii="Times New Roman" w:hAnsi="Times New Roman" w:eastAsia="宋体"/>
                <w:b w:val="0"/>
                <w:i w:val="0"/>
                <w:sz w:val="21"/>
              </w:rPr>
              <w:t>校验结果：通过 / 不通过 / 警告</w:t>
            </w:r>
            <w:r>
              <w:br/>
            </w:r>
            <w:r>
              <w:rPr>
                <w:rFonts w:ascii="Times New Roman" w:hAnsi="Times New Roman" w:eastAsia="宋体"/>
                <w:b w:val="0"/>
                <w:i w:val="0"/>
                <w:sz w:val="21"/>
              </w:rPr>
              <w:t>校验信息：含具体数值对比文案</w:t>
            </w:r>
            <w:r>
              <w:br/>
            </w:r>
            <w:r>
              <w:rPr>
                <w:rFonts w:ascii="Times New Roman" w:hAnsi="Times New Roman" w:eastAsia="宋体"/>
                <w:b w:val="0"/>
                <w:i w:val="0"/>
                <w:sz w:val="21"/>
              </w:rPr>
              <w:t>校验时间</w:t>
            </w:r>
          </w:p>
        </w:tc>
        <w:tc>
          <w:tcPr>
            <w:tcW w:type="dxa" w:w="3402"/>
          </w:tcPr>
          <w:p>
            <w:pPr>
              <w:spacing w:before="20" w:after="20" w:line="276" w:lineRule="auto"/>
              <w:ind w:firstLine="0"/>
            </w:pPr>
            <w:r/>
            <w:r>
              <w:rPr>
                <w:rFonts w:ascii="Times New Roman" w:hAnsi="Times New Roman" w:eastAsia="宋体"/>
                <w:b w:val="0"/>
                <w:i w:val="0"/>
                <w:sz w:val="21"/>
              </w:rPr>
              <w:t>一张付款申请单对应 4 条校验结果，提交时生成并随单据留存</w:t>
            </w:r>
          </w:p>
        </w:tc>
      </w:tr>
      <w:tr>
        <w:tc>
          <w:tcPr>
            <w:tcW w:type="dxa" w:w="1474"/>
          </w:tcPr>
          <w:p>
            <w:pPr>
              <w:spacing w:before="20" w:after="20" w:line="276" w:lineRule="auto"/>
              <w:ind w:firstLine="0"/>
            </w:pPr>
            <w:r/>
            <w:r>
              <w:rPr>
                <w:rFonts w:ascii="Times New Roman" w:hAnsi="Times New Roman" w:eastAsia="宋体"/>
                <w:b w:val="0"/>
                <w:i w:val="0"/>
                <w:sz w:val="21"/>
              </w:rPr>
              <w:t>付款历史记录</w:t>
            </w:r>
          </w:p>
        </w:tc>
        <w:tc>
          <w:tcPr>
            <w:tcW w:type="dxa" w:w="4195"/>
          </w:tcPr>
          <w:p>
            <w:pPr>
              <w:spacing w:before="20" w:after="20" w:line="276" w:lineRule="auto"/>
              <w:ind w:firstLine="0"/>
            </w:pPr>
            <w:r/>
            <w:r>
              <w:rPr>
                <w:rFonts w:ascii="Times New Roman" w:hAnsi="Times New Roman" w:eastAsia="宋体"/>
                <w:b w:val="0"/>
                <w:i w:val="0"/>
                <w:sz w:val="21"/>
              </w:rPr>
              <w:t>变更类型：提交 / 审批通过 / 审批驳回 / 已付款 / 已确认</w:t>
            </w:r>
            <w:r>
              <w:br/>
            </w:r>
            <w:r>
              <w:rPr>
                <w:rFonts w:ascii="Times New Roman" w:hAnsi="Times New Roman" w:eastAsia="宋体"/>
                <w:b w:val="0"/>
                <w:i w:val="0"/>
                <w:sz w:val="21"/>
              </w:rPr>
              <w:t>操作人</w:t>
            </w:r>
            <w:r>
              <w:br/>
            </w:r>
            <w:r>
              <w:rPr>
                <w:rFonts w:ascii="Times New Roman" w:hAnsi="Times New Roman" w:eastAsia="宋体"/>
                <w:b w:val="0"/>
                <w:i w:val="0"/>
                <w:sz w:val="21"/>
              </w:rPr>
              <w:t>操作时间</w:t>
            </w:r>
          </w:p>
        </w:tc>
        <w:tc>
          <w:tcPr>
            <w:tcW w:type="dxa" w:w="3402"/>
          </w:tcPr>
          <w:p>
            <w:pPr>
              <w:spacing w:before="20" w:after="20" w:line="276" w:lineRule="auto"/>
              <w:ind w:firstLine="0"/>
            </w:pPr>
            <w:r/>
            <w:r>
              <w:rPr>
                <w:rFonts w:ascii="Times New Roman" w:hAnsi="Times New Roman" w:eastAsia="宋体"/>
                <w:b w:val="0"/>
                <w:i w:val="0"/>
                <w:sz w:val="21"/>
              </w:rPr>
              <w:t>挂在一张付款申请单上，构成完整操作轨迹</w:t>
            </w:r>
          </w:p>
        </w:tc>
      </w:tr>
      <w:tr>
        <w:tc>
          <w:tcPr>
            <w:tcW w:type="dxa" w:w="1474"/>
          </w:tcPr>
          <w:p>
            <w:pPr>
              <w:spacing w:before="20" w:after="20" w:line="276" w:lineRule="auto"/>
              <w:ind w:firstLine="0"/>
            </w:pPr>
            <w:r/>
            <w:r>
              <w:rPr>
                <w:rFonts w:ascii="Times New Roman" w:hAnsi="Times New Roman" w:eastAsia="宋体"/>
                <w:b w:val="0"/>
                <w:i w:val="0"/>
                <w:sz w:val="21"/>
              </w:rPr>
              <w:t>回款流水登记</w:t>
            </w:r>
          </w:p>
        </w:tc>
        <w:tc>
          <w:tcPr>
            <w:tcW w:type="dxa" w:w="4195"/>
          </w:tcPr>
          <w:p>
            <w:pPr>
              <w:spacing w:before="20" w:after="20" w:line="276" w:lineRule="auto"/>
              <w:ind w:firstLine="0"/>
            </w:pPr>
            <w:r/>
            <w:r>
              <w:rPr>
                <w:rFonts w:ascii="Times New Roman" w:hAnsi="Times New Roman" w:eastAsia="宋体"/>
                <w:b w:val="0"/>
                <w:i w:val="0"/>
                <w:sz w:val="21"/>
              </w:rPr>
              <w:t>回款流水号</w:t>
            </w:r>
            <w:r>
              <w:br/>
            </w:r>
            <w:r>
              <w:rPr>
                <w:rFonts w:ascii="Times New Roman" w:hAnsi="Times New Roman" w:eastAsia="宋体"/>
                <w:b w:val="0"/>
                <w:i w:val="0"/>
                <w:sz w:val="21"/>
              </w:rPr>
              <w:t>回款方（客户）</w:t>
            </w:r>
            <w:r>
              <w:br/>
            </w:r>
            <w:r>
              <w:rPr>
                <w:rFonts w:ascii="Times New Roman" w:hAnsi="Times New Roman" w:eastAsia="宋体"/>
                <w:b w:val="0"/>
                <w:i w:val="0"/>
                <w:sz w:val="21"/>
              </w:rPr>
              <w:t>回款金额</w:t>
            </w:r>
            <w:r>
              <w:br/>
            </w:r>
            <w:r>
              <w:rPr>
                <w:rFonts w:ascii="Times New Roman" w:hAnsi="Times New Roman" w:eastAsia="宋体"/>
                <w:b w:val="0"/>
                <w:i w:val="0"/>
                <w:sz w:val="21"/>
              </w:rPr>
              <w:t>回款日期</w:t>
            </w:r>
            <w:r>
              <w:br/>
            </w:r>
            <w:r>
              <w:rPr>
                <w:rFonts w:ascii="Times New Roman" w:hAnsi="Times New Roman" w:eastAsia="宋体"/>
                <w:b w:val="0"/>
                <w:i w:val="0"/>
                <w:sz w:val="21"/>
              </w:rPr>
              <w:t>回单凭证</w:t>
            </w:r>
            <w:r>
              <w:br/>
            </w:r>
            <w:r>
              <w:rPr>
                <w:rFonts w:ascii="Times New Roman" w:hAnsi="Times New Roman" w:eastAsia="宋体"/>
                <w:b w:val="0"/>
                <w:i w:val="0"/>
                <w:sz w:val="21"/>
              </w:rPr>
              <w:t>认领状态</w:t>
            </w:r>
          </w:p>
        </w:tc>
        <w:tc>
          <w:tcPr>
            <w:tcW w:type="dxa" w:w="3402"/>
          </w:tcPr>
          <w:p>
            <w:pPr>
              <w:spacing w:before="20" w:after="20" w:line="276" w:lineRule="auto"/>
              <w:ind w:firstLine="0"/>
            </w:pPr>
            <w:r/>
            <w:r>
              <w:rPr>
                <w:rFonts w:ascii="Times New Roman" w:hAnsi="Times New Roman" w:eastAsia="宋体"/>
                <w:b w:val="0"/>
                <w:i w:val="0"/>
                <w:sz w:val="21"/>
              </w:rPr>
              <w:t>与付款单同属资金管理；付款前置校验中的「客户已回款」取数于此</w:t>
            </w:r>
          </w:p>
        </w:tc>
      </w:tr>
      <w:tr>
        <w:tc>
          <w:tcPr>
            <w:tcW w:type="dxa" w:w="1474"/>
          </w:tcPr>
          <w:p>
            <w:pPr>
              <w:spacing w:before="20" w:after="20" w:line="276" w:lineRule="auto"/>
              <w:ind w:firstLine="0"/>
            </w:pPr>
            <w:r/>
            <w:r>
              <w:rPr>
                <w:rFonts w:ascii="Times New Roman" w:hAnsi="Times New Roman" w:eastAsia="宋体"/>
                <w:b w:val="0"/>
                <w:i w:val="0"/>
                <w:sz w:val="21"/>
              </w:rPr>
              <w:t>银行流水记录</w:t>
            </w:r>
          </w:p>
        </w:tc>
        <w:tc>
          <w:tcPr>
            <w:tcW w:type="dxa" w:w="4195"/>
          </w:tcPr>
          <w:p>
            <w:pPr>
              <w:spacing w:before="20" w:after="20" w:line="276" w:lineRule="auto"/>
              <w:ind w:firstLine="0"/>
            </w:pPr>
            <w:r/>
            <w:r>
              <w:rPr>
                <w:rFonts w:ascii="Times New Roman" w:hAnsi="Times New Roman" w:eastAsia="宋体"/>
                <w:b w:val="0"/>
                <w:i w:val="0"/>
                <w:sz w:val="21"/>
              </w:rPr>
              <w:t>银行账号</w:t>
            </w:r>
            <w:r>
              <w:br/>
            </w:r>
            <w:r>
              <w:rPr>
                <w:rFonts w:ascii="Times New Roman" w:hAnsi="Times New Roman" w:eastAsia="宋体"/>
                <w:b w:val="0"/>
                <w:i w:val="0"/>
                <w:sz w:val="21"/>
              </w:rPr>
              <w:t>银行流水号：由银行提供，非系统生成</w:t>
            </w:r>
            <w:r>
              <w:br/>
            </w:r>
            <w:r>
              <w:rPr>
                <w:rFonts w:ascii="Times New Roman" w:hAnsi="Times New Roman" w:eastAsia="宋体"/>
                <w:b w:val="0"/>
                <w:i w:val="0"/>
                <w:sz w:val="21"/>
              </w:rPr>
              <w:t>金额</w:t>
            </w:r>
            <w:r>
              <w:br/>
            </w:r>
            <w:r>
              <w:rPr>
                <w:rFonts w:ascii="Times New Roman" w:hAnsi="Times New Roman" w:eastAsia="宋体"/>
                <w:b w:val="0"/>
                <w:i w:val="0"/>
                <w:sz w:val="21"/>
              </w:rPr>
              <w:t>方向：入账 / 出账</w:t>
            </w:r>
            <w:r>
              <w:br/>
            </w:r>
            <w:r>
              <w:rPr>
                <w:rFonts w:ascii="Times New Roman" w:hAnsi="Times New Roman" w:eastAsia="宋体"/>
                <w:b w:val="0"/>
                <w:i w:val="0"/>
                <w:sz w:val="21"/>
              </w:rPr>
              <w:t>交易日期</w:t>
            </w:r>
            <w:r>
              <w:br/>
            </w:r>
            <w:r>
              <w:rPr>
                <w:rFonts w:ascii="Times New Roman" w:hAnsi="Times New Roman" w:eastAsia="宋体"/>
                <w:b w:val="0"/>
                <w:i w:val="0"/>
                <w:sz w:val="21"/>
              </w:rPr>
              <w:t>是否已匹配</w:t>
            </w:r>
          </w:p>
        </w:tc>
        <w:tc>
          <w:tcPr>
            <w:tcW w:type="dxa" w:w="3402"/>
          </w:tcPr>
          <w:p>
            <w:pPr>
              <w:spacing w:before="20" w:after="20" w:line="276" w:lineRule="auto"/>
              <w:ind w:firstLine="0"/>
            </w:pPr>
            <w:r/>
            <w:r>
              <w:rPr>
                <w:rFonts w:ascii="Times New Roman" w:hAnsi="Times New Roman" w:eastAsia="宋体"/>
                <w:b w:val="0"/>
                <w:i w:val="0"/>
                <w:sz w:val="21"/>
              </w:rPr>
              <w:t>作为回款自动认领的数据来源，与回款流水做匹配</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4.11.6　角色权限与数据权限</w:t>
      </w:r>
    </w:p>
    <w:p>
      <w:pPr>
        <w:spacing w:before="0" w:after="120" w:line="360" w:lineRule="auto"/>
      </w:pPr>
      <w:r>
        <w:rPr>
          <w:rFonts w:ascii="Times New Roman" w:hAnsi="Times New Roman" w:eastAsia="宋体"/>
          <w:b w:val="0"/>
          <w:i w:val="0"/>
          <w:sz w:val="24"/>
        </w:rPr>
        <w:t>本期为系统全量权限（业务方裁决 D17）；下表角色为典型使用角色，非权限分级。源文档另记录了按钮可见条件：新增付款与线下付款上传凭证由业务员执行，三级审批分别由业务部、风控部、财务部执行，查看对全部角色开放，此处照实列出，但不构成权限分级。</w:t>
      </w:r>
    </w:p>
    <w:p>
      <w:pPr>
        <w:spacing w:before="0" w:after="80" w:line="360" w:lineRule="auto"/>
      </w:pPr>
      <w:r>
        <w:rPr>
          <w:rFonts w:ascii="Times New Roman" w:hAnsi="Times New Roman" w:eastAsia="宋体"/>
          <w:b w:val="0"/>
          <w:i w:val="0"/>
          <w:sz w:val="24"/>
        </w:rPr>
        <w:t>数据可见性：按单据归属与业务筛选查看；手机号、统一社会信用代码等敏感字段默认打码，手动点击查看完整值且查看行为留痕。</w:t>
      </w:r>
    </w:p>
    <w:p>
      <w:pPr>
        <w:pStyle w:val="Heading3"/>
        <w:keepNext/>
        <w:spacing w:before="160" w:after="80" w:line="312" w:lineRule="auto"/>
        <w:ind w:firstLine="0"/>
      </w:pPr>
      <w:r>
        <w:rPr>
          <w:rFonts w:ascii="Times New Roman" w:hAnsi="Times New Roman" w:eastAsia="黑体"/>
          <w:b/>
          <w:i w:val="0"/>
          <w:sz w:val="24"/>
        </w:rPr>
        <w:t>4.11.7　业务流程与页面</w:t>
      </w:r>
    </w:p>
    <w:p>
      <w:pPr>
        <w:spacing w:before="120" w:after="60"/>
        <w:ind w:firstLine="0"/>
        <w:jc w:val="center"/>
      </w:pPr>
      <w:r>
        <w:drawing>
          <wp:inline xmlns:a="http://schemas.openxmlformats.org/drawingml/2006/main" xmlns:pic="http://schemas.openxmlformats.org/drawingml/2006/picture">
            <wp:extent cx="5616000" cy="1323310"/>
            <wp:docPr id="21" name="Picture 21"/>
            <wp:cNvGraphicFramePr>
              <a:graphicFrameLocks noChangeAspect="1"/>
            </wp:cNvGraphicFramePr>
            <a:graphic>
              <a:graphicData uri="http://schemas.openxmlformats.org/drawingml/2006/picture">
                <pic:pic>
                  <pic:nvPicPr>
                    <pic:cNvPr id="0" name="mermaid-payment.png"/>
                    <pic:cNvPicPr/>
                  </pic:nvPicPr>
                  <pic:blipFill>
                    <a:blip r:embed="rId31"/>
                    <a:stretch>
                      <a:fillRect/>
                    </a:stretch>
                  </pic:blipFill>
                  <pic:spPr>
                    <a:xfrm>
                      <a:off x="0" y="0"/>
                      <a:ext cx="5616000" cy="1323310"/>
                    </a:xfrm>
                    <a:prstGeom prst="rect"/>
                  </pic:spPr>
                </pic:pic>
              </a:graphicData>
            </a:graphic>
          </wp:inline>
        </w:drawing>
      </w:r>
    </w:p>
    <w:p>
      <w:pPr>
        <w:spacing w:before="0" w:after="200" w:line="240" w:lineRule="auto"/>
        <w:ind w:firstLine="0"/>
        <w:jc w:val="center"/>
      </w:pPr>
      <w:r>
        <w:rPr>
          <w:rFonts w:ascii="Times New Roman" w:hAnsi="Times New Roman" w:eastAsia="宋体"/>
          <w:b w:val="0"/>
          <w:i w:val="0"/>
          <w:sz w:val="21"/>
        </w:rPr>
        <w:t>图 4-11-1　付款管理 主业务流程</w:t>
      </w:r>
    </w:p>
    <w:p>
      <w:pPr>
        <w:spacing w:before="0" w:after="60" w:line="360" w:lineRule="auto"/>
      </w:pPr>
      <w:r>
        <w:rPr>
          <w:rFonts w:ascii="Times New Roman" w:hAnsi="Times New Roman" w:eastAsia="宋体"/>
          <w:b/>
          <w:i w:val="0"/>
          <w:sz w:val="24"/>
        </w:rPr>
        <w:t>主流程步骤：</w:t>
      </w:r>
    </w:p>
    <w:p>
      <w:pPr>
        <w:spacing w:before="0" w:after="60" w:line="336" w:lineRule="auto"/>
        <w:ind w:left="510" w:hanging="510"/>
      </w:pPr>
      <w:r>
        <w:rPr>
          <w:rFonts w:ascii="Times New Roman" w:hAnsi="Times New Roman" w:eastAsia="宋体"/>
          <w:b w:val="0"/>
          <w:i w:val="0"/>
          <w:sz w:val="24"/>
        </w:rPr>
        <w:t>1. 业务员新建付款申请，选择关联单据（合同、结算单等），登记付款类型、付款方、收款方与申请金额</w:t>
      </w:r>
    </w:p>
    <w:p>
      <w:pPr>
        <w:spacing w:before="0" w:after="60" w:line="336" w:lineRule="auto"/>
        <w:ind w:left="510" w:hanging="510"/>
      </w:pPr>
      <w:r>
        <w:rPr>
          <w:rFonts w:ascii="Times New Roman" w:hAnsi="Times New Roman" w:eastAsia="宋体"/>
          <w:b w:val="0"/>
          <w:i w:val="0"/>
          <w:sz w:val="24"/>
        </w:rPr>
        <w:t>2. 提交时系统自动执行 4 类前置校验（合同有效性、额度可用、回款足额、保证金足额），不通过即阻止提交</w:t>
      </w:r>
    </w:p>
    <w:p>
      <w:pPr>
        <w:spacing w:before="0" w:after="60" w:line="336" w:lineRule="auto"/>
        <w:ind w:left="510" w:hanging="510"/>
      </w:pPr>
      <w:r>
        <w:rPr>
          <w:rFonts w:ascii="Times New Roman" w:hAnsi="Times New Roman" w:eastAsia="宋体"/>
          <w:b w:val="0"/>
          <w:i w:val="0"/>
          <w:sz w:val="24"/>
        </w:rPr>
        <w:t>3. 校验通过后进入串行审批：业务部 → 风控部 → 财务部，任一节点驳回单据进入已驳回终态</w:t>
      </w:r>
    </w:p>
    <w:p>
      <w:pPr>
        <w:spacing w:before="0" w:after="60" w:line="336" w:lineRule="auto"/>
        <w:ind w:left="510" w:hanging="510"/>
      </w:pPr>
      <w:r>
        <w:rPr>
          <w:rFonts w:ascii="Times New Roman" w:hAnsi="Times New Roman" w:eastAsia="宋体"/>
          <w:b w:val="0"/>
          <w:i w:val="0"/>
          <w:sz w:val="24"/>
        </w:rPr>
        <w:t>4. 审批通过后付款单进入待线下付款，等待平台外完成实际资金支付</w:t>
      </w:r>
    </w:p>
    <w:p>
      <w:pPr>
        <w:spacing w:before="0" w:after="60" w:line="336" w:lineRule="auto"/>
        <w:ind w:left="510" w:hanging="510"/>
      </w:pPr>
      <w:r>
        <w:rPr>
          <w:rFonts w:ascii="Times New Roman" w:hAnsi="Times New Roman" w:eastAsia="宋体"/>
          <w:b w:val="0"/>
          <w:i w:val="0"/>
          <w:sz w:val="24"/>
        </w:rPr>
        <w:t>5. 业务人员在平台外以银行转账或票据完成支付，系统不执行任何扣款或打款动作</w:t>
      </w:r>
    </w:p>
    <w:p>
      <w:pPr>
        <w:spacing w:before="0" w:after="60" w:line="336" w:lineRule="auto"/>
        <w:ind w:left="510" w:hanging="510"/>
      </w:pPr>
      <w:r>
        <w:rPr>
          <w:rFonts w:ascii="Times New Roman" w:hAnsi="Times New Roman" w:eastAsia="宋体"/>
          <w:b w:val="0"/>
          <w:i w:val="0"/>
          <w:sz w:val="24"/>
        </w:rPr>
        <w:t>6. 业务人员回平台登记实际金额并上传付款凭证，凭证未上传不得置为已付款</w:t>
      </w:r>
    </w:p>
    <w:p>
      <w:pPr>
        <w:spacing w:before="0" w:after="60" w:line="336" w:lineRule="auto"/>
        <w:ind w:left="510" w:hanging="510"/>
      </w:pPr>
      <w:r>
        <w:rPr>
          <w:rFonts w:ascii="Times New Roman" w:hAnsi="Times New Roman" w:eastAsia="宋体"/>
          <w:b w:val="0"/>
          <w:i w:val="0"/>
          <w:sz w:val="24"/>
        </w:rPr>
        <w:t>7. 凭证登记完成后付款单进入终态已付款，同时写入付款历史变更记录</w:t>
      </w:r>
    </w:p>
    <w:p>
      <w:pPr>
        <w:spacing w:before="0" w:after="60" w:line="336" w:lineRule="auto"/>
        <w:ind w:left="510" w:hanging="510"/>
      </w:pPr>
      <w:r>
        <w:rPr>
          <w:rFonts w:ascii="Times New Roman" w:hAnsi="Times New Roman" w:eastAsia="宋体"/>
          <w:b w:val="0"/>
          <w:i w:val="0"/>
          <w:sz w:val="24"/>
        </w:rPr>
        <w:t>8. 付款结果回写业务线资金进度与合同付款进度，并可衔接发票上传环节</w:t>
      </w:r>
    </w:p>
    <w:p>
      <w:pPr>
        <w:spacing w:before="120" w:after="60" w:line="360" w:lineRule="auto"/>
      </w:pPr>
      <w:r>
        <w:rPr>
          <w:rFonts w:ascii="Times New Roman" w:hAnsi="Times New Roman" w:eastAsia="宋体"/>
          <w:b/>
          <w:i w:val="0"/>
          <w:sz w:val="24"/>
        </w:rPr>
        <w:t>异常分支：</w:t>
      </w:r>
    </w:p>
    <w:tbl>
      <w:tblPr>
        <w:tblStyle w:val="TableGrid"/>
        <w:tblW w:type="auto" w:w="0"/>
        <w:jc w:val="center"/>
        <w:tblLayout w:type="fixed"/>
        <w:tblLook w:firstColumn="1" w:firstRow="1" w:lastColumn="0" w:lastRow="0" w:noHBand="0" w:noVBand="1" w:val="04A0"/>
      </w:tblPr>
      <w:tblGrid>
        <w:gridCol w:w="4479"/>
        <w:gridCol w:w="4479"/>
      </w:tblGrid>
      <w:tr>
        <w:trPr>
          <w:tblHeader w:val="true"/>
        </w:trPr>
        <w:tc>
          <w:tcPr>
            <w:tcW w:type="dxa" w:w="2835"/>
            <w:shd w:val="clear" w:color="auto" w:fill="DCE6F1"/>
          </w:tcPr>
          <w:p>
            <w:pPr>
              <w:spacing w:before="40" w:after="40" w:line="276" w:lineRule="auto"/>
              <w:jc w:val="center"/>
            </w:pPr>
            <w:r/>
            <w:r>
              <w:rPr>
                <w:rFonts w:ascii="Times New Roman" w:hAnsi="Times New Roman" w:eastAsia="黑体"/>
                <w:b/>
                <w:i w:val="0"/>
                <w:sz w:val="21"/>
              </w:rPr>
              <w:t>异常场景</w:t>
            </w:r>
          </w:p>
        </w:tc>
        <w:tc>
          <w:tcPr>
            <w:tcW w:type="dxa" w:w="6236"/>
            <w:shd w:val="clear" w:color="auto" w:fill="DCE6F1"/>
          </w:tcPr>
          <w:p>
            <w:pPr>
              <w:spacing w:before="40" w:after="40" w:line="276" w:lineRule="auto"/>
              <w:jc w:val="center"/>
            </w:pPr>
            <w:r/>
            <w:r>
              <w:rPr>
                <w:rFonts w:ascii="Times New Roman" w:hAnsi="Times New Roman" w:eastAsia="黑体"/>
                <w:b/>
                <w:i w:val="0"/>
                <w:sz w:val="21"/>
              </w:rPr>
              <w:t>系统处理</w:t>
            </w:r>
          </w:p>
        </w:tc>
      </w:tr>
      <w:tr>
        <w:tc>
          <w:tcPr>
            <w:tcW w:type="dxa" w:w="2835"/>
          </w:tcPr>
          <w:p>
            <w:pPr>
              <w:spacing w:before="20" w:after="20" w:line="276" w:lineRule="auto"/>
              <w:ind w:firstLine="0"/>
            </w:pPr>
            <w:r/>
            <w:r>
              <w:rPr>
                <w:rFonts w:ascii="Times New Roman" w:hAnsi="Times New Roman" w:eastAsia="宋体"/>
                <w:b w:val="0"/>
                <w:i w:val="0"/>
                <w:sz w:val="21"/>
              </w:rPr>
              <w:t>关联合同已过期或已作废</w:t>
            </w:r>
          </w:p>
        </w:tc>
        <w:tc>
          <w:tcPr>
            <w:tcW w:type="dxa" w:w="6236"/>
          </w:tcPr>
          <w:p>
            <w:pPr>
              <w:spacing w:before="20" w:after="20" w:line="276" w:lineRule="auto"/>
              <w:ind w:firstLine="0"/>
            </w:pPr>
            <w:r/>
            <w:r>
              <w:rPr>
                <w:rFonts w:ascii="Times New Roman" w:hAnsi="Times New Roman" w:eastAsia="宋体"/>
                <w:b w:val="0"/>
                <w:i w:val="0"/>
                <w:sz w:val="21"/>
              </w:rPr>
              <w:t>前置校验结果置为不通过，提示「合同已过期/作废」，阻止提交</w:t>
            </w:r>
          </w:p>
        </w:tc>
      </w:tr>
      <w:tr>
        <w:tc>
          <w:tcPr>
            <w:tcW w:type="dxa" w:w="2835"/>
          </w:tcPr>
          <w:p>
            <w:pPr>
              <w:spacing w:before="20" w:after="20" w:line="276" w:lineRule="auto"/>
              <w:ind w:firstLine="0"/>
            </w:pPr>
            <w:r/>
            <w:r>
              <w:rPr>
                <w:rFonts w:ascii="Times New Roman" w:hAnsi="Times New Roman" w:eastAsia="宋体"/>
                <w:b w:val="0"/>
                <w:i w:val="0"/>
                <w:sz w:val="21"/>
              </w:rPr>
              <w:t>客户可用额度小于本次付款金额</w:t>
            </w:r>
          </w:p>
        </w:tc>
        <w:tc>
          <w:tcPr>
            <w:tcW w:type="dxa" w:w="6236"/>
          </w:tcPr>
          <w:p>
            <w:pPr>
              <w:spacing w:before="20" w:after="20" w:line="276" w:lineRule="auto"/>
              <w:ind w:firstLine="0"/>
            </w:pPr>
            <w:r/>
            <w:r>
              <w:rPr>
                <w:rFonts w:ascii="Times New Roman" w:hAnsi="Times New Roman" w:eastAsia="宋体"/>
                <w:b w:val="0"/>
                <w:i w:val="0"/>
                <w:sz w:val="21"/>
              </w:rPr>
              <w:t>前置校验结果置为不通过，提示「可用额度 X &lt; 付款金额 Y」，阻止提交</w:t>
            </w:r>
          </w:p>
        </w:tc>
      </w:tr>
      <w:tr>
        <w:tc>
          <w:tcPr>
            <w:tcW w:type="dxa" w:w="2835"/>
          </w:tcPr>
          <w:p>
            <w:pPr>
              <w:spacing w:before="20" w:after="20" w:line="276" w:lineRule="auto"/>
              <w:ind w:firstLine="0"/>
            </w:pPr>
            <w:r/>
            <w:r>
              <w:rPr>
                <w:rFonts w:ascii="Times New Roman" w:hAnsi="Times New Roman" w:eastAsia="宋体"/>
                <w:b w:val="0"/>
                <w:i w:val="0"/>
                <w:sz w:val="21"/>
              </w:rPr>
              <w:t>客户已回款金额或客户保证金金额不足</w:t>
            </w:r>
          </w:p>
        </w:tc>
        <w:tc>
          <w:tcPr>
            <w:tcW w:type="dxa" w:w="6236"/>
          </w:tcPr>
          <w:p>
            <w:pPr>
              <w:spacing w:before="20" w:after="20" w:line="276" w:lineRule="auto"/>
              <w:ind w:firstLine="0"/>
            </w:pPr>
            <w:r/>
            <w:r>
              <w:rPr>
                <w:rFonts w:ascii="Times New Roman" w:hAnsi="Times New Roman" w:eastAsia="宋体"/>
                <w:b w:val="0"/>
                <w:i w:val="0"/>
                <w:sz w:val="21"/>
              </w:rPr>
              <w:t>前置校验结果置为警告，分别提示「客户已回款 X &lt; 本次付款 Y」「客户保证金 X &lt; 应付 Y」，黄灯提醒但不阻止</w:t>
            </w:r>
          </w:p>
        </w:tc>
      </w:tr>
      <w:tr>
        <w:tc>
          <w:tcPr>
            <w:tcW w:type="dxa" w:w="2835"/>
          </w:tcPr>
          <w:p>
            <w:pPr>
              <w:spacing w:before="20" w:after="20" w:line="276" w:lineRule="auto"/>
              <w:ind w:firstLine="0"/>
            </w:pPr>
            <w:r/>
            <w:r>
              <w:rPr>
                <w:rFonts w:ascii="Times New Roman" w:hAnsi="Times New Roman" w:eastAsia="宋体"/>
                <w:b w:val="0"/>
                <w:i w:val="0"/>
                <w:sz w:val="21"/>
              </w:rPr>
              <w:t>线下付款后未上传凭证</w:t>
            </w:r>
          </w:p>
        </w:tc>
        <w:tc>
          <w:tcPr>
            <w:tcW w:type="dxa" w:w="6236"/>
          </w:tcPr>
          <w:p>
            <w:pPr>
              <w:spacing w:before="20" w:after="20" w:line="276" w:lineRule="auto"/>
              <w:ind w:firstLine="0"/>
            </w:pPr>
            <w:r/>
            <w:r>
              <w:rPr>
                <w:rFonts w:ascii="Times New Roman" w:hAnsi="Times New Roman" w:eastAsia="宋体"/>
                <w:b w:val="0"/>
                <w:i w:val="0"/>
                <w:sz w:val="21"/>
              </w:rPr>
              <w:t>提示「线下付款后必须上传凭证」，阻止单据进入已付款</w:t>
            </w:r>
          </w:p>
        </w:tc>
      </w:tr>
      <w:tr>
        <w:tc>
          <w:tcPr>
            <w:tcW w:type="dxa" w:w="2835"/>
          </w:tcPr>
          <w:p>
            <w:pPr>
              <w:spacing w:before="20" w:after="20" w:line="276" w:lineRule="auto"/>
              <w:ind w:firstLine="0"/>
            </w:pPr>
            <w:r/>
            <w:r>
              <w:rPr>
                <w:rFonts w:ascii="Times New Roman" w:hAnsi="Times New Roman" w:eastAsia="宋体"/>
                <w:b w:val="0"/>
                <w:i w:val="0"/>
                <w:sz w:val="21"/>
              </w:rPr>
              <w:t>登记的实际金额与申请金额不一致</w:t>
            </w:r>
          </w:p>
        </w:tc>
        <w:tc>
          <w:tcPr>
            <w:tcW w:type="dxa" w:w="6236"/>
          </w:tcPr>
          <w:p>
            <w:pPr>
              <w:spacing w:before="20" w:after="20" w:line="276" w:lineRule="auto"/>
              <w:ind w:firstLine="0"/>
            </w:pPr>
            <w:r/>
            <w:r>
              <w:rPr>
                <w:rFonts w:ascii="Times New Roman" w:hAnsi="Times New Roman" w:eastAsia="宋体"/>
                <w:b w:val="0"/>
                <w:i w:val="0"/>
                <w:sz w:val="21"/>
              </w:rPr>
              <w:t>黄灯提醒「实际金额 X ≠ 申请金额 Y」，保留申请金额与实际金额两个值，不自动改写申请金额</w:t>
            </w:r>
          </w:p>
        </w:tc>
      </w:tr>
      <w:tr>
        <w:tc>
          <w:tcPr>
            <w:tcW w:type="dxa" w:w="2835"/>
          </w:tcPr>
          <w:p>
            <w:pPr>
              <w:spacing w:before="20" w:after="20" w:line="276" w:lineRule="auto"/>
              <w:ind w:firstLine="0"/>
            </w:pPr>
            <w:r/>
            <w:r>
              <w:rPr>
                <w:rFonts w:ascii="Times New Roman" w:hAnsi="Times New Roman" w:eastAsia="宋体"/>
                <w:b w:val="0"/>
                <w:i w:val="0"/>
                <w:sz w:val="21"/>
              </w:rPr>
              <w:t>审批节点驳回</w:t>
            </w:r>
          </w:p>
        </w:tc>
        <w:tc>
          <w:tcPr>
            <w:tcW w:type="dxa" w:w="6236"/>
          </w:tcPr>
          <w:p>
            <w:pPr>
              <w:spacing w:before="20" w:after="20" w:line="276" w:lineRule="auto"/>
              <w:ind w:firstLine="0"/>
            </w:pPr>
            <w:r/>
            <w:r>
              <w:rPr>
                <w:rFonts w:ascii="Times New Roman" w:hAnsi="Times New Roman" w:eastAsia="宋体"/>
                <w:b w:val="0"/>
                <w:i w:val="0"/>
                <w:sz w:val="21"/>
              </w:rPr>
              <w:t>单据进入已驳回终态并记录审批意见；驳回后是否允许修改重新提交尚未定义</w:t>
            </w:r>
          </w:p>
        </w:tc>
      </w:tr>
    </w:tbl>
    <w:p>
      <w:pPr>
        <w:spacing w:before="0" w:after="0" w:line="240" w:lineRule="auto"/>
      </w:pPr>
    </w:p>
    <w:p>
      <w:pPr>
        <w:spacing w:before="120" w:after="60"/>
        <w:ind w:firstLine="0"/>
        <w:jc w:val="center"/>
      </w:pPr>
      <w:r>
        <w:drawing>
          <wp:inline xmlns:a="http://schemas.openxmlformats.org/drawingml/2006/main" xmlns:pic="http://schemas.openxmlformats.org/drawingml/2006/picture">
            <wp:extent cx="5616000" cy="3334500"/>
            <wp:docPr id="22" name="Picture 22"/>
            <wp:cNvGraphicFramePr>
              <a:graphicFrameLocks noChangeAspect="1"/>
            </wp:cNvGraphicFramePr>
            <a:graphic>
              <a:graphicData uri="http://schemas.openxmlformats.org/drawingml/2006/picture">
                <pic:pic>
                  <pic:nvPicPr>
                    <pic:cNvPr id="0" name="payment.png"/>
                    <pic:cNvPicPr/>
                  </pic:nvPicPr>
                  <pic:blipFill>
                    <a:blip r:embed="rId32"/>
                    <a:stretch>
                      <a:fillRect/>
                    </a:stretch>
                  </pic:blipFill>
                  <pic:spPr>
                    <a:xfrm>
                      <a:off x="0" y="0"/>
                      <a:ext cx="5616000" cy="3334500"/>
                    </a:xfrm>
                    <a:prstGeom prst="rect"/>
                  </pic:spPr>
                </pic:pic>
              </a:graphicData>
            </a:graphic>
          </wp:inline>
        </w:drawing>
      </w:r>
    </w:p>
    <w:p>
      <w:pPr>
        <w:spacing w:before="0" w:after="200" w:line="240" w:lineRule="auto"/>
        <w:ind w:firstLine="0"/>
        <w:jc w:val="center"/>
      </w:pPr>
      <w:r>
        <w:rPr>
          <w:rFonts w:ascii="Times New Roman" w:hAnsi="Times New Roman" w:eastAsia="宋体"/>
          <w:b w:val="0"/>
          <w:i w:val="0"/>
          <w:sz w:val="21"/>
        </w:rPr>
        <w:t>图 4-11-2　付款管理 原型页面</w:t>
      </w:r>
    </w:p>
    <w:p>
      <w:pPr>
        <w:spacing w:before="80" w:after="60" w:line="360" w:lineRule="auto"/>
      </w:pPr>
      <w:r>
        <w:rPr>
          <w:rFonts w:ascii="Times New Roman" w:hAnsi="Times New Roman" w:eastAsia="宋体"/>
          <w:b/>
          <w:i w:val="0"/>
          <w:sz w:val="24"/>
        </w:rPr>
        <w:t>页面级说明：</w:t>
      </w: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tblGrid>
      <w:tr>
        <w:trPr>
          <w:tblHeader w:val="true"/>
        </w:trPr>
        <w:tc>
          <w:tcPr>
            <w:tcW w:type="dxa" w:w="1178"/>
            <w:shd w:val="clear" w:color="auto" w:fill="DCE6F1"/>
          </w:tcPr>
          <w:p>
            <w:pPr>
              <w:spacing w:before="40" w:after="40" w:line="276" w:lineRule="auto"/>
              <w:jc w:val="center"/>
            </w:pPr>
            <w:r/>
            <w:r>
              <w:rPr>
                <w:rFonts w:ascii="Times New Roman" w:hAnsi="Times New Roman" w:eastAsia="黑体"/>
                <w:b/>
                <w:i w:val="0"/>
                <w:sz w:val="19"/>
              </w:rPr>
              <w:t>页面</w:t>
            </w:r>
          </w:p>
        </w:tc>
        <w:tc>
          <w:tcPr>
            <w:tcW w:type="dxa" w:w="1531"/>
            <w:shd w:val="clear" w:color="auto" w:fill="DCE6F1"/>
          </w:tcPr>
          <w:p>
            <w:pPr>
              <w:spacing w:before="40" w:after="40" w:line="276" w:lineRule="auto"/>
              <w:jc w:val="center"/>
            </w:pPr>
            <w:r/>
            <w:r>
              <w:rPr>
                <w:rFonts w:ascii="Times New Roman" w:hAnsi="Times New Roman" w:eastAsia="黑体"/>
                <w:b/>
                <w:i w:val="0"/>
                <w:sz w:val="19"/>
              </w:rPr>
              <w:t>原型文件</w:t>
            </w:r>
          </w:p>
        </w:tc>
        <w:tc>
          <w:tcPr>
            <w:tcW w:type="dxa" w:w="1119"/>
            <w:shd w:val="clear" w:color="auto" w:fill="DCE6F1"/>
          </w:tcPr>
          <w:p>
            <w:pPr>
              <w:spacing w:before="40" w:after="40" w:line="276" w:lineRule="auto"/>
              <w:jc w:val="center"/>
            </w:pPr>
            <w:r/>
            <w:r>
              <w:rPr>
                <w:rFonts w:ascii="Times New Roman" w:hAnsi="Times New Roman" w:eastAsia="黑体"/>
                <w:b/>
                <w:i w:val="0"/>
                <w:sz w:val="19"/>
              </w:rPr>
              <w:t>进入方式</w:t>
            </w:r>
          </w:p>
        </w:tc>
        <w:tc>
          <w:tcPr>
            <w:tcW w:type="dxa" w:w="2062"/>
            <w:shd w:val="clear" w:color="auto" w:fill="DCE6F1"/>
          </w:tcPr>
          <w:p>
            <w:pPr>
              <w:spacing w:before="40" w:after="40" w:line="276" w:lineRule="auto"/>
              <w:jc w:val="center"/>
            </w:pPr>
            <w:r/>
            <w:r>
              <w:rPr>
                <w:rFonts w:ascii="Times New Roman" w:hAnsi="Times New Roman" w:eastAsia="黑体"/>
                <w:b/>
                <w:i w:val="0"/>
                <w:sz w:val="19"/>
              </w:rPr>
              <w:t>关键区块</w:t>
            </w:r>
          </w:p>
        </w:tc>
        <w:tc>
          <w:tcPr>
            <w:tcW w:type="dxa" w:w="1767"/>
            <w:shd w:val="clear" w:color="auto" w:fill="DCE6F1"/>
          </w:tcPr>
          <w:p>
            <w:pPr>
              <w:spacing w:before="40" w:after="40" w:line="276" w:lineRule="auto"/>
              <w:jc w:val="center"/>
            </w:pPr>
            <w:r/>
            <w:r>
              <w:rPr>
                <w:rFonts w:ascii="Times New Roman" w:hAnsi="Times New Roman" w:eastAsia="黑体"/>
                <w:b/>
                <w:i w:val="0"/>
                <w:sz w:val="19"/>
              </w:rPr>
              <w:t>主要按钮与行为</w:t>
            </w:r>
          </w:p>
        </w:tc>
        <w:tc>
          <w:tcPr>
            <w:tcW w:type="dxa" w:w="1414"/>
            <w:shd w:val="clear" w:color="auto" w:fill="DCE6F1"/>
          </w:tcPr>
          <w:p>
            <w:pPr>
              <w:spacing w:before="40" w:after="40" w:line="276" w:lineRule="auto"/>
              <w:jc w:val="center"/>
            </w:pPr>
            <w:r/>
            <w:r>
              <w:rPr>
                <w:rFonts w:ascii="Times New Roman" w:hAnsi="Times New Roman" w:eastAsia="黑体"/>
                <w:b/>
                <w:i w:val="0"/>
                <w:sz w:val="19"/>
              </w:rPr>
              <w:t>跳转去向</w:t>
            </w:r>
          </w:p>
        </w:tc>
      </w:tr>
      <w:tr>
        <w:tc>
          <w:tcPr>
            <w:tcW w:type="dxa" w:w="1178"/>
          </w:tcPr>
          <w:p>
            <w:pPr>
              <w:spacing w:before="20" w:after="20" w:line="276" w:lineRule="auto"/>
              <w:ind w:firstLine="0"/>
            </w:pPr>
            <w:r/>
            <w:r>
              <w:rPr>
                <w:rFonts w:ascii="Times New Roman" w:hAnsi="Times New Roman" w:eastAsia="宋体"/>
                <w:b w:val="0"/>
                <w:i w:val="0"/>
                <w:sz w:val="19"/>
              </w:rPr>
              <w:t>付款列表</w:t>
            </w:r>
          </w:p>
        </w:tc>
        <w:tc>
          <w:tcPr>
            <w:tcW w:type="dxa" w:w="1531"/>
          </w:tcPr>
          <w:p>
            <w:pPr>
              <w:spacing w:before="20" w:after="20" w:line="276" w:lineRule="auto"/>
              <w:ind w:firstLine="0"/>
            </w:pPr>
            <w:r/>
            <w:r>
              <w:rPr>
                <w:rFonts w:ascii="Times New Roman" w:hAnsi="Times New Roman" w:eastAsia="宋体"/>
                <w:b w:val="0"/>
                <w:i w:val="0"/>
                <w:sz w:val="19"/>
              </w:rPr>
              <w:t>payment-list.html</w:t>
            </w:r>
          </w:p>
        </w:tc>
        <w:tc>
          <w:tcPr>
            <w:tcW w:type="dxa" w:w="1119"/>
          </w:tcPr>
          <w:p>
            <w:pPr>
              <w:spacing w:before="20" w:after="20" w:line="276" w:lineRule="auto"/>
              <w:ind w:firstLine="0"/>
            </w:pPr>
            <w:r/>
            <w:r>
              <w:rPr>
                <w:rFonts w:ascii="Times New Roman" w:hAnsi="Times New Roman" w:eastAsia="宋体"/>
                <w:b w:val="0"/>
                <w:i w:val="0"/>
                <w:sz w:val="19"/>
              </w:rPr>
              <w:t>数字供应链 / 资金管理 / 付款管理</w:t>
            </w:r>
          </w:p>
        </w:tc>
        <w:tc>
          <w:tcPr>
            <w:tcW w:type="dxa" w:w="2062"/>
          </w:tcPr>
          <w:p>
            <w:pPr>
              <w:spacing w:before="20" w:after="20" w:line="276" w:lineRule="auto"/>
              <w:ind w:firstLine="0"/>
            </w:pPr>
            <w:r/>
            <w:r>
              <w:rPr>
                <w:rFonts w:ascii="Times New Roman" w:hAnsi="Times New Roman" w:eastAsia="宋体"/>
                <w:b w:val="0"/>
                <w:i w:val="0"/>
                <w:sz w:val="19"/>
              </w:rPr>
              <w:t>状态页签（全部、待提交、审批中、已付款、驳回、无效）+ 筛选查询区 + 付款明细表格（合同编号、收款方、付款类型、资金来源、付款金额、付款日期、资金流水号、付款状态、操作）</w:t>
            </w:r>
          </w:p>
        </w:tc>
        <w:tc>
          <w:tcPr>
            <w:tcW w:type="dxa" w:w="1767"/>
          </w:tcPr>
          <w:p>
            <w:pPr>
              <w:spacing w:before="20" w:after="20" w:line="276" w:lineRule="auto"/>
              <w:ind w:firstLine="0"/>
            </w:pPr>
            <w:r/>
            <w:r>
              <w:rPr>
                <w:rFonts w:ascii="Times New Roman" w:hAnsi="Times New Roman" w:eastAsia="宋体"/>
                <w:b w:val="0"/>
                <w:i w:val="0"/>
                <w:sz w:val="19"/>
              </w:rPr>
              <w:t>查询 / 重置 / 清除全部筛选 / 数据导出（导出 Excel）/ 行内详情</w:t>
            </w:r>
          </w:p>
        </w:tc>
        <w:tc>
          <w:tcPr>
            <w:tcW w:type="dxa" w:w="1414"/>
          </w:tcPr>
          <w:p>
            <w:pPr>
              <w:spacing w:before="20" w:after="20" w:line="276" w:lineRule="auto"/>
              <w:ind w:firstLine="0"/>
            </w:pPr>
            <w:r/>
            <w:r>
              <w:rPr>
                <w:rFonts w:ascii="Times New Roman" w:hAnsi="Times New Roman" w:eastAsia="宋体"/>
                <w:b w:val="0"/>
                <w:i w:val="0"/>
                <w:sz w:val="19"/>
              </w:rPr>
              <w:t>行内详情跳转到付款详情页 payment-detail.html</w:t>
            </w:r>
          </w:p>
        </w:tc>
      </w:tr>
      <w:tr>
        <w:tc>
          <w:tcPr>
            <w:tcW w:type="dxa" w:w="1178"/>
          </w:tcPr>
          <w:p>
            <w:pPr>
              <w:spacing w:before="20" w:after="20" w:line="276" w:lineRule="auto"/>
              <w:ind w:firstLine="0"/>
            </w:pPr>
            <w:r/>
            <w:r>
              <w:rPr>
                <w:rFonts w:ascii="Times New Roman" w:hAnsi="Times New Roman" w:eastAsia="宋体"/>
                <w:b w:val="0"/>
                <w:i w:val="0"/>
                <w:sz w:val="19"/>
              </w:rPr>
              <w:t>新增付款</w:t>
            </w:r>
          </w:p>
        </w:tc>
        <w:tc>
          <w:tcPr>
            <w:tcW w:type="dxa" w:w="1531"/>
          </w:tcPr>
          <w:p>
            <w:pPr>
              <w:spacing w:before="20" w:after="20" w:line="276" w:lineRule="auto"/>
              <w:ind w:firstLine="0"/>
            </w:pPr>
            <w:r/>
            <w:r>
              <w:rPr>
                <w:rFonts w:ascii="Times New Roman" w:hAnsi="Times New Roman" w:eastAsia="宋体"/>
                <w:b w:val="0"/>
                <w:i w:val="0"/>
                <w:sz w:val="19"/>
              </w:rPr>
              <w:t>payment-new.html</w:t>
            </w:r>
          </w:p>
        </w:tc>
        <w:tc>
          <w:tcPr>
            <w:tcW w:type="dxa" w:w="1119"/>
          </w:tcPr>
          <w:p>
            <w:pPr>
              <w:spacing w:before="20" w:after="20" w:line="276" w:lineRule="auto"/>
              <w:ind w:firstLine="0"/>
            </w:pPr>
            <w:r/>
            <w:r>
              <w:rPr>
                <w:rFonts w:ascii="Times New Roman" w:hAnsi="Times New Roman" w:eastAsia="宋体"/>
                <w:b w:val="0"/>
                <w:i w:val="0"/>
                <w:sz w:val="19"/>
              </w:rPr>
              <w:t>付款列表右上「新增付款」</w:t>
            </w:r>
          </w:p>
        </w:tc>
        <w:tc>
          <w:tcPr>
            <w:tcW w:type="dxa" w:w="2062"/>
          </w:tcPr>
          <w:p>
            <w:pPr>
              <w:spacing w:before="20" w:after="20" w:line="276" w:lineRule="auto"/>
              <w:ind w:firstLine="0"/>
            </w:pPr>
            <w:r/>
            <w:r>
              <w:rPr>
                <w:rFonts w:ascii="Times New Roman" w:hAnsi="Times New Roman" w:eastAsia="宋体"/>
                <w:b w:val="0"/>
                <w:i w:val="0"/>
                <w:sz w:val="19"/>
              </w:rPr>
              <w:t>合同信息 / 选择业务线 / 基本信息 / 选择上游结算单 / 选择下游结算单 / 选择货物批次 / 附件信息</w:t>
            </w:r>
          </w:p>
        </w:tc>
        <w:tc>
          <w:tcPr>
            <w:tcW w:type="dxa" w:w="1767"/>
          </w:tcPr>
          <w:p>
            <w:pPr>
              <w:spacing w:before="20" w:after="20" w:line="276" w:lineRule="auto"/>
              <w:ind w:firstLine="0"/>
            </w:pPr>
            <w:r/>
            <w:r>
              <w:rPr>
                <w:rFonts w:ascii="Times New Roman" w:hAnsi="Times New Roman" w:eastAsia="宋体"/>
                <w:b w:val="0"/>
                <w:i w:val="0"/>
                <w:sz w:val="19"/>
              </w:rPr>
              <w:t>保存 / 提交 / 取消 / 上传 / 上传凭证</w:t>
            </w:r>
          </w:p>
        </w:tc>
        <w:tc>
          <w:tcPr>
            <w:tcW w:type="dxa" w:w="1414"/>
          </w:tcPr>
          <w:p>
            <w:pPr>
              <w:spacing w:before="20" w:after="20" w:line="276" w:lineRule="auto"/>
              <w:ind w:firstLine="0"/>
            </w:pPr>
            <w:r/>
            <w:r>
              <w:rPr>
                <w:rFonts w:ascii="Times New Roman" w:hAnsi="Times New Roman" w:eastAsia="宋体"/>
                <w:b w:val="0"/>
                <w:i w:val="0"/>
                <w:sz w:val="19"/>
              </w:rPr>
              <w:t>提交成功后回到付款列表，单据进入审批中状态</w:t>
            </w:r>
          </w:p>
        </w:tc>
      </w:tr>
      <w:tr>
        <w:tc>
          <w:tcPr>
            <w:tcW w:type="dxa" w:w="1178"/>
          </w:tcPr>
          <w:p>
            <w:pPr>
              <w:spacing w:before="20" w:after="20" w:line="276" w:lineRule="auto"/>
              <w:ind w:firstLine="0"/>
            </w:pPr>
            <w:r/>
            <w:r>
              <w:rPr>
                <w:rFonts w:ascii="Times New Roman" w:hAnsi="Times New Roman" w:eastAsia="宋体"/>
                <w:b w:val="0"/>
                <w:i w:val="0"/>
                <w:sz w:val="19"/>
              </w:rPr>
              <w:t>付款详情</w:t>
            </w:r>
          </w:p>
        </w:tc>
        <w:tc>
          <w:tcPr>
            <w:tcW w:type="dxa" w:w="1531"/>
          </w:tcPr>
          <w:p>
            <w:pPr>
              <w:spacing w:before="20" w:after="20" w:line="276" w:lineRule="auto"/>
              <w:ind w:firstLine="0"/>
            </w:pPr>
            <w:r/>
            <w:r>
              <w:rPr>
                <w:rFonts w:ascii="Times New Roman" w:hAnsi="Times New Roman" w:eastAsia="宋体"/>
                <w:b w:val="0"/>
                <w:i w:val="0"/>
                <w:sz w:val="19"/>
              </w:rPr>
              <w:t>payment-detail.html</w:t>
            </w:r>
          </w:p>
        </w:tc>
        <w:tc>
          <w:tcPr>
            <w:tcW w:type="dxa" w:w="1119"/>
          </w:tcPr>
          <w:p>
            <w:pPr>
              <w:spacing w:before="20" w:after="20" w:line="276" w:lineRule="auto"/>
              <w:ind w:firstLine="0"/>
            </w:pPr>
            <w:r/>
            <w:r>
              <w:rPr>
                <w:rFonts w:ascii="Times New Roman" w:hAnsi="Times New Roman" w:eastAsia="宋体"/>
                <w:b w:val="0"/>
                <w:i w:val="0"/>
                <w:sz w:val="19"/>
              </w:rPr>
              <w:t>付款列表行内「详情」</w:t>
            </w:r>
          </w:p>
        </w:tc>
        <w:tc>
          <w:tcPr>
            <w:tcW w:type="dxa" w:w="2062"/>
          </w:tcPr>
          <w:p>
            <w:pPr>
              <w:spacing w:before="20" w:after="20" w:line="276" w:lineRule="auto"/>
              <w:ind w:firstLine="0"/>
            </w:pPr>
            <w:r/>
            <w:r>
              <w:rPr>
                <w:rFonts w:ascii="Times New Roman" w:hAnsi="Times New Roman" w:eastAsia="宋体"/>
                <w:b w:val="0"/>
                <w:i w:val="0"/>
                <w:sz w:val="19"/>
              </w:rPr>
              <w:t>付款信息 / 货物批次 / 上游结算单 / 下游结算单 / 上游发票 / 下游发票 / 附件 / 操作记录</w:t>
            </w:r>
          </w:p>
        </w:tc>
        <w:tc>
          <w:tcPr>
            <w:tcW w:type="dxa" w:w="1767"/>
          </w:tcPr>
          <w:p>
            <w:pPr>
              <w:spacing w:before="20" w:after="20" w:line="276" w:lineRule="auto"/>
              <w:ind w:firstLine="0"/>
            </w:pPr>
            <w:r/>
            <w:r>
              <w:rPr>
                <w:rFonts w:ascii="Times New Roman" w:hAnsi="Times New Roman" w:eastAsia="宋体"/>
                <w:b w:val="0"/>
                <w:i w:val="0"/>
                <w:sz w:val="19"/>
              </w:rPr>
              <w:t>上传（凭证）/ 撤回申请 / 审批通过 / 驳回审批</w:t>
            </w:r>
          </w:p>
        </w:tc>
        <w:tc>
          <w:tcPr>
            <w:tcW w:type="dxa" w:w="1414"/>
          </w:tcPr>
          <w:p>
            <w:pPr>
              <w:spacing w:before="20" w:after="20" w:line="276" w:lineRule="auto"/>
              <w:ind w:firstLine="0"/>
            </w:pPr>
            <w:r/>
            <w:r>
              <w:rPr>
                <w:rFonts w:ascii="Times New Roman" w:hAnsi="Times New Roman" w:eastAsia="宋体"/>
                <w:b w:val="0"/>
                <w:i w:val="0"/>
                <w:sz w:val="19"/>
              </w:rPr>
              <w:t>关联区块可跳转到对应合同、结算单与发票单据</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4.11.8　验收标准与待确认项</w:t>
      </w:r>
    </w:p>
    <w:tbl>
      <w:tblPr>
        <w:tblStyle w:val="TableGrid"/>
        <w:tblW w:type="auto" w:w="0"/>
        <w:jc w:val="center"/>
        <w:tblLayout w:type="fixed"/>
        <w:tblLook w:firstColumn="1" w:firstRow="1" w:lastColumn="0" w:lastRow="0" w:noHBand="0" w:noVBand="1" w:val="04A0"/>
      </w:tblPr>
      <w:tblGrid>
        <w:gridCol w:w="4479"/>
        <w:gridCol w:w="4479"/>
      </w:tblGrid>
      <w:tr>
        <w:trPr>
          <w:tblHeader w:val="true"/>
        </w:trPr>
        <w:tc>
          <w:tcPr>
            <w:tcW w:type="dxa" w:w="1701"/>
            <w:shd w:val="clear" w:color="auto" w:fill="DCE6F1"/>
          </w:tcPr>
          <w:p>
            <w:pPr>
              <w:spacing w:before="40" w:after="40" w:line="276" w:lineRule="auto"/>
              <w:jc w:val="center"/>
            </w:pPr>
            <w:r/>
            <w:r>
              <w:rPr>
                <w:rFonts w:ascii="Times New Roman" w:hAnsi="Times New Roman" w:eastAsia="黑体"/>
                <w:b/>
                <w:i w:val="0"/>
                <w:sz w:val="21"/>
              </w:rPr>
              <w:t>功能</w:t>
            </w:r>
          </w:p>
        </w:tc>
        <w:tc>
          <w:tcPr>
            <w:tcW w:type="dxa" w:w="7370"/>
            <w:shd w:val="clear" w:color="auto" w:fill="DCE6F1"/>
          </w:tcPr>
          <w:p>
            <w:pPr>
              <w:spacing w:before="40" w:after="40" w:line="276" w:lineRule="auto"/>
              <w:jc w:val="center"/>
            </w:pPr>
            <w:r/>
            <w:r>
              <w:rPr>
                <w:rFonts w:ascii="Times New Roman" w:hAnsi="Times New Roman" w:eastAsia="黑体"/>
                <w:b/>
                <w:i w:val="0"/>
                <w:sz w:val="21"/>
              </w:rPr>
              <w:t>验收要点（由关键规则转写）</w:t>
            </w:r>
          </w:p>
        </w:tc>
      </w:tr>
      <w:tr>
        <w:tc>
          <w:tcPr>
            <w:tcW w:type="dxa" w:w="1701"/>
          </w:tcPr>
          <w:p>
            <w:pPr>
              <w:spacing w:before="20" w:after="20" w:line="276" w:lineRule="auto"/>
              <w:ind w:firstLine="0"/>
            </w:pPr>
            <w:r/>
            <w:r>
              <w:rPr>
                <w:rFonts w:ascii="Times New Roman" w:hAnsi="Times New Roman" w:eastAsia="宋体"/>
                <w:b w:val="0"/>
                <w:i w:val="0"/>
                <w:sz w:val="21"/>
              </w:rPr>
              <w:t>付款申请创建</w:t>
            </w:r>
          </w:p>
        </w:tc>
        <w:tc>
          <w:tcPr>
            <w:tcW w:type="dxa" w:w="7370"/>
          </w:tcPr>
          <w:p>
            <w:pPr>
              <w:spacing w:before="20" w:after="20" w:line="276" w:lineRule="auto"/>
              <w:ind w:firstLine="0"/>
            </w:pPr>
            <w:r/>
            <w:r>
              <w:rPr>
                <w:rFonts w:ascii="Times New Roman" w:hAnsi="Times New Roman" w:eastAsia="宋体"/>
                <w:b w:val="0"/>
                <w:i w:val="0"/>
                <w:sz w:val="21"/>
              </w:rPr>
              <w:t>关联单据类型限合同、订单、结算单、保证金，至少选择 1 个且为必填；付款类型限采购付款、费用付款、其他；付款方式限银行转账、票据、其他；申请金额、付款方、收款方均为必填</w:t>
            </w:r>
          </w:p>
        </w:tc>
      </w:tr>
      <w:tr>
        <w:tc>
          <w:tcPr>
            <w:tcW w:type="dxa" w:w="1701"/>
          </w:tcPr>
          <w:p>
            <w:pPr>
              <w:spacing w:before="20" w:after="20" w:line="276" w:lineRule="auto"/>
              <w:ind w:firstLine="0"/>
            </w:pPr>
            <w:r/>
            <w:r>
              <w:rPr>
                <w:rFonts w:ascii="Times New Roman" w:hAnsi="Times New Roman" w:eastAsia="宋体"/>
                <w:b w:val="0"/>
                <w:i w:val="0"/>
                <w:sz w:val="21"/>
              </w:rPr>
              <w:t>付款前置校验</w:t>
            </w:r>
          </w:p>
        </w:tc>
        <w:tc>
          <w:tcPr>
            <w:tcW w:type="dxa" w:w="7370"/>
          </w:tcPr>
          <w:p>
            <w:pPr>
              <w:spacing w:before="20" w:after="20" w:line="276" w:lineRule="auto"/>
              <w:ind w:firstLine="0"/>
            </w:pPr>
            <w:r/>
            <w:r>
              <w:rPr>
                <w:rFonts w:ascii="Times New Roman" w:hAnsi="Times New Roman" w:eastAsia="宋体"/>
                <w:b w:val="0"/>
                <w:i w:val="0"/>
                <w:sz w:val="21"/>
              </w:rPr>
              <w:t>校验类型固定 4 类：合同有效性、额度可用、回款足额、保证金足额；合同已过期或作废、可用额度小于付款金额，结果为不通过并阻止提交；客户已回款小于本次付款、客户保证金小于应付，结果为警告，仅黄灯提醒不阻止；任一校验不通过即阻止付款</w:t>
            </w:r>
          </w:p>
        </w:tc>
      </w:tr>
      <w:tr>
        <w:tc>
          <w:tcPr>
            <w:tcW w:type="dxa" w:w="1701"/>
          </w:tcPr>
          <w:p>
            <w:pPr>
              <w:spacing w:before="20" w:after="20" w:line="276" w:lineRule="auto"/>
              <w:ind w:firstLine="0"/>
            </w:pPr>
            <w:r/>
            <w:r>
              <w:rPr>
                <w:rFonts w:ascii="Times New Roman" w:hAnsi="Times New Roman" w:eastAsia="宋体"/>
                <w:b w:val="0"/>
                <w:i w:val="0"/>
                <w:sz w:val="21"/>
              </w:rPr>
              <w:t>串行三级审批</w:t>
            </w:r>
          </w:p>
        </w:tc>
        <w:tc>
          <w:tcPr>
            <w:tcW w:type="dxa" w:w="7370"/>
          </w:tcPr>
          <w:p>
            <w:pPr>
              <w:spacing w:before="20" w:after="20" w:line="276" w:lineRule="auto"/>
              <w:ind w:firstLine="0"/>
            </w:pPr>
            <w:r/>
            <w:r>
              <w:rPr>
                <w:rFonts w:ascii="Times New Roman" w:hAnsi="Times New Roman" w:eastAsia="宋体"/>
                <w:b w:val="0"/>
                <w:i w:val="0"/>
                <w:sz w:val="21"/>
              </w:rPr>
              <w:t>三级依次审核，任一节点驳回单据立即进入已驳回终态；每次审批留存节点序号、审批人、审批意见、决策时间</w:t>
            </w:r>
          </w:p>
        </w:tc>
      </w:tr>
      <w:tr>
        <w:tc>
          <w:tcPr>
            <w:tcW w:type="dxa" w:w="1701"/>
          </w:tcPr>
          <w:p>
            <w:pPr>
              <w:spacing w:before="20" w:after="20" w:line="276" w:lineRule="auto"/>
              <w:ind w:firstLine="0"/>
            </w:pPr>
            <w:r/>
            <w:r>
              <w:rPr>
                <w:rFonts w:ascii="Times New Roman" w:hAnsi="Times New Roman" w:eastAsia="宋体"/>
                <w:b w:val="0"/>
                <w:i w:val="0"/>
                <w:sz w:val="21"/>
              </w:rPr>
              <w:t>线下付款与凭证登记</w:t>
            </w:r>
          </w:p>
        </w:tc>
        <w:tc>
          <w:tcPr>
            <w:tcW w:type="dxa" w:w="7370"/>
          </w:tcPr>
          <w:p>
            <w:pPr>
              <w:spacing w:before="20" w:after="20" w:line="276" w:lineRule="auto"/>
              <w:ind w:firstLine="0"/>
            </w:pPr>
            <w:r/>
            <w:r>
              <w:rPr>
                <w:rFonts w:ascii="Times New Roman" w:hAnsi="Times New Roman" w:eastAsia="宋体"/>
                <w:b w:val="0"/>
                <w:i w:val="0"/>
                <w:sz w:val="21"/>
              </w:rPr>
              <w:t>付款凭证为图片或 PDF，线下付款后必填；未上传凭证不得将单据置为已付款；登记的实际金额与申请金额不一致时提示「实际金额 X ≠ 申请金额 Y」，保留两个金额不自动改写</w:t>
            </w:r>
          </w:p>
        </w:tc>
      </w:tr>
      <w:tr>
        <w:tc>
          <w:tcPr>
            <w:tcW w:type="dxa" w:w="1701"/>
          </w:tcPr>
          <w:p>
            <w:pPr>
              <w:spacing w:before="20" w:after="20" w:line="276" w:lineRule="auto"/>
              <w:ind w:firstLine="0"/>
            </w:pPr>
            <w:r/>
            <w:r>
              <w:rPr>
                <w:rFonts w:ascii="Times New Roman" w:hAnsi="Times New Roman" w:eastAsia="宋体"/>
                <w:b w:val="0"/>
                <w:i w:val="0"/>
                <w:sz w:val="21"/>
              </w:rPr>
              <w:t>付款单状态流转</w:t>
            </w:r>
          </w:p>
        </w:tc>
        <w:tc>
          <w:tcPr>
            <w:tcW w:type="dxa" w:w="7370"/>
          </w:tcPr>
          <w:p>
            <w:pPr>
              <w:spacing w:before="20" w:after="20" w:line="276" w:lineRule="auto"/>
              <w:ind w:firstLine="0"/>
            </w:pPr>
            <w:r/>
            <w:r>
              <w:rPr>
                <w:rFonts w:ascii="Times New Roman" w:hAnsi="Times New Roman" w:eastAsia="宋体"/>
                <w:b w:val="0"/>
                <w:i w:val="0"/>
                <w:sz w:val="21"/>
              </w:rPr>
              <w:t>审批通过后为待线下付款，凭证登记完成后为已付款（终态）；任一审批节点驳回为已驳回（终态）；平台不执行线上扣款与打款，不存在扣款失败、补足余额、账户异常等分支</w:t>
            </w:r>
          </w:p>
        </w:tc>
      </w:tr>
      <w:tr>
        <w:tc>
          <w:tcPr>
            <w:tcW w:type="dxa" w:w="1701"/>
          </w:tcPr>
          <w:p>
            <w:pPr>
              <w:spacing w:before="20" w:after="20" w:line="276" w:lineRule="auto"/>
              <w:ind w:firstLine="0"/>
            </w:pPr>
            <w:r/>
            <w:r>
              <w:rPr>
                <w:rFonts w:ascii="Times New Roman" w:hAnsi="Times New Roman" w:eastAsia="宋体"/>
                <w:b w:val="0"/>
                <w:i w:val="0"/>
                <w:sz w:val="21"/>
              </w:rPr>
              <w:t>付款变更留痕</w:t>
            </w:r>
          </w:p>
        </w:tc>
        <w:tc>
          <w:tcPr>
            <w:tcW w:type="dxa" w:w="7370"/>
          </w:tcPr>
          <w:p>
            <w:pPr>
              <w:spacing w:before="20" w:after="20" w:line="276" w:lineRule="auto"/>
              <w:ind w:firstLine="0"/>
            </w:pPr>
            <w:r/>
            <w:r>
              <w:rPr>
                <w:rFonts w:ascii="Times New Roman" w:hAnsi="Times New Roman" w:eastAsia="宋体"/>
                <w:b w:val="0"/>
                <w:i w:val="0"/>
                <w:sz w:val="21"/>
              </w:rPr>
              <w:t>提交、审批通过、审批驳回、凭证登记完成各写入 1 条变更记录，含操作人与操作时间</w:t>
            </w:r>
          </w:p>
        </w:tc>
      </w:tr>
      <w:tr>
        <w:tc>
          <w:tcPr>
            <w:tcW w:type="dxa" w:w="1701"/>
          </w:tcPr>
          <w:p>
            <w:pPr>
              <w:spacing w:before="20" w:after="20" w:line="276" w:lineRule="auto"/>
              <w:ind w:firstLine="0"/>
            </w:pPr>
            <w:r/>
            <w:r>
              <w:rPr>
                <w:rFonts w:ascii="Times New Roman" w:hAnsi="Times New Roman" w:eastAsia="宋体"/>
                <w:b w:val="0"/>
                <w:i w:val="0"/>
                <w:sz w:val="21"/>
              </w:rPr>
              <w:t>付款列表查询与导出</w:t>
            </w:r>
          </w:p>
        </w:tc>
        <w:tc>
          <w:tcPr>
            <w:tcW w:type="dxa" w:w="7370"/>
          </w:tcPr>
          <w:p>
            <w:pPr>
              <w:spacing w:before="20" w:after="20" w:line="276" w:lineRule="auto"/>
              <w:ind w:firstLine="0"/>
            </w:pPr>
            <w:r/>
            <w:r>
              <w:rPr>
                <w:rFonts w:ascii="Times New Roman" w:hAnsi="Times New Roman" w:eastAsia="宋体"/>
                <w:b w:val="0"/>
                <w:i w:val="0"/>
                <w:sz w:val="21"/>
              </w:rPr>
              <w:t>页签为全部、待提交、审批中、已付款、驳回、无效，计数按数据实时统计；列表展示合同编号、收款方、付款类型、资金来源、付款金额、付款日期、资金流水号、付款状态；导出为 Excel</w:t>
            </w:r>
          </w:p>
        </w:tc>
      </w:tr>
      <w:tr>
        <w:tc>
          <w:tcPr>
            <w:tcW w:type="dxa" w:w="1701"/>
          </w:tcPr>
          <w:p>
            <w:pPr>
              <w:spacing w:before="20" w:after="20" w:line="276" w:lineRule="auto"/>
              <w:ind w:firstLine="0"/>
            </w:pPr>
            <w:r/>
            <w:r>
              <w:rPr>
                <w:rFonts w:ascii="Times New Roman" w:hAnsi="Times New Roman" w:eastAsia="宋体"/>
                <w:b w:val="0"/>
                <w:i w:val="0"/>
                <w:sz w:val="21"/>
              </w:rPr>
              <w:t>付款与下游联动</w:t>
            </w:r>
          </w:p>
        </w:tc>
        <w:tc>
          <w:tcPr>
            <w:tcW w:type="dxa" w:w="7370"/>
          </w:tcPr>
          <w:p>
            <w:pPr>
              <w:spacing w:before="20" w:after="20" w:line="276" w:lineRule="auto"/>
              <w:ind w:firstLine="0"/>
            </w:pPr>
            <w:r/>
            <w:r>
              <w:rPr>
                <w:rFonts w:ascii="Times New Roman" w:hAnsi="Times New Roman" w:eastAsia="宋体"/>
                <w:b w:val="0"/>
                <w:i w:val="0"/>
                <w:sz w:val="21"/>
              </w:rPr>
              <w:t>付款完成后更新对应合同的付款进度与业务线资金进度；付款完成可触发发票上传环节</w:t>
            </w:r>
          </w:p>
        </w:tc>
      </w:tr>
      <w:tr>
        <w:tc>
          <w:tcPr>
            <w:tcW w:type="dxa" w:w="1701"/>
          </w:tcPr>
          <w:p>
            <w:pPr>
              <w:spacing w:before="20" w:after="20" w:line="276" w:lineRule="auto"/>
              <w:ind w:firstLine="0"/>
            </w:pPr>
            <w:r/>
            <w:r>
              <w:rPr>
                <w:rFonts w:ascii="Times New Roman" w:hAnsi="Times New Roman" w:eastAsia="宋体"/>
                <w:b w:val="0"/>
                <w:i w:val="0"/>
                <w:sz w:val="21"/>
              </w:rPr>
              <w:t>附件与敏感字段处理</w:t>
            </w:r>
          </w:p>
        </w:tc>
        <w:tc>
          <w:tcPr>
            <w:tcW w:type="dxa" w:w="7370"/>
          </w:tcPr>
          <w:p>
            <w:pPr>
              <w:spacing w:before="20" w:after="20" w:line="276" w:lineRule="auto"/>
              <w:ind w:firstLine="0"/>
            </w:pPr>
            <w:r/>
            <w:r>
              <w:rPr>
                <w:rFonts w:ascii="Times New Roman" w:hAnsi="Times New Roman" w:eastAsia="宋体"/>
                <w:b w:val="0"/>
                <w:i w:val="0"/>
                <w:sz w:val="21"/>
              </w:rPr>
              <w:t>付款凭证接受图片与 PDF；银行账号等敏感字段按隐私脱敏规范展示；实际金额与凭证是资金登记的必留项，缺失即不得完成登记</w:t>
            </w:r>
          </w:p>
        </w:tc>
      </w:tr>
    </w:tbl>
    <w:p>
      <w:pPr>
        <w:spacing w:before="0" w:after="0" w:line="240" w:lineRule="auto"/>
      </w:pPr>
    </w:p>
    <w:p>
      <w:pPr>
        <w:spacing w:before="120" w:after="60" w:line="360" w:lineRule="auto"/>
      </w:pPr>
      <w:r>
        <w:rPr>
          <w:rFonts w:ascii="Times New Roman" w:hAnsi="Times New Roman" w:eastAsia="宋体"/>
          <w:b/>
          <w:i w:val="0"/>
          <w:sz w:val="24"/>
        </w:rPr>
        <w:t>待业务方确认：</w:t>
      </w:r>
    </w:p>
    <w:p>
      <w:pPr>
        <w:spacing w:before="0" w:after="60" w:line="336" w:lineRule="auto"/>
        <w:ind w:left="340" w:firstLine="0"/>
      </w:pPr>
      <w:r>
        <w:rPr>
          <w:rFonts w:ascii="Times New Roman" w:hAnsi="Times New Roman" w:eastAsia="宋体"/>
          <w:b w:val="0"/>
          <w:i w:val="0"/>
          <w:sz w:val="24"/>
        </w:rPr>
        <w:t>· 待业务方确认：付款终态口径——资金管理模块 2026-10-08 业务方裁决 D3 规定平台仅作登记方、终态为「已付款」并删除「已确认」，但同一文档的线下资金流转章节与流程图仍保留「发起方打款 → 上传凭证 → 收款方系统内确认 → 不存在线上扣款」四步表述与「已确认」终态，两套口径需统一。</w:t>
      </w:r>
    </w:p>
    <w:p>
      <w:pPr>
        <w:spacing w:before="0" w:after="60" w:line="336" w:lineRule="auto"/>
        <w:ind w:left="340" w:firstLine="0"/>
      </w:pPr>
      <w:r>
        <w:rPr>
          <w:rFonts w:ascii="Times New Roman" w:hAnsi="Times New Roman" w:eastAsia="宋体"/>
          <w:b w:val="0"/>
          <w:i w:val="0"/>
          <w:sz w:val="24"/>
        </w:rPr>
        <w:t>· 待业务方确认：付款单状态字段的枚举值未定义，仅有待线下付款、已付款、已驳回、已确认四个中文标签；且「实际金额 ≠ 申请金额 → 状态变为 warning」与「黄灯提醒但不改变状态」两种表述并存。</w:t>
      </w:r>
    </w:p>
    <w:p>
      <w:pPr>
        <w:spacing w:before="0" w:after="60" w:line="336" w:lineRule="auto"/>
        <w:ind w:left="340" w:firstLine="0"/>
      </w:pPr>
      <w:r>
        <w:rPr>
          <w:rFonts w:ascii="Times New Roman" w:hAnsi="Times New Roman" w:eastAsia="宋体"/>
          <w:b w:val="0"/>
          <w:i w:val="0"/>
          <w:sz w:val="24"/>
        </w:rPr>
        <w:t>· 待业务方确认：客户额度模块整体删除后，付款前置校验中「额度可用」的取数口径。</w:t>
      </w:r>
    </w:p>
    <w:p>
      <w:pPr>
        <w:spacing w:before="0" w:after="60" w:line="336" w:lineRule="auto"/>
        <w:ind w:left="340" w:firstLine="0"/>
      </w:pPr>
      <w:r>
        <w:rPr>
          <w:rFonts w:ascii="Times New Roman" w:hAnsi="Times New Roman" w:eastAsia="宋体"/>
          <w:b w:val="0"/>
          <w:i w:val="0"/>
          <w:sz w:val="24"/>
        </w:rPr>
        <w:t>· 待业务方确认：付款申请单号的编号前缀、日期段与流水位数。</w:t>
      </w:r>
    </w:p>
    <w:p>
      <w:pPr>
        <w:spacing w:before="0" w:after="60" w:line="336" w:lineRule="auto"/>
        <w:ind w:left="340" w:firstLine="0"/>
      </w:pPr>
      <w:r>
        <w:rPr>
          <w:rFonts w:ascii="Times New Roman" w:hAnsi="Times New Roman" w:eastAsia="宋体"/>
          <w:b w:val="0"/>
          <w:i w:val="0"/>
          <w:sz w:val="24"/>
        </w:rPr>
        <w:t>· 待业务方确认：审批 SLA 时长与超时后的动作，以及同一节点多人并发审批的抢占规则。</w:t>
      </w:r>
    </w:p>
    <w:p>
      <w:pPr>
        <w:spacing w:before="0" w:after="60" w:line="336" w:lineRule="auto"/>
        <w:ind w:left="340" w:firstLine="0"/>
      </w:pPr>
      <w:r>
        <w:rPr>
          <w:rFonts w:ascii="Times New Roman" w:hAnsi="Times New Roman" w:eastAsia="宋体"/>
          <w:b w:val="0"/>
          <w:i w:val="0"/>
          <w:sz w:val="24"/>
        </w:rPr>
        <w:t>· 待业务方确认：业务员能否查看他人创建的付款单，即数据维度的可见性范围。</w:t>
      </w:r>
    </w:p>
    <w:p>
      <w:r>
        <w:br w:type="page"/>
      </w:r>
    </w:p>
    <w:p>
      <w:pPr>
        <w:pStyle w:val="Heading2"/>
        <w:keepNext/>
        <w:spacing w:before="240" w:after="120" w:line="312" w:lineRule="auto"/>
        <w:ind w:firstLine="0"/>
      </w:pPr>
      <w:r>
        <w:rPr>
          <w:rFonts w:ascii="Times New Roman" w:hAnsi="Times New Roman" w:eastAsia="黑体"/>
          <w:b/>
          <w:i w:val="0"/>
          <w:sz w:val="28"/>
        </w:rPr>
        <w:t>4.12　退款管理</w:t>
      </w:r>
    </w:p>
    <w:p>
      <w:pPr>
        <w:spacing w:before="0" w:after="160" w:line="360" w:lineRule="auto"/>
      </w:pPr>
      <w:r>
        <w:rPr>
          <w:rFonts w:ascii="Times New Roman" w:hAnsi="Times New Roman" w:eastAsia="宋体"/>
          <w:b w:val="0"/>
          <w:i w:val="0"/>
          <w:color w:val="595959"/>
          <w:sz w:val="21"/>
        </w:rPr>
        <w:t>菜单路径：数字供应链 / 资金管理 / 退款管理</w:t>
      </w:r>
    </w:p>
    <w:p>
      <w:pPr>
        <w:pStyle w:val="Heading3"/>
        <w:keepNext/>
        <w:spacing w:before="160" w:after="80" w:line="312" w:lineRule="auto"/>
        <w:ind w:firstLine="0"/>
      </w:pPr>
      <w:r>
        <w:rPr>
          <w:rFonts w:ascii="Times New Roman" w:hAnsi="Times New Roman" w:eastAsia="黑体"/>
          <w:b/>
          <w:i w:val="0"/>
          <w:sz w:val="24"/>
        </w:rPr>
        <w:t>4.12.1　一页结论</w:t>
      </w:r>
    </w:p>
    <w:p>
      <w:pPr>
        <w:spacing w:before="0" w:after="120" w:line="360" w:lineRule="auto"/>
      </w:pPr>
      <w:r>
        <w:rPr>
          <w:rFonts w:ascii="Times New Roman" w:hAnsi="Times New Roman" w:eastAsia="宋体"/>
          <w:b w:val="0"/>
          <w:i w:val="0"/>
          <w:sz w:val="24"/>
        </w:rPr>
        <w:t>针对已登记的付款单发起退款，把退款金额、原因与线下退款凭证沉淀成单据，支撑退款审批与台账核对。</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928"/>
            <w:shd w:val="clear" w:color="auto" w:fill="DCE6F1"/>
          </w:tcPr>
          <w:p>
            <w:pPr>
              <w:spacing w:before="40" w:after="40" w:line="276" w:lineRule="auto"/>
              <w:jc w:val="center"/>
            </w:pPr>
            <w:r/>
            <w:r>
              <w:rPr>
                <w:rFonts w:ascii="Times New Roman" w:hAnsi="Times New Roman" w:eastAsia="黑体"/>
                <w:b/>
                <w:i w:val="0"/>
                <w:sz w:val="21"/>
              </w:rPr>
              <w:t>问题</w:t>
            </w:r>
          </w:p>
        </w:tc>
        <w:tc>
          <w:tcPr>
            <w:tcW w:type="dxa" w:w="3572"/>
            <w:shd w:val="clear" w:color="auto" w:fill="DCE6F1"/>
          </w:tcPr>
          <w:p>
            <w:pPr>
              <w:spacing w:before="40" w:after="40" w:line="276" w:lineRule="auto"/>
              <w:jc w:val="center"/>
            </w:pPr>
            <w:r/>
            <w:r>
              <w:rPr>
                <w:rFonts w:ascii="Times New Roman" w:hAnsi="Times New Roman" w:eastAsia="黑体"/>
                <w:b/>
                <w:i w:val="0"/>
                <w:sz w:val="21"/>
              </w:rPr>
              <w:t>当前做法</w:t>
            </w:r>
          </w:p>
        </w:tc>
        <w:tc>
          <w:tcPr>
            <w:tcW w:type="dxa" w:w="3572"/>
            <w:shd w:val="clear" w:color="auto" w:fill="DCE6F1"/>
          </w:tcPr>
          <w:p>
            <w:pPr>
              <w:spacing w:before="40" w:after="40" w:line="276" w:lineRule="auto"/>
              <w:jc w:val="center"/>
            </w:pPr>
            <w:r/>
            <w:r>
              <w:rPr>
                <w:rFonts w:ascii="Times New Roman" w:hAnsi="Times New Roman" w:eastAsia="黑体"/>
                <w:b/>
                <w:i w:val="0"/>
                <w:sz w:val="21"/>
              </w:rPr>
              <w:t>本模块解法</w:t>
            </w:r>
          </w:p>
        </w:tc>
      </w:tr>
      <w:tr>
        <w:tc>
          <w:tcPr>
            <w:tcW w:type="dxa" w:w="1928"/>
          </w:tcPr>
          <w:p>
            <w:pPr>
              <w:spacing w:before="20" w:after="20" w:line="276" w:lineRule="auto"/>
              <w:ind w:firstLine="0"/>
            </w:pPr>
            <w:r/>
            <w:r>
              <w:rPr>
                <w:rFonts w:ascii="Times New Roman" w:hAnsi="Times New Roman" w:eastAsia="宋体"/>
                <w:b w:val="0"/>
                <w:i w:val="0"/>
                <w:sz w:val="21"/>
              </w:rPr>
              <w:t>退款缺少与原付款的对应关系</w:t>
            </w:r>
          </w:p>
        </w:tc>
        <w:tc>
          <w:tcPr>
            <w:tcW w:type="dxa" w:w="3572"/>
          </w:tcPr>
          <w:p>
            <w:pPr>
              <w:spacing w:before="20" w:after="20" w:line="276" w:lineRule="auto"/>
              <w:ind w:firstLine="0"/>
            </w:pPr>
            <w:r/>
            <w:r>
              <w:rPr>
                <w:rFonts w:ascii="Times New Roman" w:hAnsi="Times New Roman" w:eastAsia="宋体"/>
                <w:b w:val="0"/>
                <w:i w:val="0"/>
                <w:sz w:val="21"/>
              </w:rPr>
              <w:t>线下退款靠人工记录原单号，退款台账与付款台账对不上</w:t>
            </w:r>
          </w:p>
        </w:tc>
        <w:tc>
          <w:tcPr>
            <w:tcW w:type="dxa" w:w="3572"/>
          </w:tcPr>
          <w:p>
            <w:pPr>
              <w:spacing w:before="20" w:after="20" w:line="276" w:lineRule="auto"/>
              <w:ind w:firstLine="0"/>
            </w:pPr>
            <w:r/>
            <w:r>
              <w:rPr>
                <w:rFonts w:ascii="Times New Roman" w:hAnsi="Times New Roman" w:eastAsia="宋体"/>
                <w:b w:val="0"/>
                <w:i w:val="0"/>
                <w:sz w:val="21"/>
              </w:rPr>
              <w:t>退款申请必须关联原付款单，退款金额与原付款金额在系统中直接可比对</w:t>
            </w:r>
          </w:p>
        </w:tc>
      </w:tr>
      <w:tr>
        <w:tc>
          <w:tcPr>
            <w:tcW w:type="dxa" w:w="1928"/>
          </w:tcPr>
          <w:p>
            <w:pPr>
              <w:spacing w:before="20" w:after="20" w:line="276" w:lineRule="auto"/>
              <w:ind w:firstLine="0"/>
            </w:pPr>
            <w:r/>
            <w:r>
              <w:rPr>
                <w:rFonts w:ascii="Times New Roman" w:hAnsi="Times New Roman" w:eastAsia="宋体"/>
                <w:b w:val="0"/>
                <w:i w:val="0"/>
                <w:sz w:val="21"/>
              </w:rPr>
              <w:t>退款金额可能超出原付款金额</w:t>
            </w:r>
          </w:p>
        </w:tc>
        <w:tc>
          <w:tcPr>
            <w:tcW w:type="dxa" w:w="3572"/>
          </w:tcPr>
          <w:p>
            <w:pPr>
              <w:spacing w:before="20" w:after="20" w:line="276" w:lineRule="auto"/>
              <w:ind w:firstLine="0"/>
            </w:pPr>
            <w:r/>
            <w:r>
              <w:rPr>
                <w:rFonts w:ascii="Times New Roman" w:hAnsi="Times New Roman" w:eastAsia="宋体"/>
                <w:b w:val="0"/>
                <w:i w:val="0"/>
                <w:sz w:val="21"/>
              </w:rPr>
              <w:t>线下退款由业务口头约定，超额情况事后才发现</w:t>
            </w:r>
          </w:p>
        </w:tc>
        <w:tc>
          <w:tcPr>
            <w:tcW w:type="dxa" w:w="3572"/>
          </w:tcPr>
          <w:p>
            <w:pPr>
              <w:spacing w:before="20" w:after="20" w:line="276" w:lineRule="auto"/>
              <w:ind w:firstLine="0"/>
            </w:pPr>
            <w:r/>
            <w:r>
              <w:rPr>
                <w:rFonts w:ascii="Times New Roman" w:hAnsi="Times New Roman" w:eastAsia="宋体"/>
                <w:b w:val="0"/>
                <w:i w:val="0"/>
                <w:sz w:val="21"/>
              </w:rPr>
              <w:t>系统按原付款金额做上限校验，超额直接阻止提交并提示具体差额</w:t>
            </w:r>
          </w:p>
        </w:tc>
      </w:tr>
      <w:tr>
        <w:tc>
          <w:tcPr>
            <w:tcW w:type="dxa" w:w="1928"/>
          </w:tcPr>
          <w:p>
            <w:pPr>
              <w:spacing w:before="20" w:after="20" w:line="276" w:lineRule="auto"/>
              <w:ind w:firstLine="0"/>
            </w:pPr>
            <w:r/>
            <w:r>
              <w:rPr>
                <w:rFonts w:ascii="Times New Roman" w:hAnsi="Times New Roman" w:eastAsia="宋体"/>
                <w:b w:val="0"/>
                <w:i w:val="0"/>
                <w:sz w:val="21"/>
              </w:rPr>
              <w:t>同一笔付款被重复退款</w:t>
            </w:r>
          </w:p>
        </w:tc>
        <w:tc>
          <w:tcPr>
            <w:tcW w:type="dxa" w:w="3572"/>
          </w:tcPr>
          <w:p>
            <w:pPr>
              <w:spacing w:before="20" w:after="20" w:line="276" w:lineRule="auto"/>
              <w:ind w:firstLine="0"/>
            </w:pPr>
            <w:r/>
            <w:r>
              <w:rPr>
                <w:rFonts w:ascii="Times New Roman" w:hAnsi="Times New Roman" w:eastAsia="宋体"/>
                <w:b w:val="0"/>
                <w:i w:val="0"/>
                <w:sz w:val="21"/>
              </w:rPr>
              <w:t>缺少系统卡口，同一付款单可能被多次发起退款</w:t>
            </w:r>
          </w:p>
        </w:tc>
        <w:tc>
          <w:tcPr>
            <w:tcW w:type="dxa" w:w="3572"/>
          </w:tcPr>
          <w:p>
            <w:pPr>
              <w:spacing w:before="20" w:after="20" w:line="276" w:lineRule="auto"/>
              <w:ind w:firstLine="0"/>
            </w:pPr>
            <w:r/>
            <w:r>
              <w:rPr>
                <w:rFonts w:ascii="Times New Roman" w:hAnsi="Times New Roman" w:eastAsia="宋体"/>
                <w:b w:val="0"/>
                <w:i w:val="0"/>
                <w:sz w:val="21"/>
              </w:rPr>
              <w:t>原付款单已标记为已退款的，不允许再次发起退款并提示原单号</w:t>
            </w:r>
          </w:p>
        </w:tc>
      </w:tr>
      <w:tr>
        <w:tc>
          <w:tcPr>
            <w:tcW w:type="dxa" w:w="1928"/>
          </w:tcPr>
          <w:p>
            <w:pPr>
              <w:spacing w:before="20" w:after="20" w:line="276" w:lineRule="auto"/>
              <w:ind w:firstLine="0"/>
            </w:pPr>
            <w:r/>
            <w:r>
              <w:rPr>
                <w:rFonts w:ascii="Times New Roman" w:hAnsi="Times New Roman" w:eastAsia="宋体"/>
                <w:b w:val="0"/>
                <w:i w:val="0"/>
                <w:sz w:val="21"/>
              </w:rPr>
              <w:t>线下退款过程没有凭证留痕</w:t>
            </w:r>
          </w:p>
        </w:tc>
        <w:tc>
          <w:tcPr>
            <w:tcW w:type="dxa" w:w="3572"/>
          </w:tcPr>
          <w:p>
            <w:pPr>
              <w:spacing w:before="20" w:after="20" w:line="276" w:lineRule="auto"/>
              <w:ind w:firstLine="0"/>
            </w:pPr>
            <w:r/>
            <w:r>
              <w:rPr>
                <w:rFonts w:ascii="Times New Roman" w:hAnsi="Times New Roman" w:eastAsia="宋体"/>
                <w:b w:val="0"/>
                <w:i w:val="0"/>
                <w:sz w:val="21"/>
              </w:rPr>
              <w:t>退款完成后缺少凭证，事后无法证明资金已退回</w:t>
            </w:r>
          </w:p>
        </w:tc>
        <w:tc>
          <w:tcPr>
            <w:tcW w:type="dxa" w:w="3572"/>
          </w:tcPr>
          <w:p>
            <w:pPr>
              <w:spacing w:before="20" w:after="20" w:line="276" w:lineRule="auto"/>
              <w:ind w:firstLine="0"/>
            </w:pPr>
            <w:r/>
            <w:r>
              <w:rPr>
                <w:rFonts w:ascii="Times New Roman" w:hAnsi="Times New Roman" w:eastAsia="宋体"/>
                <w:b w:val="0"/>
                <w:i w:val="0"/>
                <w:sz w:val="21"/>
              </w:rPr>
              <w:t>退款走线下打款后必须上传退款凭证，凭证未上传不得置为已退款</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4.12.2　背景与目标</w:t>
      </w:r>
    </w:p>
    <w:tbl>
      <w:tblPr>
        <w:tblStyle w:val="TableGrid"/>
        <w:tblW w:type="auto" w:w="0"/>
        <w:jc w:val="center"/>
        <w:tblLayout w:type="fixed"/>
        <w:tblLook w:firstColumn="1" w:firstRow="1" w:lastColumn="0" w:lastRow="0" w:noHBand="0" w:noVBand="1" w:val="04A0"/>
      </w:tblPr>
      <w:tblGrid>
        <w:gridCol w:w="8958"/>
      </w:tblGrid>
      <w:tr>
        <w:trPr>
          <w:tblHeader w:val="true"/>
        </w:trPr>
        <w:tc>
          <w:tcPr>
            <w:tcW w:type="dxa" w:w="9071"/>
            <w:shd w:val="clear" w:color="auto" w:fill="DCE6F1"/>
          </w:tcPr>
          <w:p>
            <w:pPr>
              <w:spacing w:before="40" w:after="40" w:line="276" w:lineRule="auto"/>
              <w:jc w:val="center"/>
            </w:pPr>
            <w:r/>
            <w:r>
              <w:rPr>
                <w:rFonts w:ascii="Times New Roman" w:hAnsi="Times New Roman" w:eastAsia="黑体"/>
                <w:b/>
                <w:i w:val="0"/>
                <w:sz w:val="21"/>
              </w:rPr>
              <w:t>目标 / 衡量口径</w:t>
            </w:r>
          </w:p>
        </w:tc>
      </w:tr>
      <w:tr>
        <w:tc>
          <w:tcPr>
            <w:tcW w:type="dxa" w:w="9071"/>
          </w:tcPr>
          <w:p>
            <w:pPr>
              <w:spacing w:before="20" w:after="20" w:line="276" w:lineRule="auto"/>
              <w:ind w:firstLine="0"/>
            </w:pPr>
            <w:r/>
            <w:r>
              <w:rPr>
                <w:rFonts w:ascii="Times New Roman" w:hAnsi="Times New Roman" w:eastAsia="宋体"/>
                <w:b w:val="0"/>
                <w:i w:val="0"/>
                <w:sz w:val="21"/>
              </w:rPr>
              <w:t>退款申请与原付款单一一对应，退款金额、原因、凭证在单据内可追溯</w:t>
            </w:r>
          </w:p>
        </w:tc>
      </w:tr>
      <w:tr>
        <w:tc>
          <w:tcPr>
            <w:tcW w:type="dxa" w:w="9071"/>
          </w:tcPr>
          <w:p>
            <w:pPr>
              <w:spacing w:before="20" w:after="20" w:line="276" w:lineRule="auto"/>
              <w:ind w:firstLine="0"/>
            </w:pPr>
            <w:r/>
            <w:r>
              <w:rPr>
                <w:rFonts w:ascii="Times New Roman" w:hAnsi="Times New Roman" w:eastAsia="宋体"/>
                <w:b w:val="0"/>
                <w:i w:val="0"/>
                <w:sz w:val="21"/>
              </w:rPr>
              <w:t>退款金额超过原付款金额、原付款单已退款两类问题在提交前被拦截</w:t>
            </w:r>
          </w:p>
        </w:tc>
      </w:tr>
      <w:tr>
        <w:tc>
          <w:tcPr>
            <w:tcW w:type="dxa" w:w="9071"/>
          </w:tcPr>
          <w:p>
            <w:pPr>
              <w:spacing w:before="20" w:after="20" w:line="276" w:lineRule="auto"/>
              <w:ind w:firstLine="0"/>
            </w:pPr>
            <w:r/>
            <w:r>
              <w:rPr>
                <w:rFonts w:ascii="Times New Roman" w:hAnsi="Times New Roman" w:eastAsia="宋体"/>
                <w:b w:val="0"/>
                <w:i w:val="0"/>
                <w:sz w:val="21"/>
              </w:rPr>
              <w:t>退款审批与线下退款凭证登记形成完整链路，单据状态可逐笔核对</w:t>
            </w:r>
          </w:p>
        </w:tc>
      </w:tr>
      <w:tr>
        <w:tc>
          <w:tcPr>
            <w:tcW w:type="dxa" w:w="9071"/>
          </w:tcPr>
          <w:p>
            <w:pPr>
              <w:spacing w:before="20" w:after="20" w:line="276" w:lineRule="auto"/>
              <w:ind w:firstLine="0"/>
            </w:pPr>
            <w:r/>
            <w:r>
              <w:rPr>
                <w:rFonts w:ascii="Times New Roman" w:hAnsi="Times New Roman" w:eastAsia="宋体"/>
                <w:b w:val="0"/>
                <w:i w:val="0"/>
                <w:sz w:val="21"/>
              </w:rPr>
              <w:t>退款台账可按原付款单反查，支持与付款台账交叉核对（运行数据以系统运行报表为准）</w:t>
            </w:r>
          </w:p>
        </w:tc>
      </w:tr>
    </w:tbl>
    <w:p>
      <w:pPr>
        <w:spacing w:before="0" w:after="0" w:line="240" w:lineRule="auto"/>
      </w:pPr>
    </w:p>
    <w:p>
      <w:pPr>
        <w:spacing w:before="80" w:after="120" w:line="360" w:lineRule="auto"/>
      </w:pPr>
      <w:r>
        <w:rPr>
          <w:rFonts w:ascii="Times New Roman" w:hAnsi="Times New Roman" w:eastAsia="宋体"/>
          <w:b w:val="0"/>
          <w:i w:val="0"/>
          <w:color w:val="595959"/>
          <w:sz w:val="21"/>
        </w:rPr>
        <w:t>说明：文中口径以业务方已确认结论为准；未确认项集中列于本章末与第 5 章。</w:t>
      </w:r>
    </w:p>
    <w:p>
      <w:pPr>
        <w:pStyle w:val="Heading3"/>
        <w:keepNext/>
        <w:spacing w:before="160" w:after="80" w:line="312" w:lineRule="auto"/>
        <w:ind w:firstLine="0"/>
      </w:pPr>
      <w:r>
        <w:rPr>
          <w:rFonts w:ascii="Times New Roman" w:hAnsi="Times New Roman" w:eastAsia="黑体"/>
          <w:b/>
          <w:i w:val="0"/>
          <w:sz w:val="24"/>
        </w:rPr>
        <w:t>4.12.3　角色与用户需求</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361"/>
            <w:shd w:val="clear" w:color="auto" w:fill="DCE6F1"/>
          </w:tcPr>
          <w:p>
            <w:pPr>
              <w:spacing w:before="40" w:after="40" w:line="276" w:lineRule="auto"/>
              <w:jc w:val="center"/>
            </w:pPr>
            <w:r/>
            <w:r>
              <w:rPr>
                <w:rFonts w:ascii="Times New Roman" w:hAnsi="Times New Roman" w:eastAsia="黑体"/>
                <w:b/>
                <w:i w:val="0"/>
                <w:sz w:val="21"/>
              </w:rPr>
              <w:t>角色</w:t>
            </w:r>
          </w:p>
        </w:tc>
        <w:tc>
          <w:tcPr>
            <w:tcW w:type="dxa" w:w="1247"/>
            <w:shd w:val="clear" w:color="auto" w:fill="DCE6F1"/>
          </w:tcPr>
          <w:p>
            <w:pPr>
              <w:spacing w:before="40" w:after="40" w:line="276" w:lineRule="auto"/>
              <w:jc w:val="center"/>
            </w:pPr>
            <w:r/>
            <w:r>
              <w:rPr>
                <w:rFonts w:ascii="Times New Roman" w:hAnsi="Times New Roman" w:eastAsia="黑体"/>
                <w:b/>
                <w:i w:val="0"/>
                <w:sz w:val="21"/>
              </w:rPr>
              <w:t>所属部门</w:t>
            </w:r>
          </w:p>
        </w:tc>
        <w:tc>
          <w:tcPr>
            <w:tcW w:type="dxa" w:w="6463"/>
            <w:shd w:val="clear" w:color="auto" w:fill="DCE6F1"/>
          </w:tcPr>
          <w:p>
            <w:pPr>
              <w:spacing w:before="40" w:after="40" w:line="276" w:lineRule="auto"/>
              <w:jc w:val="center"/>
            </w:pPr>
            <w:r/>
            <w:r>
              <w:rPr>
                <w:rFonts w:ascii="Times New Roman" w:hAnsi="Times New Roman" w:eastAsia="黑体"/>
                <w:b/>
                <w:i w:val="0"/>
                <w:sz w:val="21"/>
              </w:rPr>
              <w:t>用户需求（我要…以便…）</w:t>
            </w:r>
          </w:p>
        </w:tc>
      </w:tr>
      <w:tr>
        <w:tc>
          <w:tcPr>
            <w:tcW w:type="dxa" w:w="1361"/>
          </w:tcPr>
          <w:p>
            <w:pPr>
              <w:spacing w:before="20" w:after="20" w:line="276" w:lineRule="auto"/>
              <w:ind w:firstLine="0"/>
            </w:pPr>
            <w:r/>
            <w:r>
              <w:rPr>
                <w:rFonts w:ascii="Times New Roman" w:hAnsi="Times New Roman" w:eastAsia="宋体"/>
                <w:b w:val="0"/>
                <w:i w:val="0"/>
                <w:sz w:val="21"/>
              </w:rPr>
              <w:t>业务员</w:t>
            </w:r>
          </w:p>
        </w:tc>
        <w:tc>
          <w:tcPr>
            <w:tcW w:type="dxa" w:w="1247"/>
          </w:tcPr>
          <w:p>
            <w:pPr>
              <w:spacing w:before="20" w:after="20" w:line="276" w:lineRule="auto"/>
              <w:ind w:firstLine="0"/>
            </w:pPr>
            <w:r/>
            <w:r>
              <w:rPr>
                <w:rFonts w:ascii="Times New Roman" w:hAnsi="Times New Roman" w:eastAsia="宋体"/>
                <w:b w:val="0"/>
                <w:i w:val="0"/>
                <w:sz w:val="21"/>
              </w:rPr>
              <w:t>业务部</w:t>
            </w:r>
          </w:p>
        </w:tc>
        <w:tc>
          <w:tcPr>
            <w:tcW w:type="dxa" w:w="6463"/>
          </w:tcPr>
          <w:p>
            <w:pPr>
              <w:spacing w:before="20" w:after="20" w:line="276" w:lineRule="auto"/>
              <w:ind w:firstLine="0"/>
            </w:pPr>
            <w:r/>
            <w:r>
              <w:rPr>
                <w:rFonts w:ascii="Times New Roman" w:hAnsi="Times New Roman" w:eastAsia="宋体"/>
                <w:b w:val="0"/>
                <w:i w:val="0"/>
                <w:sz w:val="21"/>
              </w:rPr>
              <w:t>我要发起退款申请并登记线下退款凭证，以便退款有据可查</w:t>
            </w:r>
          </w:p>
        </w:tc>
      </w:tr>
      <w:tr>
        <w:tc>
          <w:tcPr>
            <w:tcW w:type="dxa" w:w="1361"/>
          </w:tcPr>
          <w:p>
            <w:pPr>
              <w:spacing w:before="20" w:after="20" w:line="276" w:lineRule="auto"/>
              <w:ind w:firstLine="0"/>
            </w:pPr>
            <w:r/>
            <w:r>
              <w:rPr>
                <w:rFonts w:ascii="Times New Roman" w:hAnsi="Times New Roman" w:eastAsia="宋体"/>
                <w:b w:val="0"/>
                <w:i w:val="0"/>
                <w:sz w:val="21"/>
              </w:rPr>
              <w:t>业务部审批人</w:t>
            </w:r>
          </w:p>
        </w:tc>
        <w:tc>
          <w:tcPr>
            <w:tcW w:type="dxa" w:w="1247"/>
          </w:tcPr>
          <w:p>
            <w:pPr>
              <w:spacing w:before="20" w:after="20" w:line="276" w:lineRule="auto"/>
              <w:ind w:firstLine="0"/>
            </w:pPr>
            <w:r/>
            <w:r>
              <w:rPr>
                <w:rFonts w:ascii="Times New Roman" w:hAnsi="Times New Roman" w:eastAsia="宋体"/>
                <w:b w:val="0"/>
                <w:i w:val="0"/>
                <w:sz w:val="21"/>
              </w:rPr>
              <w:t>业务部</w:t>
            </w:r>
          </w:p>
        </w:tc>
        <w:tc>
          <w:tcPr>
            <w:tcW w:type="dxa" w:w="6463"/>
          </w:tcPr>
          <w:p>
            <w:pPr>
              <w:spacing w:before="20" w:after="20" w:line="276" w:lineRule="auto"/>
              <w:ind w:firstLine="0"/>
            </w:pPr>
            <w:r/>
            <w:r>
              <w:rPr>
                <w:rFonts w:ascii="Times New Roman" w:hAnsi="Times New Roman" w:eastAsia="宋体"/>
                <w:b w:val="0"/>
                <w:i w:val="0"/>
                <w:sz w:val="21"/>
              </w:rPr>
              <w:t>我要在第一节点复核退款事由与原付款单，以便异常退款不进入下一环节</w:t>
            </w:r>
          </w:p>
        </w:tc>
      </w:tr>
      <w:tr>
        <w:tc>
          <w:tcPr>
            <w:tcW w:type="dxa" w:w="1361"/>
          </w:tcPr>
          <w:p>
            <w:pPr>
              <w:spacing w:before="20" w:after="20" w:line="276" w:lineRule="auto"/>
              <w:ind w:firstLine="0"/>
            </w:pPr>
            <w:r/>
            <w:r>
              <w:rPr>
                <w:rFonts w:ascii="Times New Roman" w:hAnsi="Times New Roman" w:eastAsia="宋体"/>
                <w:b w:val="0"/>
                <w:i w:val="0"/>
                <w:sz w:val="21"/>
              </w:rPr>
              <w:t>风控部</w:t>
            </w:r>
          </w:p>
        </w:tc>
        <w:tc>
          <w:tcPr>
            <w:tcW w:type="dxa" w:w="1247"/>
          </w:tcPr>
          <w:p>
            <w:pPr>
              <w:spacing w:before="20" w:after="20" w:line="276" w:lineRule="auto"/>
              <w:ind w:firstLine="0"/>
            </w:pPr>
            <w:r/>
            <w:r>
              <w:rPr>
                <w:rFonts w:ascii="Times New Roman" w:hAnsi="Times New Roman" w:eastAsia="宋体"/>
                <w:b w:val="0"/>
                <w:i w:val="0"/>
                <w:sz w:val="21"/>
              </w:rPr>
              <w:t>风控部</w:t>
            </w:r>
          </w:p>
        </w:tc>
        <w:tc>
          <w:tcPr>
            <w:tcW w:type="dxa" w:w="6463"/>
          </w:tcPr>
          <w:p>
            <w:pPr>
              <w:spacing w:before="20" w:after="20" w:line="276" w:lineRule="auto"/>
              <w:ind w:firstLine="0"/>
            </w:pPr>
            <w:r/>
            <w:r>
              <w:rPr>
                <w:rFonts w:ascii="Times New Roman" w:hAnsi="Times New Roman" w:eastAsia="宋体"/>
                <w:b w:val="0"/>
                <w:i w:val="0"/>
                <w:sz w:val="21"/>
              </w:rPr>
              <w:t>我要校验退款涉及的风险敞口，以便重复退款与超额退款被拦截</w:t>
            </w:r>
          </w:p>
        </w:tc>
      </w:tr>
      <w:tr>
        <w:tc>
          <w:tcPr>
            <w:tcW w:type="dxa" w:w="1361"/>
          </w:tcPr>
          <w:p>
            <w:pPr>
              <w:spacing w:before="20" w:after="20" w:line="276" w:lineRule="auto"/>
              <w:ind w:firstLine="0"/>
            </w:pPr>
            <w:r/>
            <w:r>
              <w:rPr>
                <w:rFonts w:ascii="Times New Roman" w:hAnsi="Times New Roman" w:eastAsia="宋体"/>
                <w:b w:val="0"/>
                <w:i w:val="0"/>
                <w:sz w:val="21"/>
              </w:rPr>
              <w:t>财务部</w:t>
            </w:r>
          </w:p>
        </w:tc>
        <w:tc>
          <w:tcPr>
            <w:tcW w:type="dxa" w:w="1247"/>
          </w:tcPr>
          <w:p>
            <w:pPr>
              <w:spacing w:before="20" w:after="20" w:line="276" w:lineRule="auto"/>
              <w:ind w:firstLine="0"/>
            </w:pPr>
            <w:r/>
            <w:r>
              <w:rPr>
                <w:rFonts w:ascii="Times New Roman" w:hAnsi="Times New Roman" w:eastAsia="宋体"/>
                <w:b w:val="0"/>
                <w:i w:val="0"/>
                <w:sz w:val="21"/>
              </w:rPr>
              <w:t>财务部</w:t>
            </w:r>
          </w:p>
        </w:tc>
        <w:tc>
          <w:tcPr>
            <w:tcW w:type="dxa" w:w="6463"/>
          </w:tcPr>
          <w:p>
            <w:pPr>
              <w:spacing w:before="20" w:after="20" w:line="276" w:lineRule="auto"/>
              <w:ind w:firstLine="0"/>
            </w:pPr>
            <w:r/>
            <w:r>
              <w:rPr>
                <w:rFonts w:ascii="Times New Roman" w:hAnsi="Times New Roman" w:eastAsia="宋体"/>
                <w:b w:val="0"/>
                <w:i w:val="0"/>
                <w:sz w:val="21"/>
              </w:rPr>
              <w:t>我要完成最后节点审批并核对退款凭证，以便退款台账与账实一致</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4.12.4　功能结构与范围</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474"/>
            <w:shd w:val="clear" w:color="auto" w:fill="DCE6F1"/>
          </w:tcPr>
          <w:p>
            <w:pPr>
              <w:spacing w:before="40" w:after="40" w:line="276" w:lineRule="auto"/>
              <w:jc w:val="center"/>
            </w:pPr>
            <w:r/>
            <w:r>
              <w:rPr>
                <w:rFonts w:ascii="Times New Roman" w:hAnsi="Times New Roman" w:eastAsia="黑体"/>
                <w:b/>
                <w:i w:val="0"/>
                <w:sz w:val="21"/>
              </w:rPr>
              <w:t>功能</w:t>
            </w:r>
          </w:p>
        </w:tc>
        <w:tc>
          <w:tcPr>
            <w:tcW w:type="dxa" w:w="3175"/>
            <w:shd w:val="clear" w:color="auto" w:fill="DCE6F1"/>
          </w:tcPr>
          <w:p>
            <w:pPr>
              <w:spacing w:before="40" w:after="40" w:line="276" w:lineRule="auto"/>
              <w:jc w:val="center"/>
            </w:pPr>
            <w:r/>
            <w:r>
              <w:rPr>
                <w:rFonts w:ascii="Times New Roman" w:hAnsi="Times New Roman" w:eastAsia="黑体"/>
                <w:b/>
                <w:i w:val="0"/>
                <w:sz w:val="21"/>
              </w:rPr>
              <w:t>功能说明</w:t>
            </w:r>
          </w:p>
        </w:tc>
        <w:tc>
          <w:tcPr>
            <w:tcW w:type="dxa" w:w="4422"/>
            <w:shd w:val="clear" w:color="auto" w:fill="DCE6F1"/>
          </w:tcPr>
          <w:p>
            <w:pPr>
              <w:spacing w:before="40" w:after="40" w:line="276" w:lineRule="auto"/>
              <w:jc w:val="center"/>
            </w:pPr>
            <w:r/>
            <w:r>
              <w:rPr>
                <w:rFonts w:ascii="Times New Roman" w:hAnsi="Times New Roman" w:eastAsia="黑体"/>
                <w:b/>
                <w:i w:val="0"/>
                <w:sz w:val="21"/>
              </w:rPr>
              <w:t>关键规则</w:t>
            </w:r>
          </w:p>
        </w:tc>
      </w:tr>
      <w:tr>
        <w:tc>
          <w:tcPr>
            <w:tcW w:type="dxa" w:w="1474"/>
          </w:tcPr>
          <w:p>
            <w:pPr>
              <w:spacing w:before="20" w:after="20" w:line="276" w:lineRule="auto"/>
              <w:ind w:firstLine="0"/>
            </w:pPr>
            <w:r/>
            <w:r>
              <w:rPr>
                <w:rFonts w:ascii="Times New Roman" w:hAnsi="Times New Roman" w:eastAsia="宋体"/>
                <w:b w:val="0"/>
                <w:i w:val="0"/>
                <w:sz w:val="21"/>
              </w:rPr>
              <w:t>退款申请创建</w:t>
            </w:r>
          </w:p>
        </w:tc>
        <w:tc>
          <w:tcPr>
            <w:tcW w:type="dxa" w:w="3175"/>
          </w:tcPr>
          <w:p>
            <w:pPr>
              <w:spacing w:before="20" w:after="20" w:line="276" w:lineRule="auto"/>
              <w:ind w:firstLine="0"/>
            </w:pPr>
            <w:r/>
            <w:r>
              <w:rPr>
                <w:rFonts w:ascii="Times New Roman" w:hAnsi="Times New Roman" w:eastAsia="宋体"/>
                <w:b w:val="0"/>
                <w:i w:val="0"/>
                <w:sz w:val="21"/>
              </w:rPr>
              <w:t>新建退款申请，关联原付款单并登记退款金额与退款原因</w:t>
            </w:r>
          </w:p>
        </w:tc>
        <w:tc>
          <w:tcPr>
            <w:tcW w:type="dxa" w:w="4422"/>
          </w:tcPr>
          <w:p>
            <w:pPr>
              <w:spacing w:before="20" w:after="20" w:line="276" w:lineRule="auto"/>
              <w:ind w:firstLine="0"/>
            </w:pPr>
            <w:r/>
            <w:r>
              <w:rPr>
                <w:rFonts w:ascii="Times New Roman" w:hAnsi="Times New Roman" w:eastAsia="宋体"/>
                <w:b w:val="0"/>
                <w:i w:val="0"/>
                <w:sz w:val="21"/>
              </w:rPr>
              <w:t>关联原付款单为必填；退款原因必填，上限 500 字符；退款金额必填；退款单号字段长度为 varchar(32)，编号规则未定义</w:t>
            </w:r>
          </w:p>
        </w:tc>
      </w:tr>
      <w:tr>
        <w:tc>
          <w:tcPr>
            <w:tcW w:type="dxa" w:w="1474"/>
          </w:tcPr>
          <w:p>
            <w:pPr>
              <w:spacing w:before="20" w:after="20" w:line="276" w:lineRule="auto"/>
              <w:ind w:firstLine="0"/>
            </w:pPr>
            <w:r/>
            <w:r>
              <w:rPr>
                <w:rFonts w:ascii="Times New Roman" w:hAnsi="Times New Roman" w:eastAsia="宋体"/>
                <w:b w:val="0"/>
                <w:i w:val="0"/>
                <w:sz w:val="21"/>
              </w:rPr>
              <w:t>退款金额上限校验</w:t>
            </w:r>
          </w:p>
        </w:tc>
        <w:tc>
          <w:tcPr>
            <w:tcW w:type="dxa" w:w="3175"/>
          </w:tcPr>
          <w:p>
            <w:pPr>
              <w:spacing w:before="20" w:after="20" w:line="276" w:lineRule="auto"/>
              <w:ind w:firstLine="0"/>
            </w:pPr>
            <w:r/>
            <w:r>
              <w:rPr>
                <w:rFonts w:ascii="Times New Roman" w:hAnsi="Times New Roman" w:eastAsia="宋体"/>
                <w:b w:val="0"/>
                <w:i w:val="0"/>
                <w:sz w:val="21"/>
              </w:rPr>
              <w:t>提交时按原付款单金额校验退款金额</w:t>
            </w:r>
          </w:p>
        </w:tc>
        <w:tc>
          <w:tcPr>
            <w:tcW w:type="dxa" w:w="4422"/>
          </w:tcPr>
          <w:p>
            <w:pPr>
              <w:spacing w:before="20" w:after="20" w:line="276" w:lineRule="auto"/>
              <w:ind w:firstLine="0"/>
            </w:pPr>
            <w:r/>
            <w:r>
              <w:rPr>
                <w:rFonts w:ascii="Times New Roman" w:hAnsi="Times New Roman" w:eastAsia="宋体"/>
                <w:b w:val="0"/>
                <w:i w:val="0"/>
                <w:sz w:val="21"/>
              </w:rPr>
              <w:t>退款金额不得超过原付款金额，超过时提示「退款金额 X 超过原付款金额 Y」并阻止</w:t>
            </w:r>
          </w:p>
        </w:tc>
      </w:tr>
      <w:tr>
        <w:tc>
          <w:tcPr>
            <w:tcW w:type="dxa" w:w="1474"/>
          </w:tcPr>
          <w:p>
            <w:pPr>
              <w:spacing w:before="20" w:after="20" w:line="276" w:lineRule="auto"/>
              <w:ind w:firstLine="0"/>
            </w:pPr>
            <w:r/>
            <w:r>
              <w:rPr>
                <w:rFonts w:ascii="Times New Roman" w:hAnsi="Times New Roman" w:eastAsia="宋体"/>
                <w:b w:val="0"/>
                <w:i w:val="0"/>
                <w:sz w:val="21"/>
              </w:rPr>
              <w:t>重复退款拦截</w:t>
            </w:r>
          </w:p>
        </w:tc>
        <w:tc>
          <w:tcPr>
            <w:tcW w:type="dxa" w:w="3175"/>
          </w:tcPr>
          <w:p>
            <w:pPr>
              <w:spacing w:before="20" w:after="20" w:line="276" w:lineRule="auto"/>
              <w:ind w:firstLine="0"/>
            </w:pPr>
            <w:r/>
            <w:r>
              <w:rPr>
                <w:rFonts w:ascii="Times New Roman" w:hAnsi="Times New Roman" w:eastAsia="宋体"/>
                <w:b w:val="0"/>
                <w:i w:val="0"/>
                <w:sz w:val="21"/>
              </w:rPr>
              <w:t>提交时校验原付款单是否已被退款</w:t>
            </w:r>
          </w:p>
        </w:tc>
        <w:tc>
          <w:tcPr>
            <w:tcW w:type="dxa" w:w="4422"/>
          </w:tcPr>
          <w:p>
            <w:pPr>
              <w:spacing w:before="20" w:after="20" w:line="276" w:lineRule="auto"/>
              <w:ind w:firstLine="0"/>
            </w:pPr>
            <w:r/>
            <w:r>
              <w:rPr>
                <w:rFonts w:ascii="Times New Roman" w:hAnsi="Times New Roman" w:eastAsia="宋体"/>
                <w:b w:val="0"/>
                <w:i w:val="0"/>
                <w:sz w:val="21"/>
              </w:rPr>
              <w:t>原付款单已退款的，提示「原付款 X 已退款，不能重复退款」并阻止；同一原付款单不允许发起第二笔退款</w:t>
            </w:r>
          </w:p>
        </w:tc>
      </w:tr>
      <w:tr>
        <w:tc>
          <w:tcPr>
            <w:tcW w:type="dxa" w:w="1474"/>
          </w:tcPr>
          <w:p>
            <w:pPr>
              <w:spacing w:before="20" w:after="20" w:line="276" w:lineRule="auto"/>
              <w:ind w:firstLine="0"/>
            </w:pPr>
            <w:r/>
            <w:r>
              <w:rPr>
                <w:rFonts w:ascii="Times New Roman" w:hAnsi="Times New Roman" w:eastAsia="宋体"/>
                <w:b w:val="0"/>
                <w:i w:val="0"/>
                <w:sz w:val="21"/>
              </w:rPr>
              <w:t>串行三级审批</w:t>
            </w:r>
          </w:p>
        </w:tc>
        <w:tc>
          <w:tcPr>
            <w:tcW w:type="dxa" w:w="3175"/>
          </w:tcPr>
          <w:p>
            <w:pPr>
              <w:spacing w:before="20" w:after="20" w:line="276" w:lineRule="auto"/>
              <w:ind w:firstLine="0"/>
            </w:pPr>
            <w:r/>
            <w:r>
              <w:rPr>
                <w:rFonts w:ascii="Times New Roman" w:hAnsi="Times New Roman" w:eastAsia="宋体"/>
                <w:b w:val="0"/>
                <w:i w:val="0"/>
                <w:sz w:val="21"/>
              </w:rPr>
              <w:t>退款申请提交后按业务部、风控部、财务部三级串行审批</w:t>
            </w:r>
          </w:p>
        </w:tc>
        <w:tc>
          <w:tcPr>
            <w:tcW w:type="dxa" w:w="4422"/>
          </w:tcPr>
          <w:p>
            <w:pPr>
              <w:spacing w:before="20" w:after="20" w:line="276" w:lineRule="auto"/>
              <w:ind w:firstLine="0"/>
            </w:pPr>
            <w:r/>
            <w:r>
              <w:rPr>
                <w:rFonts w:ascii="Times New Roman" w:hAnsi="Times New Roman" w:eastAsia="宋体"/>
                <w:b w:val="0"/>
                <w:i w:val="0"/>
                <w:sz w:val="21"/>
              </w:rPr>
              <w:t>三级依次审核，任一节点驳回单据立即进入已驳回终态；退款不设独立的收款方系统确认环节，审批通过后即为待线下退款</w:t>
            </w:r>
          </w:p>
        </w:tc>
      </w:tr>
      <w:tr>
        <w:tc>
          <w:tcPr>
            <w:tcW w:type="dxa" w:w="1474"/>
          </w:tcPr>
          <w:p>
            <w:pPr>
              <w:spacing w:before="20" w:after="20" w:line="276" w:lineRule="auto"/>
              <w:ind w:firstLine="0"/>
            </w:pPr>
            <w:r/>
            <w:r>
              <w:rPr>
                <w:rFonts w:ascii="Times New Roman" w:hAnsi="Times New Roman" w:eastAsia="宋体"/>
                <w:b w:val="0"/>
                <w:i w:val="0"/>
                <w:sz w:val="21"/>
              </w:rPr>
              <w:t>线下退款与凭证登记</w:t>
            </w:r>
          </w:p>
        </w:tc>
        <w:tc>
          <w:tcPr>
            <w:tcW w:type="dxa" w:w="3175"/>
          </w:tcPr>
          <w:p>
            <w:pPr>
              <w:spacing w:before="20" w:after="20" w:line="276" w:lineRule="auto"/>
              <w:ind w:firstLine="0"/>
            </w:pPr>
            <w:r/>
            <w:r>
              <w:rPr>
                <w:rFonts w:ascii="Times New Roman" w:hAnsi="Times New Roman" w:eastAsia="宋体"/>
                <w:b w:val="0"/>
                <w:i w:val="0"/>
                <w:sz w:val="21"/>
              </w:rPr>
              <w:t>审批通过后在平台外完成退款，回平台上传退款凭证</w:t>
            </w:r>
          </w:p>
        </w:tc>
        <w:tc>
          <w:tcPr>
            <w:tcW w:type="dxa" w:w="4422"/>
          </w:tcPr>
          <w:p>
            <w:pPr>
              <w:spacing w:before="20" w:after="20" w:line="276" w:lineRule="auto"/>
              <w:ind w:firstLine="0"/>
            </w:pPr>
            <w:r/>
            <w:r>
              <w:rPr>
                <w:rFonts w:ascii="Times New Roman" w:hAnsi="Times New Roman" w:eastAsia="宋体"/>
                <w:b w:val="0"/>
                <w:i w:val="0"/>
                <w:sz w:val="21"/>
              </w:rPr>
              <w:t>退款凭证为线下退款完成后上传，图片或 PDF；凭证未上传不得将单据置为已退款；退款同样不做线上打款，不提供系统内原路返回</w:t>
            </w:r>
          </w:p>
        </w:tc>
      </w:tr>
      <w:tr>
        <w:tc>
          <w:tcPr>
            <w:tcW w:type="dxa" w:w="1474"/>
          </w:tcPr>
          <w:p>
            <w:pPr>
              <w:spacing w:before="20" w:after="20" w:line="276" w:lineRule="auto"/>
              <w:ind w:firstLine="0"/>
            </w:pPr>
            <w:r/>
            <w:r>
              <w:rPr>
                <w:rFonts w:ascii="Times New Roman" w:hAnsi="Times New Roman" w:eastAsia="宋体"/>
                <w:b w:val="0"/>
                <w:i w:val="0"/>
                <w:sz w:val="21"/>
              </w:rPr>
              <w:t>退款单状态流转</w:t>
            </w:r>
          </w:p>
        </w:tc>
        <w:tc>
          <w:tcPr>
            <w:tcW w:type="dxa" w:w="3175"/>
          </w:tcPr>
          <w:p>
            <w:pPr>
              <w:spacing w:before="20" w:after="20" w:line="276" w:lineRule="auto"/>
              <w:ind w:firstLine="0"/>
            </w:pPr>
            <w:r/>
            <w:r>
              <w:rPr>
                <w:rFonts w:ascii="Times New Roman" w:hAnsi="Times New Roman" w:eastAsia="宋体"/>
                <w:b w:val="0"/>
                <w:i w:val="0"/>
                <w:sz w:val="21"/>
              </w:rPr>
              <w:t>按审批与凭证登记结果推进退款单状态</w:t>
            </w:r>
          </w:p>
        </w:tc>
        <w:tc>
          <w:tcPr>
            <w:tcW w:type="dxa" w:w="4422"/>
          </w:tcPr>
          <w:p>
            <w:pPr>
              <w:spacing w:before="20" w:after="20" w:line="276" w:lineRule="auto"/>
              <w:ind w:firstLine="0"/>
            </w:pPr>
            <w:r/>
            <w:r>
              <w:rPr>
                <w:rFonts w:ascii="Times New Roman" w:hAnsi="Times New Roman" w:eastAsia="宋体"/>
                <w:b w:val="0"/>
                <w:i w:val="0"/>
                <w:sz w:val="21"/>
              </w:rPr>
              <w:t>审批通过后为待线下退款，凭证上传完成后为已退款（终态）；任一审批节点驳回为已驳回（终态）；退款状态字段的枚举值未定义</w:t>
            </w:r>
          </w:p>
        </w:tc>
      </w:tr>
      <w:tr>
        <w:tc>
          <w:tcPr>
            <w:tcW w:type="dxa" w:w="1474"/>
          </w:tcPr>
          <w:p>
            <w:pPr>
              <w:spacing w:before="20" w:after="20" w:line="276" w:lineRule="auto"/>
              <w:ind w:firstLine="0"/>
            </w:pPr>
            <w:r/>
            <w:r>
              <w:rPr>
                <w:rFonts w:ascii="Times New Roman" w:hAnsi="Times New Roman" w:eastAsia="宋体"/>
                <w:b w:val="0"/>
                <w:i w:val="0"/>
                <w:sz w:val="21"/>
              </w:rPr>
              <w:t>退款列表查询</w:t>
            </w:r>
          </w:p>
        </w:tc>
        <w:tc>
          <w:tcPr>
            <w:tcW w:type="dxa" w:w="3175"/>
          </w:tcPr>
          <w:p>
            <w:pPr>
              <w:spacing w:before="20" w:after="20" w:line="276" w:lineRule="auto"/>
              <w:ind w:firstLine="0"/>
            </w:pPr>
            <w:r/>
            <w:r>
              <w:rPr>
                <w:rFonts w:ascii="Times New Roman" w:hAnsi="Times New Roman" w:eastAsia="宋体"/>
                <w:b w:val="0"/>
                <w:i w:val="0"/>
                <w:sz w:val="21"/>
              </w:rPr>
              <w:t>按状态分页签查询退款单</w:t>
            </w:r>
          </w:p>
        </w:tc>
        <w:tc>
          <w:tcPr>
            <w:tcW w:type="dxa" w:w="4422"/>
          </w:tcPr>
          <w:p>
            <w:pPr>
              <w:spacing w:before="20" w:after="20" w:line="276" w:lineRule="auto"/>
              <w:ind w:firstLine="0"/>
            </w:pPr>
            <w:r/>
            <w:r>
              <w:rPr>
                <w:rFonts w:ascii="Times New Roman" w:hAnsi="Times New Roman" w:eastAsia="宋体"/>
                <w:b w:val="0"/>
                <w:i w:val="0"/>
                <w:sz w:val="21"/>
              </w:rPr>
              <w:t>页签为全部、审批中、已退款、驳回、无效，计数按数据实时统计；列表展示合同类型、合同编号、退款方、收款方、退款金额、退款日期、退款状态与操作</w:t>
            </w:r>
          </w:p>
        </w:tc>
      </w:tr>
      <w:tr>
        <w:tc>
          <w:tcPr>
            <w:tcW w:type="dxa" w:w="1474"/>
          </w:tcPr>
          <w:p>
            <w:pPr>
              <w:spacing w:before="20" w:after="20" w:line="276" w:lineRule="auto"/>
              <w:ind w:firstLine="0"/>
            </w:pPr>
            <w:r/>
            <w:r>
              <w:rPr>
                <w:rFonts w:ascii="Times New Roman" w:hAnsi="Times New Roman" w:eastAsia="宋体"/>
                <w:b w:val="0"/>
                <w:i w:val="0"/>
                <w:sz w:val="21"/>
              </w:rPr>
              <w:t>退款与原付款单联动</w:t>
            </w:r>
          </w:p>
        </w:tc>
        <w:tc>
          <w:tcPr>
            <w:tcW w:type="dxa" w:w="3175"/>
          </w:tcPr>
          <w:p>
            <w:pPr>
              <w:spacing w:before="20" w:after="20" w:line="276" w:lineRule="auto"/>
              <w:ind w:firstLine="0"/>
            </w:pPr>
            <w:r/>
            <w:r>
              <w:rPr>
                <w:rFonts w:ascii="Times New Roman" w:hAnsi="Times New Roman" w:eastAsia="宋体"/>
                <w:b w:val="0"/>
                <w:i w:val="0"/>
                <w:sz w:val="21"/>
              </w:rPr>
              <w:t>退款单反向标记原付款单并支持台账反查</w:t>
            </w:r>
          </w:p>
        </w:tc>
        <w:tc>
          <w:tcPr>
            <w:tcW w:type="dxa" w:w="4422"/>
          </w:tcPr>
          <w:p>
            <w:pPr>
              <w:spacing w:before="20" w:after="20" w:line="276" w:lineRule="auto"/>
              <w:ind w:firstLine="0"/>
            </w:pPr>
            <w:r/>
            <w:r>
              <w:rPr>
                <w:rFonts w:ascii="Times New Roman" w:hAnsi="Times New Roman" w:eastAsia="宋体"/>
                <w:b w:val="0"/>
                <w:i w:val="0"/>
                <w:sz w:val="21"/>
              </w:rPr>
              <w:t>退款完成后原付款单标记为已退款，作为重复退款的判定依据；退款详情可跳转原付款单查看</w:t>
            </w:r>
          </w:p>
        </w:tc>
      </w:tr>
    </w:tbl>
    <w:p>
      <w:pPr>
        <w:spacing w:before="0" w:after="0" w:line="240" w:lineRule="auto"/>
      </w:pP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tblGrid>
      <w:tr>
        <w:trPr>
          <w:tblHeader w:val="true"/>
        </w:trPr>
        <w:tc>
          <w:tcPr>
            <w:tcW w:type="dxa" w:w="1247"/>
            <w:shd w:val="clear" w:color="auto" w:fill="DCE6F1"/>
          </w:tcPr>
          <w:p>
            <w:pPr>
              <w:spacing w:before="40" w:after="40" w:line="276" w:lineRule="auto"/>
              <w:jc w:val="center"/>
            </w:pPr>
            <w:r/>
            <w:r>
              <w:rPr>
                <w:rFonts w:ascii="Times New Roman" w:hAnsi="Times New Roman" w:eastAsia="黑体"/>
                <w:b/>
                <w:i w:val="0"/>
                <w:sz w:val="19"/>
              </w:rPr>
              <w:t>页面</w:t>
            </w:r>
          </w:p>
        </w:tc>
        <w:tc>
          <w:tcPr>
            <w:tcW w:type="dxa" w:w="1474"/>
            <w:shd w:val="clear" w:color="auto" w:fill="DCE6F1"/>
          </w:tcPr>
          <w:p>
            <w:pPr>
              <w:spacing w:before="40" w:after="40" w:line="276" w:lineRule="auto"/>
              <w:jc w:val="center"/>
            </w:pPr>
            <w:r/>
            <w:r>
              <w:rPr>
                <w:rFonts w:ascii="Times New Roman" w:hAnsi="Times New Roman" w:eastAsia="黑体"/>
                <w:b/>
                <w:i w:val="0"/>
                <w:sz w:val="19"/>
              </w:rPr>
              <w:t>文件</w:t>
            </w:r>
          </w:p>
        </w:tc>
        <w:tc>
          <w:tcPr>
            <w:tcW w:type="dxa" w:w="1134"/>
            <w:shd w:val="clear" w:color="auto" w:fill="DCE6F1"/>
          </w:tcPr>
          <w:p>
            <w:pPr>
              <w:spacing w:before="40" w:after="40" w:line="276" w:lineRule="auto"/>
              <w:jc w:val="center"/>
            </w:pPr>
            <w:r/>
            <w:r>
              <w:rPr>
                <w:rFonts w:ascii="Times New Roman" w:hAnsi="Times New Roman" w:eastAsia="黑体"/>
                <w:b/>
                <w:i w:val="0"/>
                <w:sz w:val="19"/>
              </w:rPr>
              <w:t>入口</w:t>
            </w:r>
          </w:p>
        </w:tc>
        <w:tc>
          <w:tcPr>
            <w:tcW w:type="dxa" w:w="2041"/>
            <w:shd w:val="clear" w:color="auto" w:fill="DCE6F1"/>
          </w:tcPr>
          <w:p>
            <w:pPr>
              <w:spacing w:before="40" w:after="40" w:line="276" w:lineRule="auto"/>
              <w:jc w:val="center"/>
            </w:pPr>
            <w:r/>
            <w:r>
              <w:rPr>
                <w:rFonts w:ascii="Times New Roman" w:hAnsi="Times New Roman" w:eastAsia="黑体"/>
                <w:b/>
                <w:i w:val="0"/>
                <w:sz w:val="19"/>
              </w:rPr>
              <w:t>主要区块</w:t>
            </w:r>
          </w:p>
        </w:tc>
        <w:tc>
          <w:tcPr>
            <w:tcW w:type="dxa" w:w="1701"/>
            <w:shd w:val="clear" w:color="auto" w:fill="DCE6F1"/>
          </w:tcPr>
          <w:p>
            <w:pPr>
              <w:spacing w:before="40" w:after="40" w:line="276" w:lineRule="auto"/>
              <w:jc w:val="center"/>
            </w:pPr>
            <w:r/>
            <w:r>
              <w:rPr>
                <w:rFonts w:ascii="Times New Roman" w:hAnsi="Times New Roman" w:eastAsia="黑体"/>
                <w:b/>
                <w:i w:val="0"/>
                <w:sz w:val="19"/>
              </w:rPr>
              <w:t>主要操作</w:t>
            </w:r>
          </w:p>
        </w:tc>
        <w:tc>
          <w:tcPr>
            <w:tcW w:type="dxa" w:w="1474"/>
            <w:shd w:val="clear" w:color="auto" w:fill="DCE6F1"/>
          </w:tcPr>
          <w:p>
            <w:pPr>
              <w:spacing w:before="40" w:after="40" w:line="276" w:lineRule="auto"/>
              <w:jc w:val="center"/>
            </w:pPr>
            <w:r/>
            <w:r>
              <w:rPr>
                <w:rFonts w:ascii="Times New Roman" w:hAnsi="Times New Roman" w:eastAsia="黑体"/>
                <w:b/>
                <w:i w:val="0"/>
                <w:sz w:val="19"/>
              </w:rPr>
              <w:t>跳转</w:t>
            </w:r>
          </w:p>
        </w:tc>
      </w:tr>
      <w:tr>
        <w:tc>
          <w:tcPr>
            <w:tcW w:type="dxa" w:w="1247"/>
          </w:tcPr>
          <w:p>
            <w:pPr>
              <w:spacing w:before="20" w:after="20" w:line="276" w:lineRule="auto"/>
              <w:ind w:firstLine="0"/>
            </w:pPr>
            <w:r/>
            <w:r>
              <w:rPr>
                <w:rFonts w:ascii="Times New Roman" w:hAnsi="Times New Roman" w:eastAsia="宋体"/>
                <w:b w:val="0"/>
                <w:i w:val="0"/>
                <w:sz w:val="19"/>
              </w:rPr>
              <w:t>退款列表</w:t>
            </w:r>
          </w:p>
        </w:tc>
        <w:tc>
          <w:tcPr>
            <w:tcW w:type="dxa" w:w="1474"/>
          </w:tcPr>
          <w:p>
            <w:pPr>
              <w:spacing w:before="20" w:after="20" w:line="276" w:lineRule="auto"/>
              <w:ind w:firstLine="0"/>
            </w:pPr>
            <w:r/>
            <w:r>
              <w:rPr>
                <w:rFonts w:ascii="Times New Roman" w:hAnsi="Times New Roman" w:eastAsia="宋体"/>
                <w:b w:val="0"/>
                <w:i w:val="0"/>
                <w:sz w:val="19"/>
              </w:rPr>
              <w:t>refund-list.html</w:t>
            </w:r>
          </w:p>
        </w:tc>
        <w:tc>
          <w:tcPr>
            <w:tcW w:type="dxa" w:w="1134"/>
          </w:tcPr>
          <w:p>
            <w:pPr>
              <w:spacing w:before="20" w:after="20" w:line="276" w:lineRule="auto"/>
              <w:ind w:firstLine="0"/>
            </w:pPr>
            <w:r/>
            <w:r>
              <w:rPr>
                <w:rFonts w:ascii="Times New Roman" w:hAnsi="Times New Roman" w:eastAsia="宋体"/>
                <w:b w:val="0"/>
                <w:i w:val="0"/>
                <w:sz w:val="19"/>
              </w:rPr>
              <w:t>数字供应链 / 资金管理 / 退款管理</w:t>
            </w:r>
          </w:p>
        </w:tc>
        <w:tc>
          <w:tcPr>
            <w:tcW w:type="dxa" w:w="2041"/>
          </w:tcPr>
          <w:p>
            <w:pPr>
              <w:spacing w:before="20" w:after="20" w:line="276" w:lineRule="auto"/>
              <w:ind w:firstLine="0"/>
            </w:pPr>
            <w:r/>
            <w:r>
              <w:rPr>
                <w:rFonts w:ascii="Times New Roman" w:hAnsi="Times New Roman" w:eastAsia="宋体"/>
                <w:b w:val="0"/>
                <w:i w:val="0"/>
                <w:sz w:val="19"/>
              </w:rPr>
              <w:t>状态页签（全部、审批中、已退款、驳回、无效）+ 筛选查询区 + 退款明细表格（合同类型、合同编号、退款方、收款方、退款金额、退款日期、退款状态、操作）</w:t>
            </w:r>
          </w:p>
        </w:tc>
        <w:tc>
          <w:tcPr>
            <w:tcW w:type="dxa" w:w="1701"/>
          </w:tcPr>
          <w:p>
            <w:pPr>
              <w:spacing w:before="20" w:after="20" w:line="276" w:lineRule="auto"/>
              <w:ind w:firstLine="0"/>
            </w:pPr>
            <w:r/>
            <w:r>
              <w:rPr>
                <w:rFonts w:ascii="Times New Roman" w:hAnsi="Times New Roman" w:eastAsia="宋体"/>
                <w:b w:val="0"/>
                <w:i w:val="0"/>
                <w:sz w:val="19"/>
              </w:rPr>
              <w:t>查询 / 重置 / 清除全部筛选 / 行内详情</w:t>
            </w:r>
          </w:p>
        </w:tc>
        <w:tc>
          <w:tcPr>
            <w:tcW w:type="dxa" w:w="1474"/>
          </w:tcPr>
          <w:p>
            <w:pPr>
              <w:spacing w:before="20" w:after="20" w:line="276" w:lineRule="auto"/>
              <w:ind w:firstLine="0"/>
            </w:pPr>
            <w:r/>
            <w:r>
              <w:rPr>
                <w:rFonts w:ascii="Times New Roman" w:hAnsi="Times New Roman" w:eastAsia="宋体"/>
                <w:b w:val="0"/>
                <w:i w:val="0"/>
                <w:sz w:val="19"/>
              </w:rPr>
              <w:t>行内详情跳转到退款详情页 refund-detail.html</w:t>
            </w:r>
          </w:p>
        </w:tc>
      </w:tr>
      <w:tr>
        <w:tc>
          <w:tcPr>
            <w:tcW w:type="dxa" w:w="1247"/>
          </w:tcPr>
          <w:p>
            <w:pPr>
              <w:spacing w:before="20" w:after="20" w:line="276" w:lineRule="auto"/>
              <w:ind w:firstLine="0"/>
            </w:pPr>
            <w:r/>
            <w:r>
              <w:rPr>
                <w:rFonts w:ascii="Times New Roman" w:hAnsi="Times New Roman" w:eastAsia="宋体"/>
                <w:b w:val="0"/>
                <w:i w:val="0"/>
                <w:sz w:val="19"/>
              </w:rPr>
              <w:t>新增退款</w:t>
            </w:r>
          </w:p>
        </w:tc>
        <w:tc>
          <w:tcPr>
            <w:tcW w:type="dxa" w:w="1474"/>
          </w:tcPr>
          <w:p>
            <w:pPr>
              <w:spacing w:before="20" w:after="20" w:line="276" w:lineRule="auto"/>
              <w:ind w:firstLine="0"/>
            </w:pPr>
            <w:r/>
            <w:r>
              <w:rPr>
                <w:rFonts w:ascii="Times New Roman" w:hAnsi="Times New Roman" w:eastAsia="宋体"/>
                <w:b w:val="0"/>
                <w:i w:val="0"/>
                <w:sz w:val="19"/>
              </w:rPr>
              <w:t>refund-apply.html</w:t>
            </w:r>
          </w:p>
        </w:tc>
        <w:tc>
          <w:tcPr>
            <w:tcW w:type="dxa" w:w="1134"/>
          </w:tcPr>
          <w:p>
            <w:pPr>
              <w:spacing w:before="20" w:after="20" w:line="276" w:lineRule="auto"/>
              <w:ind w:firstLine="0"/>
            </w:pPr>
            <w:r/>
            <w:r>
              <w:rPr>
                <w:rFonts w:ascii="Times New Roman" w:hAnsi="Times New Roman" w:eastAsia="宋体"/>
                <w:b w:val="0"/>
                <w:i w:val="0"/>
                <w:sz w:val="19"/>
              </w:rPr>
              <w:t>退款列表右上「新增退款」</w:t>
            </w:r>
          </w:p>
        </w:tc>
        <w:tc>
          <w:tcPr>
            <w:tcW w:type="dxa" w:w="2041"/>
          </w:tcPr>
          <w:p>
            <w:pPr>
              <w:spacing w:before="20" w:after="20" w:line="276" w:lineRule="auto"/>
              <w:ind w:firstLine="0"/>
            </w:pPr>
            <w:r/>
            <w:r>
              <w:rPr>
                <w:rFonts w:ascii="Times New Roman" w:hAnsi="Times New Roman" w:eastAsia="宋体"/>
                <w:b w:val="0"/>
                <w:i w:val="0"/>
                <w:sz w:val="19"/>
              </w:rPr>
              <w:t>合同信息（选择合同）/ 退款信息（退款金额、退款原因）/ 附件信息</w:t>
            </w:r>
          </w:p>
        </w:tc>
        <w:tc>
          <w:tcPr>
            <w:tcW w:type="dxa" w:w="1701"/>
          </w:tcPr>
          <w:p>
            <w:pPr>
              <w:spacing w:before="20" w:after="20" w:line="276" w:lineRule="auto"/>
              <w:ind w:firstLine="0"/>
            </w:pPr>
            <w:r/>
            <w:r>
              <w:rPr>
                <w:rFonts w:ascii="Times New Roman" w:hAnsi="Times New Roman" w:eastAsia="宋体"/>
                <w:b w:val="0"/>
                <w:i w:val="0"/>
                <w:sz w:val="19"/>
              </w:rPr>
              <w:t>选择合同 / 下一步 / 提交 / 取消 / 查询 / 重置</w:t>
            </w:r>
          </w:p>
        </w:tc>
        <w:tc>
          <w:tcPr>
            <w:tcW w:type="dxa" w:w="1474"/>
          </w:tcPr>
          <w:p>
            <w:pPr>
              <w:spacing w:before="20" w:after="20" w:line="276" w:lineRule="auto"/>
              <w:ind w:firstLine="0"/>
            </w:pPr>
            <w:r/>
            <w:r>
              <w:rPr>
                <w:rFonts w:ascii="Times New Roman" w:hAnsi="Times New Roman" w:eastAsia="宋体"/>
                <w:b w:val="0"/>
                <w:i w:val="0"/>
                <w:sz w:val="19"/>
              </w:rPr>
              <w:t>提交成功后回到退款列表，单据进入审批中状态</w:t>
            </w:r>
          </w:p>
        </w:tc>
      </w:tr>
      <w:tr>
        <w:tc>
          <w:tcPr>
            <w:tcW w:type="dxa" w:w="1247"/>
          </w:tcPr>
          <w:p>
            <w:pPr>
              <w:spacing w:before="20" w:after="20" w:line="276" w:lineRule="auto"/>
              <w:ind w:firstLine="0"/>
            </w:pPr>
            <w:r/>
            <w:r>
              <w:rPr>
                <w:rFonts w:ascii="Times New Roman" w:hAnsi="Times New Roman" w:eastAsia="宋体"/>
                <w:b w:val="0"/>
                <w:i w:val="0"/>
                <w:sz w:val="19"/>
              </w:rPr>
              <w:t>退款详情</w:t>
            </w:r>
          </w:p>
        </w:tc>
        <w:tc>
          <w:tcPr>
            <w:tcW w:type="dxa" w:w="1474"/>
          </w:tcPr>
          <w:p>
            <w:pPr>
              <w:spacing w:before="20" w:after="20" w:line="276" w:lineRule="auto"/>
              <w:ind w:firstLine="0"/>
            </w:pPr>
            <w:r/>
            <w:r>
              <w:rPr>
                <w:rFonts w:ascii="Times New Roman" w:hAnsi="Times New Roman" w:eastAsia="宋体"/>
                <w:b w:val="0"/>
                <w:i w:val="0"/>
                <w:sz w:val="19"/>
              </w:rPr>
              <w:t>refund-detail.html</w:t>
            </w:r>
          </w:p>
        </w:tc>
        <w:tc>
          <w:tcPr>
            <w:tcW w:type="dxa" w:w="1134"/>
          </w:tcPr>
          <w:p>
            <w:pPr>
              <w:spacing w:before="20" w:after="20" w:line="276" w:lineRule="auto"/>
              <w:ind w:firstLine="0"/>
            </w:pPr>
            <w:r/>
            <w:r>
              <w:rPr>
                <w:rFonts w:ascii="Times New Roman" w:hAnsi="Times New Roman" w:eastAsia="宋体"/>
                <w:b w:val="0"/>
                <w:i w:val="0"/>
                <w:sz w:val="19"/>
              </w:rPr>
              <w:t>退款列表行内「详情」</w:t>
            </w:r>
          </w:p>
        </w:tc>
        <w:tc>
          <w:tcPr>
            <w:tcW w:type="dxa" w:w="2041"/>
          </w:tcPr>
          <w:p>
            <w:pPr>
              <w:spacing w:before="20" w:after="20" w:line="276" w:lineRule="auto"/>
              <w:ind w:firstLine="0"/>
            </w:pPr>
            <w:r/>
            <w:r>
              <w:rPr>
                <w:rFonts w:ascii="Times New Roman" w:hAnsi="Times New Roman" w:eastAsia="宋体"/>
                <w:b w:val="0"/>
                <w:i w:val="0"/>
                <w:sz w:val="19"/>
              </w:rPr>
              <w:t>退款信息 / 附件 / 操作记录</w:t>
            </w:r>
          </w:p>
        </w:tc>
        <w:tc>
          <w:tcPr>
            <w:tcW w:type="dxa" w:w="1701"/>
          </w:tcPr>
          <w:p>
            <w:pPr>
              <w:spacing w:before="20" w:after="20" w:line="276" w:lineRule="auto"/>
              <w:ind w:firstLine="0"/>
            </w:pPr>
            <w:r/>
            <w:r>
              <w:rPr>
                <w:rFonts w:ascii="Times New Roman" w:hAnsi="Times New Roman" w:eastAsia="宋体"/>
                <w:b w:val="0"/>
                <w:i w:val="0"/>
                <w:sz w:val="19"/>
              </w:rPr>
              <w:t>撤回申请 / 审批通过 / 驳回审批</w:t>
            </w:r>
          </w:p>
        </w:tc>
        <w:tc>
          <w:tcPr>
            <w:tcW w:type="dxa" w:w="1474"/>
          </w:tcPr>
          <w:p>
            <w:pPr>
              <w:spacing w:before="20" w:after="20" w:line="276" w:lineRule="auto"/>
              <w:ind w:firstLine="0"/>
            </w:pPr>
            <w:r/>
            <w:r>
              <w:rPr>
                <w:rFonts w:ascii="Times New Roman" w:hAnsi="Times New Roman" w:eastAsia="宋体"/>
                <w:b w:val="0"/>
                <w:i w:val="0"/>
                <w:sz w:val="19"/>
              </w:rPr>
              <w:t>退款信息区块可跳转关联的原付款单</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4.12.5　数据关系</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474"/>
            <w:shd w:val="clear" w:color="auto" w:fill="DCE6F1"/>
          </w:tcPr>
          <w:p>
            <w:pPr>
              <w:spacing w:before="40" w:after="40" w:line="276" w:lineRule="auto"/>
              <w:jc w:val="center"/>
            </w:pPr>
            <w:r/>
            <w:r>
              <w:rPr>
                <w:rFonts w:ascii="Times New Roman" w:hAnsi="Times New Roman" w:eastAsia="黑体"/>
                <w:b/>
                <w:i w:val="0"/>
                <w:sz w:val="21"/>
              </w:rPr>
              <w:t>业务对象</w:t>
            </w:r>
          </w:p>
        </w:tc>
        <w:tc>
          <w:tcPr>
            <w:tcW w:type="dxa" w:w="4195"/>
            <w:shd w:val="clear" w:color="auto" w:fill="DCE6F1"/>
          </w:tcPr>
          <w:p>
            <w:pPr>
              <w:spacing w:before="40" w:after="40" w:line="276" w:lineRule="auto"/>
              <w:jc w:val="center"/>
            </w:pPr>
            <w:r/>
            <w:r>
              <w:rPr>
                <w:rFonts w:ascii="Times New Roman" w:hAnsi="Times New Roman" w:eastAsia="黑体"/>
                <w:b/>
                <w:i w:val="0"/>
                <w:sz w:val="21"/>
              </w:rPr>
              <w:t>关键字段与口径</w:t>
            </w:r>
          </w:p>
        </w:tc>
        <w:tc>
          <w:tcPr>
            <w:tcW w:type="dxa" w:w="3402"/>
            <w:shd w:val="clear" w:color="auto" w:fill="DCE6F1"/>
          </w:tcPr>
          <w:p>
            <w:pPr>
              <w:spacing w:before="40" w:after="40" w:line="276" w:lineRule="auto"/>
              <w:jc w:val="center"/>
            </w:pPr>
            <w:r/>
            <w:r>
              <w:rPr>
                <w:rFonts w:ascii="Times New Roman" w:hAnsi="Times New Roman" w:eastAsia="黑体"/>
                <w:b/>
                <w:i w:val="0"/>
                <w:sz w:val="21"/>
              </w:rPr>
              <w:t>与其他对象的关系</w:t>
            </w:r>
          </w:p>
        </w:tc>
      </w:tr>
      <w:tr>
        <w:tc>
          <w:tcPr>
            <w:tcW w:type="dxa" w:w="1474"/>
          </w:tcPr>
          <w:p>
            <w:pPr>
              <w:spacing w:before="20" w:after="20" w:line="276" w:lineRule="auto"/>
              <w:ind w:firstLine="0"/>
            </w:pPr>
            <w:r/>
            <w:r>
              <w:rPr>
                <w:rFonts w:ascii="Times New Roman" w:hAnsi="Times New Roman" w:eastAsia="宋体"/>
                <w:b w:val="0"/>
                <w:i w:val="0"/>
                <w:sz w:val="21"/>
              </w:rPr>
              <w:t>退款申请单</w:t>
            </w:r>
          </w:p>
        </w:tc>
        <w:tc>
          <w:tcPr>
            <w:tcW w:type="dxa" w:w="4195"/>
          </w:tcPr>
          <w:p>
            <w:pPr>
              <w:spacing w:before="20" w:after="20" w:line="276" w:lineRule="auto"/>
              <w:ind w:firstLine="0"/>
            </w:pPr>
            <w:r/>
            <w:r>
              <w:rPr>
                <w:rFonts w:ascii="Times New Roman" w:hAnsi="Times New Roman" w:eastAsia="宋体"/>
                <w:b w:val="0"/>
                <w:i w:val="0"/>
                <w:sz w:val="21"/>
              </w:rPr>
              <w:t>退款申请单号：varchar(32)，编号规则未定义</w:t>
            </w:r>
            <w:r>
              <w:br/>
            </w:r>
            <w:r>
              <w:rPr>
                <w:rFonts w:ascii="Times New Roman" w:hAnsi="Times New Roman" w:eastAsia="宋体"/>
                <w:b w:val="0"/>
                <w:i w:val="0"/>
                <w:sz w:val="21"/>
              </w:rPr>
              <w:t>原付款单 ID：必填，退款金额上限与重复退款校验的依据</w:t>
            </w:r>
            <w:r>
              <w:br/>
            </w:r>
            <w:r>
              <w:rPr>
                <w:rFonts w:ascii="Times New Roman" w:hAnsi="Times New Roman" w:eastAsia="宋体"/>
                <w:b w:val="0"/>
                <w:i w:val="0"/>
                <w:sz w:val="21"/>
              </w:rPr>
              <w:t>退款金额：decimal(20,2)，必填</w:t>
            </w:r>
            <w:r>
              <w:br/>
            </w:r>
            <w:r>
              <w:rPr>
                <w:rFonts w:ascii="Times New Roman" w:hAnsi="Times New Roman" w:eastAsia="宋体"/>
                <w:b w:val="0"/>
                <w:i w:val="0"/>
                <w:sz w:val="21"/>
              </w:rPr>
              <w:t>退款原因：varchar(500)，必填</w:t>
            </w:r>
            <w:r>
              <w:br/>
            </w:r>
            <w:r>
              <w:rPr>
                <w:rFonts w:ascii="Times New Roman" w:hAnsi="Times New Roman" w:eastAsia="宋体"/>
                <w:b w:val="0"/>
                <w:i w:val="0"/>
                <w:sz w:val="21"/>
              </w:rPr>
              <w:t>退款凭证：线下退款完成后上传，图片或 PDF</w:t>
            </w:r>
            <w:r>
              <w:br/>
            </w:r>
            <w:r>
              <w:rPr>
                <w:rFonts w:ascii="Times New Roman" w:hAnsi="Times New Roman" w:eastAsia="宋体"/>
                <w:b w:val="0"/>
                <w:i w:val="0"/>
                <w:sz w:val="21"/>
              </w:rPr>
              <w:t>退款状态：待线下退款 / 已退款 / 已驳回，状态枚举值未定义</w:t>
            </w:r>
          </w:p>
        </w:tc>
        <w:tc>
          <w:tcPr>
            <w:tcW w:type="dxa" w:w="3402"/>
          </w:tcPr>
          <w:p>
            <w:pPr>
              <w:spacing w:before="20" w:after="20" w:line="276" w:lineRule="auto"/>
              <w:ind w:firstLine="0"/>
            </w:pPr>
            <w:r/>
            <w:r>
              <w:rPr>
                <w:rFonts w:ascii="Times New Roman" w:hAnsi="Times New Roman" w:eastAsia="宋体"/>
                <w:b w:val="0"/>
                <w:i w:val="0"/>
                <w:sz w:val="21"/>
              </w:rPr>
              <w:t>一对一关联原付款申请单；退款完成后原付款单标记为已退款</w:t>
            </w:r>
          </w:p>
        </w:tc>
      </w:tr>
      <w:tr>
        <w:tc>
          <w:tcPr>
            <w:tcW w:type="dxa" w:w="1474"/>
          </w:tcPr>
          <w:p>
            <w:pPr>
              <w:spacing w:before="20" w:after="20" w:line="276" w:lineRule="auto"/>
              <w:ind w:firstLine="0"/>
            </w:pPr>
            <w:r/>
            <w:r>
              <w:rPr>
                <w:rFonts w:ascii="Times New Roman" w:hAnsi="Times New Roman" w:eastAsia="宋体"/>
                <w:b w:val="0"/>
                <w:i w:val="0"/>
                <w:sz w:val="21"/>
              </w:rPr>
              <w:t>付款申请单（上游）</w:t>
            </w:r>
          </w:p>
        </w:tc>
        <w:tc>
          <w:tcPr>
            <w:tcW w:type="dxa" w:w="4195"/>
          </w:tcPr>
          <w:p>
            <w:pPr>
              <w:spacing w:before="20" w:after="20" w:line="276" w:lineRule="auto"/>
              <w:ind w:firstLine="0"/>
            </w:pPr>
            <w:r/>
            <w:r>
              <w:rPr>
                <w:rFonts w:ascii="Times New Roman" w:hAnsi="Times New Roman" w:eastAsia="宋体"/>
                <w:b w:val="0"/>
                <w:i w:val="0"/>
                <w:sz w:val="21"/>
              </w:rPr>
              <w:t>付款申请单号</w:t>
            </w:r>
            <w:r>
              <w:br/>
            </w:r>
            <w:r>
              <w:rPr>
                <w:rFonts w:ascii="Times New Roman" w:hAnsi="Times New Roman" w:eastAsia="宋体"/>
                <w:b w:val="0"/>
                <w:i w:val="0"/>
                <w:sz w:val="21"/>
              </w:rPr>
              <w:t>申请金额与实际金额</w:t>
            </w:r>
            <w:r>
              <w:br/>
            </w:r>
            <w:r>
              <w:rPr>
                <w:rFonts w:ascii="Times New Roman" w:hAnsi="Times New Roman" w:eastAsia="宋体"/>
                <w:b w:val="0"/>
                <w:i w:val="0"/>
                <w:sz w:val="21"/>
              </w:rPr>
              <w:t>付款状态</w:t>
            </w:r>
            <w:r>
              <w:br/>
            </w:r>
            <w:r>
              <w:rPr>
                <w:rFonts w:ascii="Times New Roman" w:hAnsi="Times New Roman" w:eastAsia="宋体"/>
                <w:b w:val="0"/>
                <w:i w:val="0"/>
                <w:sz w:val="21"/>
              </w:rPr>
              <w:t>付款凭证</w:t>
            </w:r>
          </w:p>
        </w:tc>
        <w:tc>
          <w:tcPr>
            <w:tcW w:type="dxa" w:w="3402"/>
          </w:tcPr>
          <w:p>
            <w:pPr>
              <w:spacing w:before="20" w:after="20" w:line="276" w:lineRule="auto"/>
              <w:ind w:firstLine="0"/>
            </w:pPr>
            <w:r/>
            <w:r>
              <w:rPr>
                <w:rFonts w:ascii="Times New Roman" w:hAnsi="Times New Roman" w:eastAsia="宋体"/>
                <w:b w:val="0"/>
                <w:i w:val="0"/>
                <w:sz w:val="21"/>
              </w:rPr>
              <w:t>退款申请的上游单据，提供退款金额的上限基准与重复退款判定</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4.12.6　角色权限与数据权限</w:t>
      </w:r>
    </w:p>
    <w:p>
      <w:pPr>
        <w:spacing w:before="0" w:after="120" w:line="360" w:lineRule="auto"/>
      </w:pPr>
      <w:r>
        <w:rPr>
          <w:rFonts w:ascii="Times New Roman" w:hAnsi="Times New Roman" w:eastAsia="宋体"/>
          <w:b w:val="0"/>
          <w:i w:val="0"/>
          <w:sz w:val="24"/>
        </w:rPr>
        <w:t>本期为系统全量权限（业务方裁决 D17）；下表角色为典型使用角色，非权限分级。退款模块源文档未单独给出角色操作矩阵，此处沿用付款模块的操作分工作为说明性描述，不构成权限分级。</w:t>
      </w:r>
    </w:p>
    <w:p>
      <w:pPr>
        <w:spacing w:before="0" w:after="80" w:line="360" w:lineRule="auto"/>
      </w:pPr>
      <w:r>
        <w:rPr>
          <w:rFonts w:ascii="Times New Roman" w:hAnsi="Times New Roman" w:eastAsia="宋体"/>
          <w:b w:val="0"/>
          <w:i w:val="0"/>
          <w:sz w:val="24"/>
        </w:rPr>
        <w:t>数据可见性：按单据归属与业务筛选查看；手机号、统一社会信用代码等敏感字段默认打码，手动点击查看完整值且查看行为留痕。</w:t>
      </w:r>
    </w:p>
    <w:p>
      <w:pPr>
        <w:pStyle w:val="Heading3"/>
        <w:keepNext/>
        <w:spacing w:before="160" w:after="80" w:line="312" w:lineRule="auto"/>
        <w:ind w:firstLine="0"/>
      </w:pPr>
      <w:r>
        <w:rPr>
          <w:rFonts w:ascii="Times New Roman" w:hAnsi="Times New Roman" w:eastAsia="黑体"/>
          <w:b/>
          <w:i w:val="0"/>
          <w:sz w:val="24"/>
        </w:rPr>
        <w:t>4.12.7　业务流程与页面</w:t>
      </w:r>
    </w:p>
    <w:p>
      <w:pPr>
        <w:spacing w:before="120" w:after="60"/>
        <w:ind w:firstLine="0"/>
        <w:jc w:val="center"/>
      </w:pPr>
      <w:r>
        <w:drawing>
          <wp:inline xmlns:a="http://schemas.openxmlformats.org/drawingml/2006/main" xmlns:pic="http://schemas.openxmlformats.org/drawingml/2006/picture">
            <wp:extent cx="5616000" cy="1613793"/>
            <wp:docPr id="23" name="Picture 23"/>
            <wp:cNvGraphicFramePr>
              <a:graphicFrameLocks noChangeAspect="1"/>
            </wp:cNvGraphicFramePr>
            <a:graphic>
              <a:graphicData uri="http://schemas.openxmlformats.org/drawingml/2006/picture">
                <pic:pic>
                  <pic:nvPicPr>
                    <pic:cNvPr id="0" name="mermaid-refund.png"/>
                    <pic:cNvPicPr/>
                  </pic:nvPicPr>
                  <pic:blipFill>
                    <a:blip r:embed="rId33"/>
                    <a:stretch>
                      <a:fillRect/>
                    </a:stretch>
                  </pic:blipFill>
                  <pic:spPr>
                    <a:xfrm>
                      <a:off x="0" y="0"/>
                      <a:ext cx="5616000" cy="1613793"/>
                    </a:xfrm>
                    <a:prstGeom prst="rect"/>
                  </pic:spPr>
                </pic:pic>
              </a:graphicData>
            </a:graphic>
          </wp:inline>
        </w:drawing>
      </w:r>
    </w:p>
    <w:p>
      <w:pPr>
        <w:spacing w:before="0" w:after="200" w:line="240" w:lineRule="auto"/>
        <w:ind w:firstLine="0"/>
        <w:jc w:val="center"/>
      </w:pPr>
      <w:r>
        <w:rPr>
          <w:rFonts w:ascii="Times New Roman" w:hAnsi="Times New Roman" w:eastAsia="宋体"/>
          <w:b w:val="0"/>
          <w:i w:val="0"/>
          <w:sz w:val="21"/>
        </w:rPr>
        <w:t>图 4-12-1　退款管理 主业务流程</w:t>
      </w:r>
    </w:p>
    <w:p>
      <w:pPr>
        <w:spacing w:before="0" w:after="60" w:line="360" w:lineRule="auto"/>
      </w:pPr>
      <w:r>
        <w:rPr>
          <w:rFonts w:ascii="Times New Roman" w:hAnsi="Times New Roman" w:eastAsia="宋体"/>
          <w:b/>
          <w:i w:val="0"/>
          <w:sz w:val="24"/>
        </w:rPr>
        <w:t>主流程步骤：</w:t>
      </w:r>
    </w:p>
    <w:p>
      <w:pPr>
        <w:spacing w:before="0" w:after="60" w:line="336" w:lineRule="auto"/>
        <w:ind w:left="510" w:hanging="510"/>
      </w:pPr>
      <w:r>
        <w:rPr>
          <w:rFonts w:ascii="Times New Roman" w:hAnsi="Times New Roman" w:eastAsia="宋体"/>
          <w:b w:val="0"/>
          <w:i w:val="0"/>
          <w:sz w:val="24"/>
        </w:rPr>
        <w:t>1. 业务员新建退款申请，选择并关联原付款单</w:t>
      </w:r>
    </w:p>
    <w:p>
      <w:pPr>
        <w:spacing w:before="0" w:after="60" w:line="336" w:lineRule="auto"/>
        <w:ind w:left="510" w:hanging="510"/>
      </w:pPr>
      <w:r>
        <w:rPr>
          <w:rFonts w:ascii="Times New Roman" w:hAnsi="Times New Roman" w:eastAsia="宋体"/>
          <w:b w:val="0"/>
          <w:i w:val="0"/>
          <w:sz w:val="24"/>
        </w:rPr>
        <w:t>2. 登记退款金额与退款原因，退款原因为必填项</w:t>
      </w:r>
    </w:p>
    <w:p>
      <w:pPr>
        <w:spacing w:before="0" w:after="60" w:line="336" w:lineRule="auto"/>
        <w:ind w:left="510" w:hanging="510"/>
      </w:pPr>
      <w:r>
        <w:rPr>
          <w:rFonts w:ascii="Times New Roman" w:hAnsi="Times New Roman" w:eastAsia="宋体"/>
          <w:b w:val="0"/>
          <w:i w:val="0"/>
          <w:sz w:val="24"/>
        </w:rPr>
        <w:t>3. 提交时系统校验退款金额是否超过原付款金额，超出即阻止并提示具体差额</w:t>
      </w:r>
    </w:p>
    <w:p>
      <w:pPr>
        <w:spacing w:before="0" w:after="60" w:line="336" w:lineRule="auto"/>
        <w:ind w:left="510" w:hanging="510"/>
      </w:pPr>
      <w:r>
        <w:rPr>
          <w:rFonts w:ascii="Times New Roman" w:hAnsi="Times New Roman" w:eastAsia="宋体"/>
          <w:b w:val="0"/>
          <w:i w:val="0"/>
          <w:sz w:val="24"/>
        </w:rPr>
        <w:t>4. 提交时系统校验原付款单是否已退款，已退款即阻止并提示原单号</w:t>
      </w:r>
    </w:p>
    <w:p>
      <w:pPr>
        <w:spacing w:before="0" w:after="60" w:line="336" w:lineRule="auto"/>
        <w:ind w:left="510" w:hanging="510"/>
      </w:pPr>
      <w:r>
        <w:rPr>
          <w:rFonts w:ascii="Times New Roman" w:hAnsi="Times New Roman" w:eastAsia="宋体"/>
          <w:b w:val="0"/>
          <w:i w:val="0"/>
          <w:sz w:val="24"/>
        </w:rPr>
        <w:t>5. 校验通过后进入串行审批：业务部 → 风控部 → 财务部</w:t>
      </w:r>
    </w:p>
    <w:p>
      <w:pPr>
        <w:spacing w:before="0" w:after="60" w:line="336" w:lineRule="auto"/>
        <w:ind w:left="510" w:hanging="510"/>
      </w:pPr>
      <w:r>
        <w:rPr>
          <w:rFonts w:ascii="Times New Roman" w:hAnsi="Times New Roman" w:eastAsia="宋体"/>
          <w:b w:val="0"/>
          <w:i w:val="0"/>
          <w:sz w:val="24"/>
        </w:rPr>
        <w:t>6. 审批通过后退款单进入待线下退款，任一节点驳回则进入已驳回终态</w:t>
      </w:r>
    </w:p>
    <w:p>
      <w:pPr>
        <w:spacing w:before="0" w:after="60" w:line="336" w:lineRule="auto"/>
        <w:ind w:left="510" w:hanging="510"/>
      </w:pPr>
      <w:r>
        <w:rPr>
          <w:rFonts w:ascii="Times New Roman" w:hAnsi="Times New Roman" w:eastAsia="宋体"/>
          <w:b w:val="0"/>
          <w:i w:val="0"/>
          <w:sz w:val="24"/>
        </w:rPr>
        <w:t>7. 业务人员在平台外完成实际退款转账，系统不执行线上打款</w:t>
      </w:r>
    </w:p>
    <w:p>
      <w:pPr>
        <w:spacing w:before="0" w:after="60" w:line="336" w:lineRule="auto"/>
        <w:ind w:left="510" w:hanging="510"/>
      </w:pPr>
      <w:r>
        <w:rPr>
          <w:rFonts w:ascii="Times New Roman" w:hAnsi="Times New Roman" w:eastAsia="宋体"/>
          <w:b w:val="0"/>
          <w:i w:val="0"/>
          <w:sz w:val="24"/>
        </w:rPr>
        <w:t>8. 业务人员回平台上传退款凭证，凭证登记完成后退款单进入已退款终态</w:t>
      </w:r>
    </w:p>
    <w:p>
      <w:pPr>
        <w:spacing w:before="120" w:after="60" w:line="360" w:lineRule="auto"/>
      </w:pPr>
      <w:r>
        <w:rPr>
          <w:rFonts w:ascii="Times New Roman" w:hAnsi="Times New Roman" w:eastAsia="宋体"/>
          <w:b/>
          <w:i w:val="0"/>
          <w:sz w:val="24"/>
        </w:rPr>
        <w:t>异常分支：</w:t>
      </w:r>
    </w:p>
    <w:tbl>
      <w:tblPr>
        <w:tblStyle w:val="TableGrid"/>
        <w:tblW w:type="auto" w:w="0"/>
        <w:jc w:val="center"/>
        <w:tblLayout w:type="fixed"/>
        <w:tblLook w:firstColumn="1" w:firstRow="1" w:lastColumn="0" w:lastRow="0" w:noHBand="0" w:noVBand="1" w:val="04A0"/>
      </w:tblPr>
      <w:tblGrid>
        <w:gridCol w:w="4479"/>
        <w:gridCol w:w="4479"/>
      </w:tblGrid>
      <w:tr>
        <w:trPr>
          <w:tblHeader w:val="true"/>
        </w:trPr>
        <w:tc>
          <w:tcPr>
            <w:tcW w:type="dxa" w:w="2835"/>
            <w:shd w:val="clear" w:color="auto" w:fill="DCE6F1"/>
          </w:tcPr>
          <w:p>
            <w:pPr>
              <w:spacing w:before="40" w:after="40" w:line="276" w:lineRule="auto"/>
              <w:jc w:val="center"/>
            </w:pPr>
            <w:r/>
            <w:r>
              <w:rPr>
                <w:rFonts w:ascii="Times New Roman" w:hAnsi="Times New Roman" w:eastAsia="黑体"/>
                <w:b/>
                <w:i w:val="0"/>
                <w:sz w:val="21"/>
              </w:rPr>
              <w:t>异常场景</w:t>
            </w:r>
          </w:p>
        </w:tc>
        <w:tc>
          <w:tcPr>
            <w:tcW w:type="dxa" w:w="6236"/>
            <w:shd w:val="clear" w:color="auto" w:fill="DCE6F1"/>
          </w:tcPr>
          <w:p>
            <w:pPr>
              <w:spacing w:before="40" w:after="40" w:line="276" w:lineRule="auto"/>
              <w:jc w:val="center"/>
            </w:pPr>
            <w:r/>
            <w:r>
              <w:rPr>
                <w:rFonts w:ascii="Times New Roman" w:hAnsi="Times New Roman" w:eastAsia="黑体"/>
                <w:b/>
                <w:i w:val="0"/>
                <w:sz w:val="21"/>
              </w:rPr>
              <w:t>系统处理</w:t>
            </w:r>
          </w:p>
        </w:tc>
      </w:tr>
      <w:tr>
        <w:tc>
          <w:tcPr>
            <w:tcW w:type="dxa" w:w="2835"/>
          </w:tcPr>
          <w:p>
            <w:pPr>
              <w:spacing w:before="20" w:after="20" w:line="276" w:lineRule="auto"/>
              <w:ind w:firstLine="0"/>
            </w:pPr>
            <w:r/>
            <w:r>
              <w:rPr>
                <w:rFonts w:ascii="Times New Roman" w:hAnsi="Times New Roman" w:eastAsia="宋体"/>
                <w:b w:val="0"/>
                <w:i w:val="0"/>
                <w:sz w:val="21"/>
              </w:rPr>
              <w:t>退款金额超过原付款金额</w:t>
            </w:r>
          </w:p>
        </w:tc>
        <w:tc>
          <w:tcPr>
            <w:tcW w:type="dxa" w:w="6236"/>
          </w:tcPr>
          <w:p>
            <w:pPr>
              <w:spacing w:before="20" w:after="20" w:line="276" w:lineRule="auto"/>
              <w:ind w:firstLine="0"/>
            </w:pPr>
            <w:r/>
            <w:r>
              <w:rPr>
                <w:rFonts w:ascii="Times New Roman" w:hAnsi="Times New Roman" w:eastAsia="宋体"/>
                <w:b w:val="0"/>
                <w:i w:val="0"/>
                <w:sz w:val="21"/>
              </w:rPr>
              <w:t>提示「退款金额 X 超过原付款金额 Y」，阻止提交</w:t>
            </w:r>
          </w:p>
        </w:tc>
      </w:tr>
      <w:tr>
        <w:tc>
          <w:tcPr>
            <w:tcW w:type="dxa" w:w="2835"/>
          </w:tcPr>
          <w:p>
            <w:pPr>
              <w:spacing w:before="20" w:after="20" w:line="276" w:lineRule="auto"/>
              <w:ind w:firstLine="0"/>
            </w:pPr>
            <w:r/>
            <w:r>
              <w:rPr>
                <w:rFonts w:ascii="Times New Roman" w:hAnsi="Times New Roman" w:eastAsia="宋体"/>
                <w:b w:val="0"/>
                <w:i w:val="0"/>
                <w:sz w:val="21"/>
              </w:rPr>
              <w:t>原付款单已退款</w:t>
            </w:r>
          </w:p>
        </w:tc>
        <w:tc>
          <w:tcPr>
            <w:tcW w:type="dxa" w:w="6236"/>
          </w:tcPr>
          <w:p>
            <w:pPr>
              <w:spacing w:before="20" w:after="20" w:line="276" w:lineRule="auto"/>
              <w:ind w:firstLine="0"/>
            </w:pPr>
            <w:r/>
            <w:r>
              <w:rPr>
                <w:rFonts w:ascii="Times New Roman" w:hAnsi="Times New Roman" w:eastAsia="宋体"/>
                <w:b w:val="0"/>
                <w:i w:val="0"/>
                <w:sz w:val="21"/>
              </w:rPr>
              <w:t>提示「原付款 X 已退款，不能重复退款」，阻止提交</w:t>
            </w:r>
          </w:p>
        </w:tc>
      </w:tr>
      <w:tr>
        <w:tc>
          <w:tcPr>
            <w:tcW w:type="dxa" w:w="2835"/>
          </w:tcPr>
          <w:p>
            <w:pPr>
              <w:spacing w:before="20" w:after="20" w:line="276" w:lineRule="auto"/>
              <w:ind w:firstLine="0"/>
            </w:pPr>
            <w:r/>
            <w:r>
              <w:rPr>
                <w:rFonts w:ascii="Times New Roman" w:hAnsi="Times New Roman" w:eastAsia="宋体"/>
                <w:b w:val="0"/>
                <w:i w:val="0"/>
                <w:sz w:val="21"/>
              </w:rPr>
              <w:t>未关联原付款单</w:t>
            </w:r>
          </w:p>
        </w:tc>
        <w:tc>
          <w:tcPr>
            <w:tcW w:type="dxa" w:w="6236"/>
          </w:tcPr>
          <w:p>
            <w:pPr>
              <w:spacing w:before="20" w:after="20" w:line="276" w:lineRule="auto"/>
              <w:ind w:firstLine="0"/>
            </w:pPr>
            <w:r/>
            <w:r>
              <w:rPr>
                <w:rFonts w:ascii="Times New Roman" w:hAnsi="Times New Roman" w:eastAsia="宋体"/>
                <w:b w:val="0"/>
                <w:i w:val="0"/>
                <w:sz w:val="21"/>
              </w:rPr>
              <w:t>关联原付款单为必填，未选择时不允许提交</w:t>
            </w:r>
          </w:p>
        </w:tc>
      </w:tr>
      <w:tr>
        <w:tc>
          <w:tcPr>
            <w:tcW w:type="dxa" w:w="2835"/>
          </w:tcPr>
          <w:p>
            <w:pPr>
              <w:spacing w:before="20" w:after="20" w:line="276" w:lineRule="auto"/>
              <w:ind w:firstLine="0"/>
            </w:pPr>
            <w:r/>
            <w:r>
              <w:rPr>
                <w:rFonts w:ascii="Times New Roman" w:hAnsi="Times New Roman" w:eastAsia="宋体"/>
                <w:b w:val="0"/>
                <w:i w:val="0"/>
                <w:sz w:val="21"/>
              </w:rPr>
              <w:t>审批节点驳回</w:t>
            </w:r>
          </w:p>
        </w:tc>
        <w:tc>
          <w:tcPr>
            <w:tcW w:type="dxa" w:w="6236"/>
          </w:tcPr>
          <w:p>
            <w:pPr>
              <w:spacing w:before="20" w:after="20" w:line="276" w:lineRule="auto"/>
              <w:ind w:firstLine="0"/>
            </w:pPr>
            <w:r/>
            <w:r>
              <w:rPr>
                <w:rFonts w:ascii="Times New Roman" w:hAnsi="Times New Roman" w:eastAsia="宋体"/>
                <w:b w:val="0"/>
                <w:i w:val="0"/>
                <w:sz w:val="21"/>
              </w:rPr>
              <w:t>单据进入已驳回终态并记录审批意见；驳回后是否允许修改重新提交尚未定义</w:t>
            </w:r>
          </w:p>
        </w:tc>
      </w:tr>
      <w:tr>
        <w:tc>
          <w:tcPr>
            <w:tcW w:type="dxa" w:w="2835"/>
          </w:tcPr>
          <w:p>
            <w:pPr>
              <w:spacing w:before="20" w:after="20" w:line="276" w:lineRule="auto"/>
              <w:ind w:firstLine="0"/>
            </w:pPr>
            <w:r/>
            <w:r>
              <w:rPr>
                <w:rFonts w:ascii="Times New Roman" w:hAnsi="Times New Roman" w:eastAsia="宋体"/>
                <w:b w:val="0"/>
                <w:i w:val="0"/>
                <w:sz w:val="21"/>
              </w:rPr>
              <w:t>线下退款完成后未上传退款凭证</w:t>
            </w:r>
          </w:p>
        </w:tc>
        <w:tc>
          <w:tcPr>
            <w:tcW w:type="dxa" w:w="6236"/>
          </w:tcPr>
          <w:p>
            <w:pPr>
              <w:spacing w:before="20" w:after="20" w:line="276" w:lineRule="auto"/>
              <w:ind w:firstLine="0"/>
            </w:pPr>
            <w:r/>
            <w:r>
              <w:rPr>
                <w:rFonts w:ascii="Times New Roman" w:hAnsi="Times New Roman" w:eastAsia="宋体"/>
                <w:b w:val="0"/>
                <w:i w:val="0"/>
                <w:sz w:val="21"/>
              </w:rPr>
              <w:t>不得将单据置为已退款，凭证登记完成后才能进入终态</w:t>
            </w:r>
          </w:p>
        </w:tc>
      </w:tr>
      <w:tr>
        <w:tc>
          <w:tcPr>
            <w:tcW w:type="dxa" w:w="2835"/>
          </w:tcPr>
          <w:p>
            <w:pPr>
              <w:spacing w:before="20" w:after="20" w:line="276" w:lineRule="auto"/>
              <w:ind w:firstLine="0"/>
            </w:pPr>
            <w:r/>
            <w:r>
              <w:rPr>
                <w:rFonts w:ascii="Times New Roman" w:hAnsi="Times New Roman" w:eastAsia="宋体"/>
                <w:b w:val="0"/>
                <w:i w:val="0"/>
                <w:sz w:val="21"/>
              </w:rPr>
              <w:t>退款详情缺少审批记录区块与操作记录表</w:t>
            </w:r>
          </w:p>
        </w:tc>
        <w:tc>
          <w:tcPr>
            <w:tcW w:type="dxa" w:w="6236"/>
          </w:tcPr>
          <w:p>
            <w:pPr>
              <w:spacing w:before="20" w:after="20" w:line="276" w:lineRule="auto"/>
              <w:ind w:firstLine="0"/>
            </w:pPr>
            <w:r/>
            <w:r>
              <w:rPr>
                <w:rFonts w:ascii="Times New Roman" w:hAnsi="Times New Roman" w:eastAsia="宋体"/>
                <w:b w:val="0"/>
                <w:i w:val="0"/>
                <w:sz w:val="21"/>
              </w:rPr>
              <w:t>退款单的操作留痕落点尚未定义，待业务方与研发确认后补齐</w:t>
            </w:r>
          </w:p>
        </w:tc>
      </w:tr>
    </w:tbl>
    <w:p>
      <w:pPr>
        <w:spacing w:before="0" w:after="0" w:line="240" w:lineRule="auto"/>
      </w:pPr>
    </w:p>
    <w:p>
      <w:pPr>
        <w:spacing w:before="120" w:after="60"/>
        <w:ind w:firstLine="0"/>
        <w:jc w:val="center"/>
      </w:pPr>
      <w:r>
        <w:drawing>
          <wp:inline xmlns:a="http://schemas.openxmlformats.org/drawingml/2006/main" xmlns:pic="http://schemas.openxmlformats.org/drawingml/2006/picture">
            <wp:extent cx="5616000" cy="3334500"/>
            <wp:docPr id="24" name="Picture 24"/>
            <wp:cNvGraphicFramePr>
              <a:graphicFrameLocks noChangeAspect="1"/>
            </wp:cNvGraphicFramePr>
            <a:graphic>
              <a:graphicData uri="http://schemas.openxmlformats.org/drawingml/2006/picture">
                <pic:pic>
                  <pic:nvPicPr>
                    <pic:cNvPr id="0" name="refund.png"/>
                    <pic:cNvPicPr/>
                  </pic:nvPicPr>
                  <pic:blipFill>
                    <a:blip r:embed="rId34"/>
                    <a:stretch>
                      <a:fillRect/>
                    </a:stretch>
                  </pic:blipFill>
                  <pic:spPr>
                    <a:xfrm>
                      <a:off x="0" y="0"/>
                      <a:ext cx="5616000" cy="3334500"/>
                    </a:xfrm>
                    <a:prstGeom prst="rect"/>
                  </pic:spPr>
                </pic:pic>
              </a:graphicData>
            </a:graphic>
          </wp:inline>
        </w:drawing>
      </w:r>
    </w:p>
    <w:p>
      <w:pPr>
        <w:spacing w:before="0" w:after="200" w:line="240" w:lineRule="auto"/>
        <w:ind w:firstLine="0"/>
        <w:jc w:val="center"/>
      </w:pPr>
      <w:r>
        <w:rPr>
          <w:rFonts w:ascii="Times New Roman" w:hAnsi="Times New Roman" w:eastAsia="宋体"/>
          <w:b w:val="0"/>
          <w:i w:val="0"/>
          <w:sz w:val="21"/>
        </w:rPr>
        <w:t>图 4-12-2　退款管理 原型页面</w:t>
      </w:r>
    </w:p>
    <w:p>
      <w:pPr>
        <w:spacing w:before="80" w:after="60" w:line="360" w:lineRule="auto"/>
      </w:pPr>
      <w:r>
        <w:rPr>
          <w:rFonts w:ascii="Times New Roman" w:hAnsi="Times New Roman" w:eastAsia="宋体"/>
          <w:b/>
          <w:i w:val="0"/>
          <w:sz w:val="24"/>
        </w:rPr>
        <w:t>页面级说明：</w:t>
      </w: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tblGrid>
      <w:tr>
        <w:trPr>
          <w:tblHeader w:val="true"/>
        </w:trPr>
        <w:tc>
          <w:tcPr>
            <w:tcW w:type="dxa" w:w="1178"/>
            <w:shd w:val="clear" w:color="auto" w:fill="DCE6F1"/>
          </w:tcPr>
          <w:p>
            <w:pPr>
              <w:spacing w:before="40" w:after="40" w:line="276" w:lineRule="auto"/>
              <w:jc w:val="center"/>
            </w:pPr>
            <w:r/>
            <w:r>
              <w:rPr>
                <w:rFonts w:ascii="Times New Roman" w:hAnsi="Times New Roman" w:eastAsia="黑体"/>
                <w:b/>
                <w:i w:val="0"/>
                <w:sz w:val="19"/>
              </w:rPr>
              <w:t>页面</w:t>
            </w:r>
          </w:p>
        </w:tc>
        <w:tc>
          <w:tcPr>
            <w:tcW w:type="dxa" w:w="1531"/>
            <w:shd w:val="clear" w:color="auto" w:fill="DCE6F1"/>
          </w:tcPr>
          <w:p>
            <w:pPr>
              <w:spacing w:before="40" w:after="40" w:line="276" w:lineRule="auto"/>
              <w:jc w:val="center"/>
            </w:pPr>
            <w:r/>
            <w:r>
              <w:rPr>
                <w:rFonts w:ascii="Times New Roman" w:hAnsi="Times New Roman" w:eastAsia="黑体"/>
                <w:b/>
                <w:i w:val="0"/>
                <w:sz w:val="19"/>
              </w:rPr>
              <w:t>原型文件</w:t>
            </w:r>
          </w:p>
        </w:tc>
        <w:tc>
          <w:tcPr>
            <w:tcW w:type="dxa" w:w="1119"/>
            <w:shd w:val="clear" w:color="auto" w:fill="DCE6F1"/>
          </w:tcPr>
          <w:p>
            <w:pPr>
              <w:spacing w:before="40" w:after="40" w:line="276" w:lineRule="auto"/>
              <w:jc w:val="center"/>
            </w:pPr>
            <w:r/>
            <w:r>
              <w:rPr>
                <w:rFonts w:ascii="Times New Roman" w:hAnsi="Times New Roman" w:eastAsia="黑体"/>
                <w:b/>
                <w:i w:val="0"/>
                <w:sz w:val="19"/>
              </w:rPr>
              <w:t>进入方式</w:t>
            </w:r>
          </w:p>
        </w:tc>
        <w:tc>
          <w:tcPr>
            <w:tcW w:type="dxa" w:w="2062"/>
            <w:shd w:val="clear" w:color="auto" w:fill="DCE6F1"/>
          </w:tcPr>
          <w:p>
            <w:pPr>
              <w:spacing w:before="40" w:after="40" w:line="276" w:lineRule="auto"/>
              <w:jc w:val="center"/>
            </w:pPr>
            <w:r/>
            <w:r>
              <w:rPr>
                <w:rFonts w:ascii="Times New Roman" w:hAnsi="Times New Roman" w:eastAsia="黑体"/>
                <w:b/>
                <w:i w:val="0"/>
                <w:sz w:val="19"/>
              </w:rPr>
              <w:t>关键区块</w:t>
            </w:r>
          </w:p>
        </w:tc>
        <w:tc>
          <w:tcPr>
            <w:tcW w:type="dxa" w:w="1767"/>
            <w:shd w:val="clear" w:color="auto" w:fill="DCE6F1"/>
          </w:tcPr>
          <w:p>
            <w:pPr>
              <w:spacing w:before="40" w:after="40" w:line="276" w:lineRule="auto"/>
              <w:jc w:val="center"/>
            </w:pPr>
            <w:r/>
            <w:r>
              <w:rPr>
                <w:rFonts w:ascii="Times New Roman" w:hAnsi="Times New Roman" w:eastAsia="黑体"/>
                <w:b/>
                <w:i w:val="0"/>
                <w:sz w:val="19"/>
              </w:rPr>
              <w:t>主要按钮与行为</w:t>
            </w:r>
          </w:p>
        </w:tc>
        <w:tc>
          <w:tcPr>
            <w:tcW w:type="dxa" w:w="1414"/>
            <w:shd w:val="clear" w:color="auto" w:fill="DCE6F1"/>
          </w:tcPr>
          <w:p>
            <w:pPr>
              <w:spacing w:before="40" w:after="40" w:line="276" w:lineRule="auto"/>
              <w:jc w:val="center"/>
            </w:pPr>
            <w:r/>
            <w:r>
              <w:rPr>
                <w:rFonts w:ascii="Times New Roman" w:hAnsi="Times New Roman" w:eastAsia="黑体"/>
                <w:b/>
                <w:i w:val="0"/>
                <w:sz w:val="19"/>
              </w:rPr>
              <w:t>跳转去向</w:t>
            </w:r>
          </w:p>
        </w:tc>
      </w:tr>
      <w:tr>
        <w:tc>
          <w:tcPr>
            <w:tcW w:type="dxa" w:w="1178"/>
          </w:tcPr>
          <w:p>
            <w:pPr>
              <w:spacing w:before="20" w:after="20" w:line="276" w:lineRule="auto"/>
              <w:ind w:firstLine="0"/>
            </w:pPr>
            <w:r/>
            <w:r>
              <w:rPr>
                <w:rFonts w:ascii="Times New Roman" w:hAnsi="Times New Roman" w:eastAsia="宋体"/>
                <w:b w:val="0"/>
                <w:i w:val="0"/>
                <w:sz w:val="19"/>
              </w:rPr>
              <w:t>退款列表</w:t>
            </w:r>
          </w:p>
        </w:tc>
        <w:tc>
          <w:tcPr>
            <w:tcW w:type="dxa" w:w="1531"/>
          </w:tcPr>
          <w:p>
            <w:pPr>
              <w:spacing w:before="20" w:after="20" w:line="276" w:lineRule="auto"/>
              <w:ind w:firstLine="0"/>
            </w:pPr>
            <w:r/>
            <w:r>
              <w:rPr>
                <w:rFonts w:ascii="Times New Roman" w:hAnsi="Times New Roman" w:eastAsia="宋体"/>
                <w:b w:val="0"/>
                <w:i w:val="0"/>
                <w:sz w:val="19"/>
              </w:rPr>
              <w:t>refund-list.html</w:t>
            </w:r>
          </w:p>
        </w:tc>
        <w:tc>
          <w:tcPr>
            <w:tcW w:type="dxa" w:w="1119"/>
          </w:tcPr>
          <w:p>
            <w:pPr>
              <w:spacing w:before="20" w:after="20" w:line="276" w:lineRule="auto"/>
              <w:ind w:firstLine="0"/>
            </w:pPr>
            <w:r/>
            <w:r>
              <w:rPr>
                <w:rFonts w:ascii="Times New Roman" w:hAnsi="Times New Roman" w:eastAsia="宋体"/>
                <w:b w:val="0"/>
                <w:i w:val="0"/>
                <w:sz w:val="19"/>
              </w:rPr>
              <w:t>数字供应链 / 资金管理 / 退款管理</w:t>
            </w:r>
          </w:p>
        </w:tc>
        <w:tc>
          <w:tcPr>
            <w:tcW w:type="dxa" w:w="2062"/>
          </w:tcPr>
          <w:p>
            <w:pPr>
              <w:spacing w:before="20" w:after="20" w:line="276" w:lineRule="auto"/>
              <w:ind w:firstLine="0"/>
            </w:pPr>
            <w:r/>
            <w:r>
              <w:rPr>
                <w:rFonts w:ascii="Times New Roman" w:hAnsi="Times New Roman" w:eastAsia="宋体"/>
                <w:b w:val="0"/>
                <w:i w:val="0"/>
                <w:sz w:val="19"/>
              </w:rPr>
              <w:t>状态页签（全部、审批中、已退款、驳回、无效）+ 筛选查询区 + 退款明细表格（合同类型、合同编号、退款方、收款方、退款金额、退款日期、退款状态、操作）</w:t>
            </w:r>
          </w:p>
        </w:tc>
        <w:tc>
          <w:tcPr>
            <w:tcW w:type="dxa" w:w="1767"/>
          </w:tcPr>
          <w:p>
            <w:pPr>
              <w:spacing w:before="20" w:after="20" w:line="276" w:lineRule="auto"/>
              <w:ind w:firstLine="0"/>
            </w:pPr>
            <w:r/>
            <w:r>
              <w:rPr>
                <w:rFonts w:ascii="Times New Roman" w:hAnsi="Times New Roman" w:eastAsia="宋体"/>
                <w:b w:val="0"/>
                <w:i w:val="0"/>
                <w:sz w:val="19"/>
              </w:rPr>
              <w:t>查询 / 重置 / 清除全部筛选 / 行内详情</w:t>
            </w:r>
          </w:p>
        </w:tc>
        <w:tc>
          <w:tcPr>
            <w:tcW w:type="dxa" w:w="1414"/>
          </w:tcPr>
          <w:p>
            <w:pPr>
              <w:spacing w:before="20" w:after="20" w:line="276" w:lineRule="auto"/>
              <w:ind w:firstLine="0"/>
            </w:pPr>
            <w:r/>
            <w:r>
              <w:rPr>
                <w:rFonts w:ascii="Times New Roman" w:hAnsi="Times New Roman" w:eastAsia="宋体"/>
                <w:b w:val="0"/>
                <w:i w:val="0"/>
                <w:sz w:val="19"/>
              </w:rPr>
              <w:t>行内详情跳转到退款详情页 refund-detail.html</w:t>
            </w:r>
          </w:p>
        </w:tc>
      </w:tr>
      <w:tr>
        <w:tc>
          <w:tcPr>
            <w:tcW w:type="dxa" w:w="1178"/>
          </w:tcPr>
          <w:p>
            <w:pPr>
              <w:spacing w:before="20" w:after="20" w:line="276" w:lineRule="auto"/>
              <w:ind w:firstLine="0"/>
            </w:pPr>
            <w:r/>
            <w:r>
              <w:rPr>
                <w:rFonts w:ascii="Times New Roman" w:hAnsi="Times New Roman" w:eastAsia="宋体"/>
                <w:b w:val="0"/>
                <w:i w:val="0"/>
                <w:sz w:val="19"/>
              </w:rPr>
              <w:t>新增退款</w:t>
            </w:r>
          </w:p>
        </w:tc>
        <w:tc>
          <w:tcPr>
            <w:tcW w:type="dxa" w:w="1531"/>
          </w:tcPr>
          <w:p>
            <w:pPr>
              <w:spacing w:before="20" w:after="20" w:line="276" w:lineRule="auto"/>
              <w:ind w:firstLine="0"/>
            </w:pPr>
            <w:r/>
            <w:r>
              <w:rPr>
                <w:rFonts w:ascii="Times New Roman" w:hAnsi="Times New Roman" w:eastAsia="宋体"/>
                <w:b w:val="0"/>
                <w:i w:val="0"/>
                <w:sz w:val="19"/>
              </w:rPr>
              <w:t>refund-apply.html</w:t>
            </w:r>
          </w:p>
        </w:tc>
        <w:tc>
          <w:tcPr>
            <w:tcW w:type="dxa" w:w="1119"/>
          </w:tcPr>
          <w:p>
            <w:pPr>
              <w:spacing w:before="20" w:after="20" w:line="276" w:lineRule="auto"/>
              <w:ind w:firstLine="0"/>
            </w:pPr>
            <w:r/>
            <w:r>
              <w:rPr>
                <w:rFonts w:ascii="Times New Roman" w:hAnsi="Times New Roman" w:eastAsia="宋体"/>
                <w:b w:val="0"/>
                <w:i w:val="0"/>
                <w:sz w:val="19"/>
              </w:rPr>
              <w:t>退款列表右上「新增退款」</w:t>
            </w:r>
          </w:p>
        </w:tc>
        <w:tc>
          <w:tcPr>
            <w:tcW w:type="dxa" w:w="2062"/>
          </w:tcPr>
          <w:p>
            <w:pPr>
              <w:spacing w:before="20" w:after="20" w:line="276" w:lineRule="auto"/>
              <w:ind w:firstLine="0"/>
            </w:pPr>
            <w:r/>
            <w:r>
              <w:rPr>
                <w:rFonts w:ascii="Times New Roman" w:hAnsi="Times New Roman" w:eastAsia="宋体"/>
                <w:b w:val="0"/>
                <w:i w:val="0"/>
                <w:sz w:val="19"/>
              </w:rPr>
              <w:t>合同信息（选择合同）/ 退款信息（退款金额、退款原因）/ 附件信息</w:t>
            </w:r>
          </w:p>
        </w:tc>
        <w:tc>
          <w:tcPr>
            <w:tcW w:type="dxa" w:w="1767"/>
          </w:tcPr>
          <w:p>
            <w:pPr>
              <w:spacing w:before="20" w:after="20" w:line="276" w:lineRule="auto"/>
              <w:ind w:firstLine="0"/>
            </w:pPr>
            <w:r/>
            <w:r>
              <w:rPr>
                <w:rFonts w:ascii="Times New Roman" w:hAnsi="Times New Roman" w:eastAsia="宋体"/>
                <w:b w:val="0"/>
                <w:i w:val="0"/>
                <w:sz w:val="19"/>
              </w:rPr>
              <w:t>选择合同 / 下一步 / 提交 / 取消 / 查询 / 重置</w:t>
            </w:r>
          </w:p>
        </w:tc>
        <w:tc>
          <w:tcPr>
            <w:tcW w:type="dxa" w:w="1414"/>
          </w:tcPr>
          <w:p>
            <w:pPr>
              <w:spacing w:before="20" w:after="20" w:line="276" w:lineRule="auto"/>
              <w:ind w:firstLine="0"/>
            </w:pPr>
            <w:r/>
            <w:r>
              <w:rPr>
                <w:rFonts w:ascii="Times New Roman" w:hAnsi="Times New Roman" w:eastAsia="宋体"/>
                <w:b w:val="0"/>
                <w:i w:val="0"/>
                <w:sz w:val="19"/>
              </w:rPr>
              <w:t>提交成功后回到退款列表，单据进入审批中状态</w:t>
            </w:r>
          </w:p>
        </w:tc>
      </w:tr>
      <w:tr>
        <w:tc>
          <w:tcPr>
            <w:tcW w:type="dxa" w:w="1178"/>
          </w:tcPr>
          <w:p>
            <w:pPr>
              <w:spacing w:before="20" w:after="20" w:line="276" w:lineRule="auto"/>
              <w:ind w:firstLine="0"/>
            </w:pPr>
            <w:r/>
            <w:r>
              <w:rPr>
                <w:rFonts w:ascii="Times New Roman" w:hAnsi="Times New Roman" w:eastAsia="宋体"/>
                <w:b w:val="0"/>
                <w:i w:val="0"/>
                <w:sz w:val="19"/>
              </w:rPr>
              <w:t>退款详情</w:t>
            </w:r>
          </w:p>
        </w:tc>
        <w:tc>
          <w:tcPr>
            <w:tcW w:type="dxa" w:w="1531"/>
          </w:tcPr>
          <w:p>
            <w:pPr>
              <w:spacing w:before="20" w:after="20" w:line="276" w:lineRule="auto"/>
              <w:ind w:firstLine="0"/>
            </w:pPr>
            <w:r/>
            <w:r>
              <w:rPr>
                <w:rFonts w:ascii="Times New Roman" w:hAnsi="Times New Roman" w:eastAsia="宋体"/>
                <w:b w:val="0"/>
                <w:i w:val="0"/>
                <w:sz w:val="19"/>
              </w:rPr>
              <w:t>refund-detail.html</w:t>
            </w:r>
          </w:p>
        </w:tc>
        <w:tc>
          <w:tcPr>
            <w:tcW w:type="dxa" w:w="1119"/>
          </w:tcPr>
          <w:p>
            <w:pPr>
              <w:spacing w:before="20" w:after="20" w:line="276" w:lineRule="auto"/>
              <w:ind w:firstLine="0"/>
            </w:pPr>
            <w:r/>
            <w:r>
              <w:rPr>
                <w:rFonts w:ascii="Times New Roman" w:hAnsi="Times New Roman" w:eastAsia="宋体"/>
                <w:b w:val="0"/>
                <w:i w:val="0"/>
                <w:sz w:val="19"/>
              </w:rPr>
              <w:t>退款列表行内「详情」</w:t>
            </w:r>
          </w:p>
        </w:tc>
        <w:tc>
          <w:tcPr>
            <w:tcW w:type="dxa" w:w="2062"/>
          </w:tcPr>
          <w:p>
            <w:pPr>
              <w:spacing w:before="20" w:after="20" w:line="276" w:lineRule="auto"/>
              <w:ind w:firstLine="0"/>
            </w:pPr>
            <w:r/>
            <w:r>
              <w:rPr>
                <w:rFonts w:ascii="Times New Roman" w:hAnsi="Times New Roman" w:eastAsia="宋体"/>
                <w:b w:val="0"/>
                <w:i w:val="0"/>
                <w:sz w:val="19"/>
              </w:rPr>
              <w:t>退款信息 / 附件 / 操作记录</w:t>
            </w:r>
          </w:p>
        </w:tc>
        <w:tc>
          <w:tcPr>
            <w:tcW w:type="dxa" w:w="1767"/>
          </w:tcPr>
          <w:p>
            <w:pPr>
              <w:spacing w:before="20" w:after="20" w:line="276" w:lineRule="auto"/>
              <w:ind w:firstLine="0"/>
            </w:pPr>
            <w:r/>
            <w:r>
              <w:rPr>
                <w:rFonts w:ascii="Times New Roman" w:hAnsi="Times New Roman" w:eastAsia="宋体"/>
                <w:b w:val="0"/>
                <w:i w:val="0"/>
                <w:sz w:val="19"/>
              </w:rPr>
              <w:t>撤回申请 / 审批通过 / 驳回审批</w:t>
            </w:r>
          </w:p>
        </w:tc>
        <w:tc>
          <w:tcPr>
            <w:tcW w:type="dxa" w:w="1414"/>
          </w:tcPr>
          <w:p>
            <w:pPr>
              <w:spacing w:before="20" w:after="20" w:line="276" w:lineRule="auto"/>
              <w:ind w:firstLine="0"/>
            </w:pPr>
            <w:r/>
            <w:r>
              <w:rPr>
                <w:rFonts w:ascii="Times New Roman" w:hAnsi="Times New Roman" w:eastAsia="宋体"/>
                <w:b w:val="0"/>
                <w:i w:val="0"/>
                <w:sz w:val="19"/>
              </w:rPr>
              <w:t>退款信息区块可跳转关联的原付款单</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4.12.8　验收标准与待确认项</w:t>
      </w:r>
    </w:p>
    <w:tbl>
      <w:tblPr>
        <w:tblStyle w:val="TableGrid"/>
        <w:tblW w:type="auto" w:w="0"/>
        <w:jc w:val="center"/>
        <w:tblLayout w:type="fixed"/>
        <w:tblLook w:firstColumn="1" w:firstRow="1" w:lastColumn="0" w:lastRow="0" w:noHBand="0" w:noVBand="1" w:val="04A0"/>
      </w:tblPr>
      <w:tblGrid>
        <w:gridCol w:w="4479"/>
        <w:gridCol w:w="4479"/>
      </w:tblGrid>
      <w:tr>
        <w:trPr>
          <w:tblHeader w:val="true"/>
        </w:trPr>
        <w:tc>
          <w:tcPr>
            <w:tcW w:type="dxa" w:w="1701"/>
            <w:shd w:val="clear" w:color="auto" w:fill="DCE6F1"/>
          </w:tcPr>
          <w:p>
            <w:pPr>
              <w:spacing w:before="40" w:after="40" w:line="276" w:lineRule="auto"/>
              <w:jc w:val="center"/>
            </w:pPr>
            <w:r/>
            <w:r>
              <w:rPr>
                <w:rFonts w:ascii="Times New Roman" w:hAnsi="Times New Roman" w:eastAsia="黑体"/>
                <w:b/>
                <w:i w:val="0"/>
                <w:sz w:val="21"/>
              </w:rPr>
              <w:t>功能</w:t>
            </w:r>
          </w:p>
        </w:tc>
        <w:tc>
          <w:tcPr>
            <w:tcW w:type="dxa" w:w="7370"/>
            <w:shd w:val="clear" w:color="auto" w:fill="DCE6F1"/>
          </w:tcPr>
          <w:p>
            <w:pPr>
              <w:spacing w:before="40" w:after="40" w:line="276" w:lineRule="auto"/>
              <w:jc w:val="center"/>
            </w:pPr>
            <w:r/>
            <w:r>
              <w:rPr>
                <w:rFonts w:ascii="Times New Roman" w:hAnsi="Times New Roman" w:eastAsia="黑体"/>
                <w:b/>
                <w:i w:val="0"/>
                <w:sz w:val="21"/>
              </w:rPr>
              <w:t>验收要点（由关键规则转写）</w:t>
            </w:r>
          </w:p>
        </w:tc>
      </w:tr>
      <w:tr>
        <w:tc>
          <w:tcPr>
            <w:tcW w:type="dxa" w:w="1701"/>
          </w:tcPr>
          <w:p>
            <w:pPr>
              <w:spacing w:before="20" w:after="20" w:line="276" w:lineRule="auto"/>
              <w:ind w:firstLine="0"/>
            </w:pPr>
            <w:r/>
            <w:r>
              <w:rPr>
                <w:rFonts w:ascii="Times New Roman" w:hAnsi="Times New Roman" w:eastAsia="宋体"/>
                <w:b w:val="0"/>
                <w:i w:val="0"/>
                <w:sz w:val="21"/>
              </w:rPr>
              <w:t>退款申请创建</w:t>
            </w:r>
          </w:p>
        </w:tc>
        <w:tc>
          <w:tcPr>
            <w:tcW w:type="dxa" w:w="7370"/>
          </w:tcPr>
          <w:p>
            <w:pPr>
              <w:spacing w:before="20" w:after="20" w:line="276" w:lineRule="auto"/>
              <w:ind w:firstLine="0"/>
            </w:pPr>
            <w:r/>
            <w:r>
              <w:rPr>
                <w:rFonts w:ascii="Times New Roman" w:hAnsi="Times New Roman" w:eastAsia="宋体"/>
                <w:b w:val="0"/>
                <w:i w:val="0"/>
                <w:sz w:val="21"/>
              </w:rPr>
              <w:t>关联原付款单为必填；退款原因必填，上限 500 字符；退款金额必填；退款单号字段长度为 varchar(32)，编号规则未定义</w:t>
            </w:r>
          </w:p>
        </w:tc>
      </w:tr>
      <w:tr>
        <w:tc>
          <w:tcPr>
            <w:tcW w:type="dxa" w:w="1701"/>
          </w:tcPr>
          <w:p>
            <w:pPr>
              <w:spacing w:before="20" w:after="20" w:line="276" w:lineRule="auto"/>
              <w:ind w:firstLine="0"/>
            </w:pPr>
            <w:r/>
            <w:r>
              <w:rPr>
                <w:rFonts w:ascii="Times New Roman" w:hAnsi="Times New Roman" w:eastAsia="宋体"/>
                <w:b w:val="0"/>
                <w:i w:val="0"/>
                <w:sz w:val="21"/>
              </w:rPr>
              <w:t>退款金额上限校验</w:t>
            </w:r>
          </w:p>
        </w:tc>
        <w:tc>
          <w:tcPr>
            <w:tcW w:type="dxa" w:w="7370"/>
          </w:tcPr>
          <w:p>
            <w:pPr>
              <w:spacing w:before="20" w:after="20" w:line="276" w:lineRule="auto"/>
              <w:ind w:firstLine="0"/>
            </w:pPr>
            <w:r/>
            <w:r>
              <w:rPr>
                <w:rFonts w:ascii="Times New Roman" w:hAnsi="Times New Roman" w:eastAsia="宋体"/>
                <w:b w:val="0"/>
                <w:i w:val="0"/>
                <w:sz w:val="21"/>
              </w:rPr>
              <w:t>退款金额不得超过原付款金额，超过时提示「退款金额 X 超过原付款金额 Y」并阻止</w:t>
            </w:r>
          </w:p>
        </w:tc>
      </w:tr>
      <w:tr>
        <w:tc>
          <w:tcPr>
            <w:tcW w:type="dxa" w:w="1701"/>
          </w:tcPr>
          <w:p>
            <w:pPr>
              <w:spacing w:before="20" w:after="20" w:line="276" w:lineRule="auto"/>
              <w:ind w:firstLine="0"/>
            </w:pPr>
            <w:r/>
            <w:r>
              <w:rPr>
                <w:rFonts w:ascii="Times New Roman" w:hAnsi="Times New Roman" w:eastAsia="宋体"/>
                <w:b w:val="0"/>
                <w:i w:val="0"/>
                <w:sz w:val="21"/>
              </w:rPr>
              <w:t>重复退款拦截</w:t>
            </w:r>
          </w:p>
        </w:tc>
        <w:tc>
          <w:tcPr>
            <w:tcW w:type="dxa" w:w="7370"/>
          </w:tcPr>
          <w:p>
            <w:pPr>
              <w:spacing w:before="20" w:after="20" w:line="276" w:lineRule="auto"/>
              <w:ind w:firstLine="0"/>
            </w:pPr>
            <w:r/>
            <w:r>
              <w:rPr>
                <w:rFonts w:ascii="Times New Roman" w:hAnsi="Times New Roman" w:eastAsia="宋体"/>
                <w:b w:val="0"/>
                <w:i w:val="0"/>
                <w:sz w:val="21"/>
              </w:rPr>
              <w:t>原付款单已退款的，提示「原付款 X 已退款，不能重复退款」并阻止；同一原付款单不允许发起第二笔退款</w:t>
            </w:r>
          </w:p>
        </w:tc>
      </w:tr>
      <w:tr>
        <w:tc>
          <w:tcPr>
            <w:tcW w:type="dxa" w:w="1701"/>
          </w:tcPr>
          <w:p>
            <w:pPr>
              <w:spacing w:before="20" w:after="20" w:line="276" w:lineRule="auto"/>
              <w:ind w:firstLine="0"/>
            </w:pPr>
            <w:r/>
            <w:r>
              <w:rPr>
                <w:rFonts w:ascii="Times New Roman" w:hAnsi="Times New Roman" w:eastAsia="宋体"/>
                <w:b w:val="0"/>
                <w:i w:val="0"/>
                <w:sz w:val="21"/>
              </w:rPr>
              <w:t>串行三级审批</w:t>
            </w:r>
          </w:p>
        </w:tc>
        <w:tc>
          <w:tcPr>
            <w:tcW w:type="dxa" w:w="7370"/>
          </w:tcPr>
          <w:p>
            <w:pPr>
              <w:spacing w:before="20" w:after="20" w:line="276" w:lineRule="auto"/>
              <w:ind w:firstLine="0"/>
            </w:pPr>
            <w:r/>
            <w:r>
              <w:rPr>
                <w:rFonts w:ascii="Times New Roman" w:hAnsi="Times New Roman" w:eastAsia="宋体"/>
                <w:b w:val="0"/>
                <w:i w:val="0"/>
                <w:sz w:val="21"/>
              </w:rPr>
              <w:t>三级依次审核，任一节点驳回单据立即进入已驳回终态；退款不设独立的收款方系统确认环节，审批通过后即为待线下退款</w:t>
            </w:r>
          </w:p>
        </w:tc>
      </w:tr>
      <w:tr>
        <w:tc>
          <w:tcPr>
            <w:tcW w:type="dxa" w:w="1701"/>
          </w:tcPr>
          <w:p>
            <w:pPr>
              <w:spacing w:before="20" w:after="20" w:line="276" w:lineRule="auto"/>
              <w:ind w:firstLine="0"/>
            </w:pPr>
            <w:r/>
            <w:r>
              <w:rPr>
                <w:rFonts w:ascii="Times New Roman" w:hAnsi="Times New Roman" w:eastAsia="宋体"/>
                <w:b w:val="0"/>
                <w:i w:val="0"/>
                <w:sz w:val="21"/>
              </w:rPr>
              <w:t>线下退款与凭证登记</w:t>
            </w:r>
          </w:p>
        </w:tc>
        <w:tc>
          <w:tcPr>
            <w:tcW w:type="dxa" w:w="7370"/>
          </w:tcPr>
          <w:p>
            <w:pPr>
              <w:spacing w:before="20" w:after="20" w:line="276" w:lineRule="auto"/>
              <w:ind w:firstLine="0"/>
            </w:pPr>
            <w:r/>
            <w:r>
              <w:rPr>
                <w:rFonts w:ascii="Times New Roman" w:hAnsi="Times New Roman" w:eastAsia="宋体"/>
                <w:b w:val="0"/>
                <w:i w:val="0"/>
                <w:sz w:val="21"/>
              </w:rPr>
              <w:t>退款凭证为线下退款完成后上传，图片或 PDF；凭证未上传不得将单据置为已退款；退款同样不做线上打款，不提供系统内原路返回</w:t>
            </w:r>
          </w:p>
        </w:tc>
      </w:tr>
      <w:tr>
        <w:tc>
          <w:tcPr>
            <w:tcW w:type="dxa" w:w="1701"/>
          </w:tcPr>
          <w:p>
            <w:pPr>
              <w:spacing w:before="20" w:after="20" w:line="276" w:lineRule="auto"/>
              <w:ind w:firstLine="0"/>
            </w:pPr>
            <w:r/>
            <w:r>
              <w:rPr>
                <w:rFonts w:ascii="Times New Roman" w:hAnsi="Times New Roman" w:eastAsia="宋体"/>
                <w:b w:val="0"/>
                <w:i w:val="0"/>
                <w:sz w:val="21"/>
              </w:rPr>
              <w:t>退款单状态流转</w:t>
            </w:r>
          </w:p>
        </w:tc>
        <w:tc>
          <w:tcPr>
            <w:tcW w:type="dxa" w:w="7370"/>
          </w:tcPr>
          <w:p>
            <w:pPr>
              <w:spacing w:before="20" w:after="20" w:line="276" w:lineRule="auto"/>
              <w:ind w:firstLine="0"/>
            </w:pPr>
            <w:r/>
            <w:r>
              <w:rPr>
                <w:rFonts w:ascii="Times New Roman" w:hAnsi="Times New Roman" w:eastAsia="宋体"/>
                <w:b w:val="0"/>
                <w:i w:val="0"/>
                <w:sz w:val="21"/>
              </w:rPr>
              <w:t>审批通过后为待线下退款，凭证上传完成后为已退款（终态）；任一审批节点驳回为已驳回（终态）；退款状态字段的枚举值未定义</w:t>
            </w:r>
          </w:p>
        </w:tc>
      </w:tr>
      <w:tr>
        <w:tc>
          <w:tcPr>
            <w:tcW w:type="dxa" w:w="1701"/>
          </w:tcPr>
          <w:p>
            <w:pPr>
              <w:spacing w:before="20" w:after="20" w:line="276" w:lineRule="auto"/>
              <w:ind w:firstLine="0"/>
            </w:pPr>
            <w:r/>
            <w:r>
              <w:rPr>
                <w:rFonts w:ascii="Times New Roman" w:hAnsi="Times New Roman" w:eastAsia="宋体"/>
                <w:b w:val="0"/>
                <w:i w:val="0"/>
                <w:sz w:val="21"/>
              </w:rPr>
              <w:t>退款列表查询</w:t>
            </w:r>
          </w:p>
        </w:tc>
        <w:tc>
          <w:tcPr>
            <w:tcW w:type="dxa" w:w="7370"/>
          </w:tcPr>
          <w:p>
            <w:pPr>
              <w:spacing w:before="20" w:after="20" w:line="276" w:lineRule="auto"/>
              <w:ind w:firstLine="0"/>
            </w:pPr>
            <w:r/>
            <w:r>
              <w:rPr>
                <w:rFonts w:ascii="Times New Roman" w:hAnsi="Times New Roman" w:eastAsia="宋体"/>
                <w:b w:val="0"/>
                <w:i w:val="0"/>
                <w:sz w:val="21"/>
              </w:rPr>
              <w:t>页签为全部、审批中、已退款、驳回、无效，计数按数据实时统计；列表展示合同类型、合同编号、退款方、收款方、退款金额、退款日期、退款状态与操作</w:t>
            </w:r>
          </w:p>
        </w:tc>
      </w:tr>
      <w:tr>
        <w:tc>
          <w:tcPr>
            <w:tcW w:type="dxa" w:w="1701"/>
          </w:tcPr>
          <w:p>
            <w:pPr>
              <w:spacing w:before="20" w:after="20" w:line="276" w:lineRule="auto"/>
              <w:ind w:firstLine="0"/>
            </w:pPr>
            <w:r/>
            <w:r>
              <w:rPr>
                <w:rFonts w:ascii="Times New Roman" w:hAnsi="Times New Roman" w:eastAsia="宋体"/>
                <w:b w:val="0"/>
                <w:i w:val="0"/>
                <w:sz w:val="21"/>
              </w:rPr>
              <w:t>退款与原付款单联动</w:t>
            </w:r>
          </w:p>
        </w:tc>
        <w:tc>
          <w:tcPr>
            <w:tcW w:type="dxa" w:w="7370"/>
          </w:tcPr>
          <w:p>
            <w:pPr>
              <w:spacing w:before="20" w:after="20" w:line="276" w:lineRule="auto"/>
              <w:ind w:firstLine="0"/>
            </w:pPr>
            <w:r/>
            <w:r>
              <w:rPr>
                <w:rFonts w:ascii="Times New Roman" w:hAnsi="Times New Roman" w:eastAsia="宋体"/>
                <w:b w:val="0"/>
                <w:i w:val="0"/>
                <w:sz w:val="21"/>
              </w:rPr>
              <w:t>退款完成后原付款单标记为已退款，作为重复退款的判定依据；退款详情可跳转原付款单查看</w:t>
            </w:r>
          </w:p>
        </w:tc>
      </w:tr>
    </w:tbl>
    <w:p>
      <w:pPr>
        <w:spacing w:before="0" w:after="0" w:line="240" w:lineRule="auto"/>
      </w:pPr>
    </w:p>
    <w:p>
      <w:pPr>
        <w:spacing w:before="120" w:after="60" w:line="360" w:lineRule="auto"/>
      </w:pPr>
      <w:r>
        <w:rPr>
          <w:rFonts w:ascii="Times New Roman" w:hAnsi="Times New Roman" w:eastAsia="宋体"/>
          <w:b/>
          <w:i w:val="0"/>
          <w:sz w:val="24"/>
        </w:rPr>
        <w:t>待业务方确认：</w:t>
      </w:r>
    </w:p>
    <w:p>
      <w:pPr>
        <w:spacing w:before="0" w:after="60" w:line="336" w:lineRule="auto"/>
        <w:ind w:left="340" w:firstLine="0"/>
      </w:pPr>
      <w:r>
        <w:rPr>
          <w:rFonts w:ascii="Times New Roman" w:hAnsi="Times New Roman" w:eastAsia="宋体"/>
          <w:b w:val="0"/>
          <w:i w:val="0"/>
          <w:sz w:val="24"/>
        </w:rPr>
        <w:t>· 待业务方确认：退款单状态字段的枚举值未定义，仅有待线下退款、已退款、已驳回三个中文标签。</w:t>
      </w:r>
    </w:p>
    <w:p>
      <w:pPr>
        <w:spacing w:before="0" w:after="60" w:line="336" w:lineRule="auto"/>
        <w:ind w:left="340" w:firstLine="0"/>
      </w:pPr>
      <w:r>
        <w:rPr>
          <w:rFonts w:ascii="Times New Roman" w:hAnsi="Times New Roman" w:eastAsia="宋体"/>
          <w:b w:val="0"/>
          <w:i w:val="0"/>
          <w:sz w:val="24"/>
        </w:rPr>
        <w:t>· 待业务方确认：退款单缺少实际退款金额与线下退款完成日期的字段，无法对齐付款侧的「实际金额 + 线下完成日期」留痕口径。</w:t>
      </w:r>
    </w:p>
    <w:p>
      <w:pPr>
        <w:spacing w:before="0" w:after="60" w:line="336" w:lineRule="auto"/>
        <w:ind w:left="340" w:firstLine="0"/>
      </w:pPr>
      <w:r>
        <w:rPr>
          <w:rFonts w:ascii="Times New Roman" w:hAnsi="Times New Roman" w:eastAsia="宋体"/>
          <w:b w:val="0"/>
          <w:i w:val="0"/>
          <w:sz w:val="24"/>
        </w:rPr>
        <w:t>· 待业务方确认：退款是否需要独立的操作记录表与审批记录区块。</w:t>
      </w:r>
    </w:p>
    <w:p>
      <w:pPr>
        <w:spacing w:before="0" w:after="60" w:line="336" w:lineRule="auto"/>
        <w:ind w:left="340" w:firstLine="0"/>
      </w:pPr>
      <w:r>
        <w:rPr>
          <w:rFonts w:ascii="Times New Roman" w:hAnsi="Times New Roman" w:eastAsia="宋体"/>
          <w:b w:val="0"/>
          <w:i w:val="0"/>
          <w:sz w:val="24"/>
        </w:rPr>
        <w:t>· 待业务方确认：退款申请单号是否与付款申请单共用同一套流水序列。</w:t>
      </w:r>
    </w:p>
    <w:p>
      <w:pPr>
        <w:spacing w:before="0" w:after="60" w:line="336" w:lineRule="auto"/>
        <w:ind w:left="340" w:firstLine="0"/>
      </w:pPr>
      <w:r>
        <w:rPr>
          <w:rFonts w:ascii="Times New Roman" w:hAnsi="Times New Roman" w:eastAsia="宋体"/>
          <w:b w:val="0"/>
          <w:i w:val="0"/>
          <w:sz w:val="24"/>
        </w:rPr>
        <w:t>· 待业务方确认：退款页面的完整列表列定义、筛选条件与排序规则。</w:t>
      </w:r>
    </w:p>
    <w:p>
      <w:r>
        <w:br w:type="page"/>
      </w:r>
    </w:p>
    <w:p>
      <w:pPr>
        <w:pStyle w:val="Heading2"/>
        <w:keepNext/>
        <w:spacing w:before="240" w:after="120" w:line="312" w:lineRule="auto"/>
        <w:ind w:firstLine="0"/>
      </w:pPr>
      <w:r>
        <w:rPr>
          <w:rFonts w:ascii="Times New Roman" w:hAnsi="Times New Roman" w:eastAsia="黑体"/>
          <w:b/>
          <w:i w:val="0"/>
          <w:sz w:val="28"/>
        </w:rPr>
        <w:t>4.13　回款管理</w:t>
      </w:r>
    </w:p>
    <w:p>
      <w:pPr>
        <w:spacing w:before="0" w:after="160" w:line="360" w:lineRule="auto"/>
      </w:pPr>
      <w:r>
        <w:rPr>
          <w:rFonts w:ascii="Times New Roman" w:hAnsi="Times New Roman" w:eastAsia="宋体"/>
          <w:b w:val="0"/>
          <w:i w:val="0"/>
          <w:color w:val="595959"/>
          <w:sz w:val="21"/>
        </w:rPr>
        <w:t>菜单路径：数字供应链 / 资金管理 / 回款管理</w:t>
      </w:r>
    </w:p>
    <w:p>
      <w:pPr>
        <w:pStyle w:val="Heading3"/>
        <w:keepNext/>
        <w:spacing w:before="160" w:after="80" w:line="312" w:lineRule="auto"/>
        <w:ind w:firstLine="0"/>
      </w:pPr>
      <w:r>
        <w:rPr>
          <w:rFonts w:ascii="Times New Roman" w:hAnsi="Times New Roman" w:eastAsia="黑体"/>
          <w:b/>
          <w:i w:val="0"/>
          <w:sz w:val="24"/>
        </w:rPr>
        <w:t>4.13.1　一页结论</w:t>
      </w:r>
    </w:p>
    <w:p>
      <w:pPr>
        <w:spacing w:before="0" w:after="120" w:line="360" w:lineRule="auto"/>
      </w:pPr>
      <w:r>
        <w:rPr>
          <w:rFonts w:ascii="Times New Roman" w:hAnsi="Times New Roman" w:eastAsia="宋体"/>
          <w:b w:val="0"/>
          <w:i w:val="0"/>
          <w:sz w:val="24"/>
        </w:rPr>
        <w:t>登记客户线下回款并把款项准确核销到合同：流水登记、审批生效、自动与人工认领、认领金额回写结算与额度。</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928"/>
            <w:shd w:val="clear" w:color="auto" w:fill="DCE6F1"/>
          </w:tcPr>
          <w:p>
            <w:pPr>
              <w:spacing w:before="40" w:after="40" w:line="276" w:lineRule="auto"/>
              <w:jc w:val="center"/>
            </w:pPr>
            <w:r/>
            <w:r>
              <w:rPr>
                <w:rFonts w:ascii="Times New Roman" w:hAnsi="Times New Roman" w:eastAsia="黑体"/>
                <w:b/>
                <w:i w:val="0"/>
                <w:sz w:val="21"/>
              </w:rPr>
              <w:t>问题</w:t>
            </w:r>
          </w:p>
        </w:tc>
        <w:tc>
          <w:tcPr>
            <w:tcW w:type="dxa" w:w="3572"/>
            <w:shd w:val="clear" w:color="auto" w:fill="DCE6F1"/>
          </w:tcPr>
          <w:p>
            <w:pPr>
              <w:spacing w:before="40" w:after="40" w:line="276" w:lineRule="auto"/>
              <w:jc w:val="center"/>
            </w:pPr>
            <w:r/>
            <w:r>
              <w:rPr>
                <w:rFonts w:ascii="Times New Roman" w:hAnsi="Times New Roman" w:eastAsia="黑体"/>
                <w:b/>
                <w:i w:val="0"/>
                <w:sz w:val="21"/>
              </w:rPr>
              <w:t>当前做法</w:t>
            </w:r>
          </w:p>
        </w:tc>
        <w:tc>
          <w:tcPr>
            <w:tcW w:type="dxa" w:w="3572"/>
            <w:shd w:val="clear" w:color="auto" w:fill="DCE6F1"/>
          </w:tcPr>
          <w:p>
            <w:pPr>
              <w:spacing w:before="40" w:after="40" w:line="276" w:lineRule="auto"/>
              <w:jc w:val="center"/>
            </w:pPr>
            <w:r/>
            <w:r>
              <w:rPr>
                <w:rFonts w:ascii="Times New Roman" w:hAnsi="Times New Roman" w:eastAsia="黑体"/>
                <w:b/>
                <w:i w:val="0"/>
                <w:sz w:val="21"/>
              </w:rPr>
              <w:t>本模块解法</w:t>
            </w:r>
          </w:p>
        </w:tc>
      </w:tr>
      <w:tr>
        <w:tc>
          <w:tcPr>
            <w:tcW w:type="dxa" w:w="1928"/>
          </w:tcPr>
          <w:p>
            <w:pPr>
              <w:spacing w:before="20" w:after="20" w:line="276" w:lineRule="auto"/>
              <w:ind w:firstLine="0"/>
            </w:pPr>
            <w:r/>
            <w:r>
              <w:rPr>
                <w:rFonts w:ascii="Times New Roman" w:hAnsi="Times New Roman" w:eastAsia="宋体"/>
                <w:b w:val="0"/>
                <w:i w:val="0"/>
                <w:sz w:val="21"/>
              </w:rPr>
              <w:t>客户回款到账后无人登记、无人认领</w:t>
            </w:r>
          </w:p>
        </w:tc>
        <w:tc>
          <w:tcPr>
            <w:tcW w:type="dxa" w:w="3572"/>
          </w:tcPr>
          <w:p>
            <w:pPr>
              <w:spacing w:before="20" w:after="20" w:line="276" w:lineRule="auto"/>
              <w:ind w:firstLine="0"/>
            </w:pPr>
            <w:r/>
            <w:r>
              <w:rPr>
                <w:rFonts w:ascii="Times New Roman" w:hAnsi="Times New Roman" w:eastAsia="宋体"/>
                <w:b w:val="0"/>
                <w:i w:val="0"/>
                <w:sz w:val="21"/>
              </w:rPr>
              <w:t>客户线下转账后靠业务员口头同步，钱到了但系统里没有记录</w:t>
            </w:r>
          </w:p>
        </w:tc>
        <w:tc>
          <w:tcPr>
            <w:tcW w:type="dxa" w:w="3572"/>
          </w:tcPr>
          <w:p>
            <w:pPr>
              <w:spacing w:before="20" w:after="20" w:line="276" w:lineRule="auto"/>
              <w:ind w:firstLine="0"/>
            </w:pPr>
            <w:r/>
            <w:r>
              <w:rPr>
                <w:rFonts w:ascii="Times New Roman" w:hAnsi="Times New Roman" w:eastAsia="宋体"/>
                <w:b w:val="0"/>
                <w:i w:val="0"/>
                <w:sz w:val="21"/>
              </w:rPr>
              <w:t>回款流水必须登记回款方、金额、日期与回单凭证，登记后自动触发匹配认领</w:t>
            </w:r>
          </w:p>
        </w:tc>
      </w:tr>
      <w:tr>
        <w:tc>
          <w:tcPr>
            <w:tcW w:type="dxa" w:w="1928"/>
          </w:tcPr>
          <w:p>
            <w:pPr>
              <w:spacing w:before="20" w:after="20" w:line="276" w:lineRule="auto"/>
              <w:ind w:firstLine="0"/>
            </w:pPr>
            <w:r/>
            <w:r>
              <w:rPr>
                <w:rFonts w:ascii="Times New Roman" w:hAnsi="Times New Roman" w:eastAsia="宋体"/>
                <w:b w:val="0"/>
                <w:i w:val="0"/>
                <w:sz w:val="21"/>
              </w:rPr>
              <w:t>一笔回款对应多个合同与订单，认领靠人工分摊</w:t>
            </w:r>
          </w:p>
        </w:tc>
        <w:tc>
          <w:tcPr>
            <w:tcW w:type="dxa" w:w="3572"/>
          </w:tcPr>
          <w:p>
            <w:pPr>
              <w:spacing w:before="20" w:after="20" w:line="276" w:lineRule="auto"/>
              <w:ind w:firstLine="0"/>
            </w:pPr>
            <w:r/>
            <w:r>
              <w:rPr>
                <w:rFonts w:ascii="Times New Roman" w:hAnsi="Times New Roman" w:eastAsia="宋体"/>
                <w:b w:val="0"/>
                <w:i w:val="0"/>
                <w:sz w:val="21"/>
              </w:rPr>
              <w:t>业务员手工拆分每笔到哪个合同，金额易分错且无留痕</w:t>
            </w:r>
          </w:p>
        </w:tc>
        <w:tc>
          <w:tcPr>
            <w:tcW w:type="dxa" w:w="3572"/>
          </w:tcPr>
          <w:p>
            <w:pPr>
              <w:spacing w:before="20" w:after="20" w:line="276" w:lineRule="auto"/>
              <w:ind w:firstLine="0"/>
            </w:pPr>
            <w:r/>
            <w:r>
              <w:rPr>
                <w:rFonts w:ascii="Times New Roman" w:hAnsi="Times New Roman" w:eastAsia="宋体"/>
                <w:b w:val="0"/>
                <w:i w:val="0"/>
                <w:sz w:val="21"/>
              </w:rPr>
              <w:t>系统按金额、付款方、订单号优先级打分自动认领，分数不足时转人工认领并留存匹配规则</w:t>
            </w:r>
          </w:p>
        </w:tc>
      </w:tr>
      <w:tr>
        <w:tc>
          <w:tcPr>
            <w:tcW w:type="dxa" w:w="1928"/>
          </w:tcPr>
          <w:p>
            <w:pPr>
              <w:spacing w:before="20" w:after="20" w:line="276" w:lineRule="auto"/>
              <w:ind w:firstLine="0"/>
            </w:pPr>
            <w:r/>
            <w:r>
              <w:rPr>
                <w:rFonts w:ascii="Times New Roman" w:hAnsi="Times New Roman" w:eastAsia="宋体"/>
                <w:b w:val="0"/>
                <w:i w:val="0"/>
                <w:sz w:val="21"/>
              </w:rPr>
              <w:t>回款金额口径不统一，现金与保证金冲抵混在一起</w:t>
            </w:r>
          </w:p>
        </w:tc>
        <w:tc>
          <w:tcPr>
            <w:tcW w:type="dxa" w:w="3572"/>
          </w:tcPr>
          <w:p>
            <w:pPr>
              <w:spacing w:before="20" w:after="20" w:line="276" w:lineRule="auto"/>
              <w:ind w:firstLine="0"/>
            </w:pPr>
            <w:r/>
            <w:r>
              <w:rPr>
                <w:rFonts w:ascii="Times New Roman" w:hAnsi="Times New Roman" w:eastAsia="宋体"/>
                <w:b w:val="0"/>
                <w:i w:val="0"/>
                <w:sz w:val="21"/>
              </w:rPr>
              <w:t>回款金额有的按全额登记、有的按扣掉保证金后的净额登记，台账对不上</w:t>
            </w:r>
          </w:p>
        </w:tc>
        <w:tc>
          <w:tcPr>
            <w:tcW w:type="dxa" w:w="3572"/>
          </w:tcPr>
          <w:p>
            <w:pPr>
              <w:spacing w:before="20" w:after="20" w:line="276" w:lineRule="auto"/>
              <w:ind w:firstLine="0"/>
            </w:pPr>
            <w:r/>
            <w:r>
              <w:rPr>
                <w:rFonts w:ascii="Times New Roman" w:hAnsi="Times New Roman" w:eastAsia="宋体"/>
                <w:b w:val="0"/>
                <w:i w:val="0"/>
                <w:sz w:val="21"/>
              </w:rPr>
              <w:t>认领按应付总额、现金实付、保证金冲抵三行拆分，三者必须满足强约束等式</w:t>
            </w:r>
          </w:p>
        </w:tc>
      </w:tr>
      <w:tr>
        <w:tc>
          <w:tcPr>
            <w:tcW w:type="dxa" w:w="1928"/>
          </w:tcPr>
          <w:p>
            <w:pPr>
              <w:spacing w:before="20" w:after="20" w:line="276" w:lineRule="auto"/>
              <w:ind w:firstLine="0"/>
            </w:pPr>
            <w:r/>
            <w:r>
              <w:rPr>
                <w:rFonts w:ascii="Times New Roman" w:hAnsi="Times New Roman" w:eastAsia="宋体"/>
                <w:b w:val="0"/>
                <w:i w:val="0"/>
                <w:sz w:val="21"/>
              </w:rPr>
              <w:t>回款进度与结算、额度、预警脱节</w:t>
            </w:r>
          </w:p>
        </w:tc>
        <w:tc>
          <w:tcPr>
            <w:tcW w:type="dxa" w:w="3572"/>
          </w:tcPr>
          <w:p>
            <w:pPr>
              <w:spacing w:before="20" w:after="20" w:line="276" w:lineRule="auto"/>
              <w:ind w:firstLine="0"/>
            </w:pPr>
            <w:r/>
            <w:r>
              <w:rPr>
                <w:rFonts w:ascii="Times New Roman" w:hAnsi="Times New Roman" w:eastAsia="宋体"/>
                <w:b w:val="0"/>
                <w:i w:val="0"/>
                <w:sz w:val="21"/>
              </w:rPr>
              <w:t>合同是否结清、敞口金额多少靠 Excel 汇总</w:t>
            </w:r>
          </w:p>
        </w:tc>
        <w:tc>
          <w:tcPr>
            <w:tcW w:type="dxa" w:w="3572"/>
          </w:tcPr>
          <w:p>
            <w:pPr>
              <w:spacing w:before="20" w:after="20" w:line="276" w:lineRule="auto"/>
              <w:ind w:firstLine="0"/>
            </w:pPr>
            <w:r/>
            <w:r>
              <w:rPr>
                <w:rFonts w:ascii="Times New Roman" w:hAnsi="Times New Roman" w:eastAsia="宋体"/>
                <w:b w:val="0"/>
                <w:i w:val="0"/>
                <w:sz w:val="21"/>
              </w:rPr>
              <w:t>认领完成后回写合同下游结算金额与客户已回款金额，结算金额归零自动触发已结清</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4.13.2　背景与目标</w:t>
      </w:r>
    </w:p>
    <w:tbl>
      <w:tblPr>
        <w:tblStyle w:val="TableGrid"/>
        <w:tblW w:type="auto" w:w="0"/>
        <w:jc w:val="center"/>
        <w:tblLayout w:type="fixed"/>
        <w:tblLook w:firstColumn="1" w:firstRow="1" w:lastColumn="0" w:lastRow="0" w:noHBand="0" w:noVBand="1" w:val="04A0"/>
      </w:tblPr>
      <w:tblGrid>
        <w:gridCol w:w="8958"/>
      </w:tblGrid>
      <w:tr>
        <w:trPr>
          <w:tblHeader w:val="true"/>
        </w:trPr>
        <w:tc>
          <w:tcPr>
            <w:tcW w:type="dxa" w:w="9071"/>
            <w:shd w:val="clear" w:color="auto" w:fill="DCE6F1"/>
          </w:tcPr>
          <w:p>
            <w:pPr>
              <w:spacing w:before="40" w:after="40" w:line="276" w:lineRule="auto"/>
              <w:jc w:val="center"/>
            </w:pPr>
            <w:r/>
            <w:r>
              <w:rPr>
                <w:rFonts w:ascii="Times New Roman" w:hAnsi="Times New Roman" w:eastAsia="黑体"/>
                <w:b/>
                <w:i w:val="0"/>
                <w:sz w:val="21"/>
              </w:rPr>
              <w:t>目标 / 衡量口径</w:t>
            </w:r>
          </w:p>
        </w:tc>
      </w:tr>
      <w:tr>
        <w:tc>
          <w:tcPr>
            <w:tcW w:type="dxa" w:w="9071"/>
          </w:tcPr>
          <w:p>
            <w:pPr>
              <w:spacing w:before="20" w:after="20" w:line="276" w:lineRule="auto"/>
              <w:ind w:firstLine="0"/>
            </w:pPr>
            <w:r/>
            <w:r>
              <w:rPr>
                <w:rFonts w:ascii="Times New Roman" w:hAnsi="Times New Roman" w:eastAsia="宋体"/>
                <w:b w:val="0"/>
                <w:i w:val="0"/>
                <w:sz w:val="21"/>
              </w:rPr>
              <w:t>回款流水、回单凭证与认领结果在系统内形成完整闭环，单据状态与操作记录可追溯</w:t>
            </w:r>
          </w:p>
        </w:tc>
      </w:tr>
      <w:tr>
        <w:tc>
          <w:tcPr>
            <w:tcW w:type="dxa" w:w="9071"/>
          </w:tcPr>
          <w:p>
            <w:pPr>
              <w:spacing w:before="20" w:after="20" w:line="276" w:lineRule="auto"/>
              <w:ind w:firstLine="0"/>
            </w:pPr>
            <w:r/>
            <w:r>
              <w:rPr>
                <w:rFonts w:ascii="Times New Roman" w:hAnsi="Times New Roman" w:eastAsia="宋体"/>
                <w:b w:val="0"/>
                <w:i w:val="0"/>
                <w:sz w:val="21"/>
              </w:rPr>
              <w:t>自动认领按既定优先级与 80 分阈值执行，未达阈值时明确转人工并给出可读提示</w:t>
            </w:r>
          </w:p>
        </w:tc>
      </w:tr>
      <w:tr>
        <w:tc>
          <w:tcPr>
            <w:tcW w:type="dxa" w:w="9071"/>
          </w:tcPr>
          <w:p>
            <w:pPr>
              <w:spacing w:before="20" w:after="20" w:line="276" w:lineRule="auto"/>
              <w:ind w:firstLine="0"/>
            </w:pPr>
            <w:r/>
            <w:r>
              <w:rPr>
                <w:rFonts w:ascii="Times New Roman" w:hAnsi="Times New Roman" w:eastAsia="宋体"/>
                <w:b w:val="0"/>
                <w:i w:val="0"/>
                <w:sz w:val="21"/>
              </w:rPr>
              <w:t>认领金额通过三行字段拆分的强约束校验，杜绝现金实付与保证金冲抵之和与应付总额不符</w:t>
            </w:r>
          </w:p>
        </w:tc>
      </w:tr>
      <w:tr>
        <w:tc>
          <w:tcPr>
            <w:tcW w:type="dxa" w:w="9071"/>
          </w:tcPr>
          <w:p>
            <w:pPr>
              <w:spacing w:before="20" w:after="20" w:line="276" w:lineRule="auto"/>
              <w:ind w:firstLine="0"/>
            </w:pPr>
            <w:r/>
            <w:r>
              <w:rPr>
                <w:rFonts w:ascii="Times New Roman" w:hAnsi="Times New Roman" w:eastAsia="宋体"/>
                <w:b w:val="0"/>
                <w:i w:val="0"/>
                <w:sz w:val="21"/>
              </w:rPr>
              <w:t>认领结果回写合同下游结算金额与客户已回款金额，结算进度与敞口可被下游模块取用（运行数据以系统运行报表为准）</w:t>
            </w:r>
          </w:p>
        </w:tc>
      </w:tr>
    </w:tbl>
    <w:p>
      <w:pPr>
        <w:spacing w:before="0" w:after="0" w:line="240" w:lineRule="auto"/>
      </w:pPr>
    </w:p>
    <w:p>
      <w:pPr>
        <w:spacing w:before="80" w:after="120" w:line="360" w:lineRule="auto"/>
      </w:pPr>
      <w:r>
        <w:rPr>
          <w:rFonts w:ascii="Times New Roman" w:hAnsi="Times New Roman" w:eastAsia="宋体"/>
          <w:b w:val="0"/>
          <w:i w:val="0"/>
          <w:color w:val="595959"/>
          <w:sz w:val="21"/>
        </w:rPr>
        <w:t>说明：文中口径以业务方已确认结论为准；未确认项集中列于本章末与第 5 章。</w:t>
      </w:r>
    </w:p>
    <w:p>
      <w:pPr>
        <w:pStyle w:val="Heading3"/>
        <w:keepNext/>
        <w:spacing w:before="160" w:after="80" w:line="312" w:lineRule="auto"/>
        <w:ind w:firstLine="0"/>
      </w:pPr>
      <w:r>
        <w:rPr>
          <w:rFonts w:ascii="Times New Roman" w:hAnsi="Times New Roman" w:eastAsia="黑体"/>
          <w:b/>
          <w:i w:val="0"/>
          <w:sz w:val="24"/>
        </w:rPr>
        <w:t>4.13.3　角色与用户需求</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361"/>
            <w:shd w:val="clear" w:color="auto" w:fill="DCE6F1"/>
          </w:tcPr>
          <w:p>
            <w:pPr>
              <w:spacing w:before="40" w:after="40" w:line="276" w:lineRule="auto"/>
              <w:jc w:val="center"/>
            </w:pPr>
            <w:r/>
            <w:r>
              <w:rPr>
                <w:rFonts w:ascii="Times New Roman" w:hAnsi="Times New Roman" w:eastAsia="黑体"/>
                <w:b/>
                <w:i w:val="0"/>
                <w:sz w:val="21"/>
              </w:rPr>
              <w:t>角色</w:t>
            </w:r>
          </w:p>
        </w:tc>
        <w:tc>
          <w:tcPr>
            <w:tcW w:type="dxa" w:w="1247"/>
            <w:shd w:val="clear" w:color="auto" w:fill="DCE6F1"/>
          </w:tcPr>
          <w:p>
            <w:pPr>
              <w:spacing w:before="40" w:after="40" w:line="276" w:lineRule="auto"/>
              <w:jc w:val="center"/>
            </w:pPr>
            <w:r/>
            <w:r>
              <w:rPr>
                <w:rFonts w:ascii="Times New Roman" w:hAnsi="Times New Roman" w:eastAsia="黑体"/>
                <w:b/>
                <w:i w:val="0"/>
                <w:sz w:val="21"/>
              </w:rPr>
              <w:t>所属部门</w:t>
            </w:r>
          </w:p>
        </w:tc>
        <w:tc>
          <w:tcPr>
            <w:tcW w:type="dxa" w:w="6463"/>
            <w:shd w:val="clear" w:color="auto" w:fill="DCE6F1"/>
          </w:tcPr>
          <w:p>
            <w:pPr>
              <w:spacing w:before="40" w:after="40" w:line="276" w:lineRule="auto"/>
              <w:jc w:val="center"/>
            </w:pPr>
            <w:r/>
            <w:r>
              <w:rPr>
                <w:rFonts w:ascii="Times New Roman" w:hAnsi="Times New Roman" w:eastAsia="黑体"/>
                <w:b/>
                <w:i w:val="0"/>
                <w:sz w:val="21"/>
              </w:rPr>
              <w:t>用户需求（我要…以便…）</w:t>
            </w:r>
          </w:p>
        </w:tc>
      </w:tr>
      <w:tr>
        <w:tc>
          <w:tcPr>
            <w:tcW w:type="dxa" w:w="1361"/>
          </w:tcPr>
          <w:p>
            <w:pPr>
              <w:spacing w:before="20" w:after="20" w:line="276" w:lineRule="auto"/>
              <w:ind w:firstLine="0"/>
            </w:pPr>
            <w:r/>
            <w:r>
              <w:rPr>
                <w:rFonts w:ascii="Times New Roman" w:hAnsi="Times New Roman" w:eastAsia="宋体"/>
                <w:b w:val="0"/>
                <w:i w:val="0"/>
                <w:sz w:val="21"/>
              </w:rPr>
              <w:t>业务员</w:t>
            </w:r>
          </w:p>
        </w:tc>
        <w:tc>
          <w:tcPr>
            <w:tcW w:type="dxa" w:w="1247"/>
          </w:tcPr>
          <w:p>
            <w:pPr>
              <w:spacing w:before="20" w:after="20" w:line="276" w:lineRule="auto"/>
              <w:ind w:firstLine="0"/>
            </w:pPr>
            <w:r/>
            <w:r>
              <w:rPr>
                <w:rFonts w:ascii="Times New Roman" w:hAnsi="Times New Roman" w:eastAsia="宋体"/>
                <w:b w:val="0"/>
                <w:i w:val="0"/>
                <w:sz w:val="21"/>
              </w:rPr>
              <w:t>业务部</w:t>
            </w:r>
          </w:p>
        </w:tc>
        <w:tc>
          <w:tcPr>
            <w:tcW w:type="dxa" w:w="6463"/>
          </w:tcPr>
          <w:p>
            <w:pPr>
              <w:spacing w:before="20" w:after="20" w:line="276" w:lineRule="auto"/>
              <w:ind w:firstLine="0"/>
            </w:pPr>
            <w:r/>
            <w:r>
              <w:rPr>
                <w:rFonts w:ascii="Times New Roman" w:hAnsi="Times New Roman" w:eastAsia="宋体"/>
                <w:b w:val="0"/>
                <w:i w:val="0"/>
                <w:sz w:val="21"/>
              </w:rPr>
              <w:t>我要登记客户回款流水并完成手动认领，以便每笔回款都能落到对应合同</w:t>
            </w:r>
          </w:p>
        </w:tc>
      </w:tr>
      <w:tr>
        <w:tc>
          <w:tcPr>
            <w:tcW w:type="dxa" w:w="1361"/>
          </w:tcPr>
          <w:p>
            <w:pPr>
              <w:spacing w:before="20" w:after="20" w:line="276" w:lineRule="auto"/>
              <w:ind w:firstLine="0"/>
            </w:pPr>
            <w:r/>
            <w:r>
              <w:rPr>
                <w:rFonts w:ascii="Times New Roman" w:hAnsi="Times New Roman" w:eastAsia="宋体"/>
                <w:b w:val="0"/>
                <w:i w:val="0"/>
                <w:sz w:val="21"/>
              </w:rPr>
              <w:t>财务部</w:t>
            </w:r>
          </w:p>
        </w:tc>
        <w:tc>
          <w:tcPr>
            <w:tcW w:type="dxa" w:w="1247"/>
          </w:tcPr>
          <w:p>
            <w:pPr>
              <w:spacing w:before="20" w:after="20" w:line="276" w:lineRule="auto"/>
              <w:ind w:firstLine="0"/>
            </w:pPr>
            <w:r/>
            <w:r>
              <w:rPr>
                <w:rFonts w:ascii="Times New Roman" w:hAnsi="Times New Roman" w:eastAsia="宋体"/>
                <w:b w:val="0"/>
                <w:i w:val="0"/>
                <w:sz w:val="21"/>
              </w:rPr>
              <w:t>财务部</w:t>
            </w:r>
          </w:p>
        </w:tc>
        <w:tc>
          <w:tcPr>
            <w:tcW w:type="dxa" w:w="6463"/>
          </w:tcPr>
          <w:p>
            <w:pPr>
              <w:spacing w:before="20" w:after="20" w:line="276" w:lineRule="auto"/>
              <w:ind w:firstLine="0"/>
            </w:pPr>
            <w:r/>
            <w:r>
              <w:rPr>
                <w:rFonts w:ascii="Times New Roman" w:hAnsi="Times New Roman" w:eastAsia="宋体"/>
                <w:b w:val="0"/>
                <w:i w:val="0"/>
                <w:sz w:val="21"/>
              </w:rPr>
              <w:t>我要核对回款金额与认领拆分，以便应收账实与已结清状态准确</w:t>
            </w:r>
          </w:p>
        </w:tc>
      </w:tr>
      <w:tr>
        <w:tc>
          <w:tcPr>
            <w:tcW w:type="dxa" w:w="1361"/>
          </w:tcPr>
          <w:p>
            <w:pPr>
              <w:spacing w:before="20" w:after="20" w:line="276" w:lineRule="auto"/>
              <w:ind w:firstLine="0"/>
            </w:pPr>
            <w:r/>
            <w:r>
              <w:rPr>
                <w:rFonts w:ascii="Times New Roman" w:hAnsi="Times New Roman" w:eastAsia="宋体"/>
                <w:b w:val="0"/>
                <w:i w:val="0"/>
                <w:sz w:val="21"/>
              </w:rPr>
              <w:t>业务部审批人</w:t>
            </w:r>
          </w:p>
        </w:tc>
        <w:tc>
          <w:tcPr>
            <w:tcW w:type="dxa" w:w="1247"/>
          </w:tcPr>
          <w:p>
            <w:pPr>
              <w:spacing w:before="20" w:after="20" w:line="276" w:lineRule="auto"/>
              <w:ind w:firstLine="0"/>
            </w:pPr>
            <w:r/>
            <w:r>
              <w:rPr>
                <w:rFonts w:ascii="Times New Roman" w:hAnsi="Times New Roman" w:eastAsia="宋体"/>
                <w:b w:val="0"/>
                <w:i w:val="0"/>
                <w:sz w:val="21"/>
              </w:rPr>
              <w:t>业务部</w:t>
            </w:r>
          </w:p>
        </w:tc>
        <w:tc>
          <w:tcPr>
            <w:tcW w:type="dxa" w:w="6463"/>
          </w:tcPr>
          <w:p>
            <w:pPr>
              <w:spacing w:before="20" w:after="20" w:line="276" w:lineRule="auto"/>
              <w:ind w:firstLine="0"/>
            </w:pPr>
            <w:r/>
            <w:r>
              <w:rPr>
                <w:rFonts w:ascii="Times New Roman" w:hAnsi="Times New Roman" w:eastAsia="宋体"/>
                <w:b w:val="0"/>
                <w:i w:val="0"/>
                <w:sz w:val="21"/>
              </w:rPr>
              <w:t>我要在回款审批链上复核回款单据，以便未确认的回款不进入认领</w:t>
            </w:r>
          </w:p>
        </w:tc>
      </w:tr>
      <w:tr>
        <w:tc>
          <w:tcPr>
            <w:tcW w:type="dxa" w:w="1361"/>
          </w:tcPr>
          <w:p>
            <w:pPr>
              <w:spacing w:before="20" w:after="20" w:line="276" w:lineRule="auto"/>
              <w:ind w:firstLine="0"/>
            </w:pPr>
            <w:r/>
            <w:r>
              <w:rPr>
                <w:rFonts w:ascii="Times New Roman" w:hAnsi="Times New Roman" w:eastAsia="宋体"/>
                <w:b w:val="0"/>
                <w:i w:val="0"/>
                <w:sz w:val="21"/>
              </w:rPr>
              <w:t>风控部</w:t>
            </w:r>
          </w:p>
        </w:tc>
        <w:tc>
          <w:tcPr>
            <w:tcW w:type="dxa" w:w="1247"/>
          </w:tcPr>
          <w:p>
            <w:pPr>
              <w:spacing w:before="20" w:after="20" w:line="276" w:lineRule="auto"/>
              <w:ind w:firstLine="0"/>
            </w:pPr>
            <w:r/>
            <w:r>
              <w:rPr>
                <w:rFonts w:ascii="Times New Roman" w:hAnsi="Times New Roman" w:eastAsia="宋体"/>
                <w:b w:val="0"/>
                <w:i w:val="0"/>
                <w:sz w:val="21"/>
              </w:rPr>
              <w:t>风控部</w:t>
            </w:r>
          </w:p>
        </w:tc>
        <w:tc>
          <w:tcPr>
            <w:tcW w:type="dxa" w:w="6463"/>
          </w:tcPr>
          <w:p>
            <w:pPr>
              <w:spacing w:before="20" w:after="20" w:line="276" w:lineRule="auto"/>
              <w:ind w:firstLine="0"/>
            </w:pPr>
            <w:r/>
            <w:r>
              <w:rPr>
                <w:rFonts w:ascii="Times New Roman" w:hAnsi="Times New Roman" w:eastAsia="宋体"/>
                <w:b w:val="0"/>
                <w:i w:val="0"/>
                <w:sz w:val="21"/>
              </w:rPr>
              <w:t>我要关注应收逾期与敞口变化，以便及时介入逾期回款</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4.13.4　功能结构与范围</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474"/>
            <w:shd w:val="clear" w:color="auto" w:fill="DCE6F1"/>
          </w:tcPr>
          <w:p>
            <w:pPr>
              <w:spacing w:before="40" w:after="40" w:line="276" w:lineRule="auto"/>
              <w:jc w:val="center"/>
            </w:pPr>
            <w:r/>
            <w:r>
              <w:rPr>
                <w:rFonts w:ascii="Times New Roman" w:hAnsi="Times New Roman" w:eastAsia="黑体"/>
                <w:b/>
                <w:i w:val="0"/>
                <w:sz w:val="21"/>
              </w:rPr>
              <w:t>功能</w:t>
            </w:r>
          </w:p>
        </w:tc>
        <w:tc>
          <w:tcPr>
            <w:tcW w:type="dxa" w:w="3175"/>
            <w:shd w:val="clear" w:color="auto" w:fill="DCE6F1"/>
          </w:tcPr>
          <w:p>
            <w:pPr>
              <w:spacing w:before="40" w:after="40" w:line="276" w:lineRule="auto"/>
              <w:jc w:val="center"/>
            </w:pPr>
            <w:r/>
            <w:r>
              <w:rPr>
                <w:rFonts w:ascii="Times New Roman" w:hAnsi="Times New Roman" w:eastAsia="黑体"/>
                <w:b/>
                <w:i w:val="0"/>
                <w:sz w:val="21"/>
              </w:rPr>
              <w:t>功能说明</w:t>
            </w:r>
          </w:p>
        </w:tc>
        <w:tc>
          <w:tcPr>
            <w:tcW w:type="dxa" w:w="4422"/>
            <w:shd w:val="clear" w:color="auto" w:fill="DCE6F1"/>
          </w:tcPr>
          <w:p>
            <w:pPr>
              <w:spacing w:before="40" w:after="40" w:line="276" w:lineRule="auto"/>
              <w:jc w:val="center"/>
            </w:pPr>
            <w:r/>
            <w:r>
              <w:rPr>
                <w:rFonts w:ascii="Times New Roman" w:hAnsi="Times New Roman" w:eastAsia="黑体"/>
                <w:b/>
                <w:i w:val="0"/>
                <w:sz w:val="21"/>
              </w:rPr>
              <w:t>关键规则</w:t>
            </w:r>
          </w:p>
        </w:tc>
      </w:tr>
      <w:tr>
        <w:tc>
          <w:tcPr>
            <w:tcW w:type="dxa" w:w="1474"/>
          </w:tcPr>
          <w:p>
            <w:pPr>
              <w:spacing w:before="20" w:after="20" w:line="276" w:lineRule="auto"/>
              <w:ind w:firstLine="0"/>
            </w:pPr>
            <w:r/>
            <w:r>
              <w:rPr>
                <w:rFonts w:ascii="Times New Roman" w:hAnsi="Times New Roman" w:eastAsia="宋体"/>
                <w:b w:val="0"/>
                <w:i w:val="0"/>
                <w:sz w:val="21"/>
              </w:rPr>
              <w:t>回款流水登记</w:t>
            </w:r>
          </w:p>
        </w:tc>
        <w:tc>
          <w:tcPr>
            <w:tcW w:type="dxa" w:w="3175"/>
          </w:tcPr>
          <w:p>
            <w:pPr>
              <w:spacing w:before="20" w:after="20" w:line="276" w:lineRule="auto"/>
              <w:ind w:firstLine="0"/>
            </w:pPr>
            <w:r/>
            <w:r>
              <w:rPr>
                <w:rFonts w:ascii="Times New Roman" w:hAnsi="Times New Roman" w:eastAsia="宋体"/>
                <w:b w:val="0"/>
                <w:i w:val="0"/>
                <w:sz w:val="21"/>
              </w:rPr>
              <w:t>登记客户线下到账的回款流水并上传回单凭证</w:t>
            </w:r>
          </w:p>
        </w:tc>
        <w:tc>
          <w:tcPr>
            <w:tcW w:type="dxa" w:w="4422"/>
          </w:tcPr>
          <w:p>
            <w:pPr>
              <w:spacing w:before="20" w:after="20" w:line="276" w:lineRule="auto"/>
              <w:ind w:firstLine="0"/>
            </w:pPr>
            <w:r/>
            <w:r>
              <w:rPr>
                <w:rFonts w:ascii="Times New Roman" w:hAnsi="Times New Roman" w:eastAsia="宋体"/>
                <w:b w:val="0"/>
                <w:i w:val="0"/>
                <w:sz w:val="21"/>
              </w:rPr>
              <w:t>回款方为单选且默认下游客户，回款方的账号名称、开户行、银行账号随客户自动带出且可修改；收款账号为单选，默认核心企业所登记信息；回款金额、回款日期必填；回单凭证必填，格式限 jpg、jpeg、png、pdf，单文件不超过 100MB；客户被冻结时提示「客户 X 已被冻结，不能登记回款」并阻止</w:t>
            </w:r>
          </w:p>
        </w:tc>
      </w:tr>
      <w:tr>
        <w:tc>
          <w:tcPr>
            <w:tcW w:type="dxa" w:w="1474"/>
          </w:tcPr>
          <w:p>
            <w:pPr>
              <w:spacing w:before="20" w:after="20" w:line="276" w:lineRule="auto"/>
              <w:ind w:firstLine="0"/>
            </w:pPr>
            <w:r/>
            <w:r>
              <w:rPr>
                <w:rFonts w:ascii="Times New Roman" w:hAnsi="Times New Roman" w:eastAsia="宋体"/>
                <w:b w:val="0"/>
                <w:i w:val="0"/>
                <w:sz w:val="21"/>
              </w:rPr>
              <w:t>回款方式与认领类型</w:t>
            </w:r>
          </w:p>
        </w:tc>
        <w:tc>
          <w:tcPr>
            <w:tcW w:type="dxa" w:w="3175"/>
          </w:tcPr>
          <w:p>
            <w:pPr>
              <w:spacing w:before="20" w:after="20" w:line="276" w:lineRule="auto"/>
              <w:ind w:firstLine="0"/>
            </w:pPr>
            <w:r/>
            <w:r>
              <w:rPr>
                <w:rFonts w:ascii="Times New Roman" w:hAnsi="Times New Roman" w:eastAsia="宋体"/>
                <w:b w:val="0"/>
                <w:i w:val="0"/>
                <w:sz w:val="21"/>
              </w:rPr>
              <w:t>登记回款方式并选择认领类型</w:t>
            </w:r>
          </w:p>
        </w:tc>
        <w:tc>
          <w:tcPr>
            <w:tcW w:type="dxa" w:w="4422"/>
          </w:tcPr>
          <w:p>
            <w:pPr>
              <w:spacing w:before="20" w:after="20" w:line="276" w:lineRule="auto"/>
              <w:ind w:firstLine="0"/>
            </w:pPr>
            <w:r/>
            <w:r>
              <w:rPr>
                <w:rFonts w:ascii="Times New Roman" w:hAnsi="Times New Roman" w:eastAsia="宋体"/>
                <w:b w:val="0"/>
                <w:i w:val="0"/>
                <w:sz w:val="21"/>
              </w:rPr>
              <w:t>回款方式 4 种：商业承兑汇票、电子银行承兑汇票、电汇、保证金冲抵；认领类型 2 种：业务线回款（可选已关联业务线的销售合同，单批次或订单）、非业务线回款（可选未关联业务线的销售合同，单批次或订单）</w:t>
            </w:r>
          </w:p>
        </w:tc>
      </w:tr>
      <w:tr>
        <w:tc>
          <w:tcPr>
            <w:tcW w:type="dxa" w:w="1474"/>
          </w:tcPr>
          <w:p>
            <w:pPr>
              <w:spacing w:before="20" w:after="20" w:line="276" w:lineRule="auto"/>
              <w:ind w:firstLine="0"/>
            </w:pPr>
            <w:r/>
            <w:r>
              <w:rPr>
                <w:rFonts w:ascii="Times New Roman" w:hAnsi="Times New Roman" w:eastAsia="宋体"/>
                <w:b w:val="0"/>
                <w:i w:val="0"/>
                <w:sz w:val="21"/>
              </w:rPr>
              <w:t>回款审批</w:t>
            </w:r>
          </w:p>
        </w:tc>
        <w:tc>
          <w:tcPr>
            <w:tcW w:type="dxa" w:w="3175"/>
          </w:tcPr>
          <w:p>
            <w:pPr>
              <w:spacing w:before="20" w:after="20" w:line="276" w:lineRule="auto"/>
              <w:ind w:firstLine="0"/>
            </w:pPr>
            <w:r/>
            <w:r>
              <w:rPr>
                <w:rFonts w:ascii="Times New Roman" w:hAnsi="Times New Roman" w:eastAsia="宋体"/>
                <w:b w:val="0"/>
                <w:i w:val="0"/>
                <w:sz w:val="21"/>
              </w:rPr>
              <w:t>回款单按审批态流转并支持撤回</w:t>
            </w:r>
          </w:p>
        </w:tc>
        <w:tc>
          <w:tcPr>
            <w:tcW w:type="dxa" w:w="4422"/>
          </w:tcPr>
          <w:p>
            <w:pPr>
              <w:spacing w:before="20" w:after="20" w:line="276" w:lineRule="auto"/>
              <w:ind w:firstLine="0"/>
            </w:pPr>
            <w:r/>
            <w:r>
              <w:rPr>
                <w:rFonts w:ascii="Times New Roman" w:hAnsi="Times New Roman" w:eastAsia="宋体"/>
                <w:b w:val="0"/>
                <w:i w:val="0"/>
                <w:sz w:val="21"/>
              </w:rPr>
              <w:t>审批态包含待提交、审批中、驳回、无效；审批中可撤回回到待提交，撤回需二次确认；驳回后可修改重新提交；审批中与驳回的单据进入回款审批详情页，待提交、驳回、无效可删除</w:t>
            </w:r>
          </w:p>
        </w:tc>
      </w:tr>
      <w:tr>
        <w:tc>
          <w:tcPr>
            <w:tcW w:type="dxa" w:w="1474"/>
          </w:tcPr>
          <w:p>
            <w:pPr>
              <w:spacing w:before="20" w:after="20" w:line="276" w:lineRule="auto"/>
              <w:ind w:firstLine="0"/>
            </w:pPr>
            <w:r/>
            <w:r>
              <w:rPr>
                <w:rFonts w:ascii="Times New Roman" w:hAnsi="Times New Roman" w:eastAsia="宋体"/>
                <w:b w:val="0"/>
                <w:i w:val="0"/>
                <w:sz w:val="21"/>
              </w:rPr>
              <w:t>自动认领</w:t>
            </w:r>
          </w:p>
        </w:tc>
        <w:tc>
          <w:tcPr>
            <w:tcW w:type="dxa" w:w="3175"/>
          </w:tcPr>
          <w:p>
            <w:pPr>
              <w:spacing w:before="20" w:after="20" w:line="276" w:lineRule="auto"/>
              <w:ind w:firstLine="0"/>
            </w:pPr>
            <w:r/>
            <w:r>
              <w:rPr>
                <w:rFonts w:ascii="Times New Roman" w:hAnsi="Times New Roman" w:eastAsia="宋体"/>
                <w:b w:val="0"/>
                <w:i w:val="0"/>
                <w:sz w:val="21"/>
              </w:rPr>
              <w:t>登记回款后由系统按规则匹配合同并打分</w:t>
            </w:r>
          </w:p>
        </w:tc>
        <w:tc>
          <w:tcPr>
            <w:tcW w:type="dxa" w:w="4422"/>
          </w:tcPr>
          <w:p>
            <w:pPr>
              <w:spacing w:before="20" w:after="20" w:line="276" w:lineRule="auto"/>
              <w:ind w:firstLine="0"/>
            </w:pPr>
            <w:r/>
            <w:r>
              <w:rPr>
                <w:rFonts w:ascii="Times New Roman" w:hAnsi="Times New Roman" w:eastAsia="宋体"/>
                <w:b w:val="0"/>
                <w:i w:val="0"/>
                <w:sz w:val="21"/>
              </w:rPr>
              <w:t>匹配优先级为金额（精确）优先，其次付款方（一致），最后订单号（备注）；匹配分数取值 0 至 100，分数不低于 80 自动认领成功，低于 80 置为未认领并提示「回款自动认领失败（匹配分数 X &lt; 80），请手动认领」</w:t>
            </w:r>
          </w:p>
        </w:tc>
      </w:tr>
      <w:tr>
        <w:tc>
          <w:tcPr>
            <w:tcW w:type="dxa" w:w="1474"/>
          </w:tcPr>
          <w:p>
            <w:pPr>
              <w:spacing w:before="20" w:after="20" w:line="276" w:lineRule="auto"/>
              <w:ind w:firstLine="0"/>
            </w:pPr>
            <w:r/>
            <w:r>
              <w:rPr>
                <w:rFonts w:ascii="Times New Roman" w:hAnsi="Times New Roman" w:eastAsia="宋体"/>
                <w:b w:val="0"/>
                <w:i w:val="0"/>
                <w:sz w:val="21"/>
              </w:rPr>
              <w:t>手动认领与字段拆分</w:t>
            </w:r>
          </w:p>
        </w:tc>
        <w:tc>
          <w:tcPr>
            <w:tcW w:type="dxa" w:w="3175"/>
          </w:tcPr>
          <w:p>
            <w:pPr>
              <w:spacing w:before="20" w:after="20" w:line="276" w:lineRule="auto"/>
              <w:ind w:firstLine="0"/>
            </w:pPr>
            <w:r/>
            <w:r>
              <w:rPr>
                <w:rFonts w:ascii="Times New Roman" w:hAnsi="Times New Roman" w:eastAsia="宋体"/>
                <w:b w:val="0"/>
                <w:i w:val="0"/>
                <w:sz w:val="21"/>
              </w:rPr>
              <w:t>人工把回款拆到合同上，并按三种资金来源录入金额</w:t>
            </w:r>
          </w:p>
        </w:tc>
        <w:tc>
          <w:tcPr>
            <w:tcW w:type="dxa" w:w="4422"/>
          </w:tcPr>
          <w:p>
            <w:pPr>
              <w:spacing w:before="20" w:after="20" w:line="276" w:lineRule="auto"/>
              <w:ind w:firstLine="0"/>
            </w:pPr>
            <w:r/>
            <w:r>
              <w:rPr>
                <w:rFonts w:ascii="Times New Roman" w:hAnsi="Times New Roman" w:eastAsia="宋体"/>
                <w:b w:val="0"/>
                <w:i w:val="0"/>
                <w:sz w:val="21"/>
              </w:rPr>
              <w:t>应付总额为只读，取本次认领行关联合同的下游结算金额合计；现金实付可编辑，默认等于应付总额；保证金冲抵为只读，按应付总额乘保证金比例计算；强约束为现金实付加保证金冲抵必须等于应付总额，不满足时提示「现金实付 + 保证金冲抵 必须等于应付总额」并阻止提交；现金实付大于应付总额时提示「现金实付不能大于应付总额」并阻止</w:t>
            </w:r>
          </w:p>
        </w:tc>
      </w:tr>
      <w:tr>
        <w:tc>
          <w:tcPr>
            <w:tcW w:type="dxa" w:w="1474"/>
          </w:tcPr>
          <w:p>
            <w:pPr>
              <w:spacing w:before="20" w:after="20" w:line="276" w:lineRule="auto"/>
              <w:ind w:firstLine="0"/>
            </w:pPr>
            <w:r/>
            <w:r>
              <w:rPr>
                <w:rFonts w:ascii="Times New Roman" w:hAnsi="Times New Roman" w:eastAsia="宋体"/>
                <w:b w:val="0"/>
                <w:i w:val="0"/>
                <w:sz w:val="21"/>
              </w:rPr>
              <w:t>认领金额与合同状态校验</w:t>
            </w:r>
          </w:p>
        </w:tc>
        <w:tc>
          <w:tcPr>
            <w:tcW w:type="dxa" w:w="3175"/>
          </w:tcPr>
          <w:p>
            <w:pPr>
              <w:spacing w:before="20" w:after="20" w:line="276" w:lineRule="auto"/>
              <w:ind w:firstLine="0"/>
            </w:pPr>
            <w:r/>
            <w:r>
              <w:rPr>
                <w:rFonts w:ascii="Times New Roman" w:hAnsi="Times New Roman" w:eastAsia="宋体"/>
                <w:b w:val="0"/>
                <w:i w:val="0"/>
                <w:sz w:val="21"/>
              </w:rPr>
              <w:t>在提交认领前校验金额上限与合同状态</w:t>
            </w:r>
          </w:p>
        </w:tc>
        <w:tc>
          <w:tcPr>
            <w:tcW w:type="dxa" w:w="4422"/>
          </w:tcPr>
          <w:p>
            <w:pPr>
              <w:spacing w:before="20" w:after="20" w:line="276" w:lineRule="auto"/>
              <w:ind w:firstLine="0"/>
            </w:pPr>
            <w:r/>
            <w:r>
              <w:rPr>
                <w:rFonts w:ascii="Times New Roman" w:hAnsi="Times New Roman" w:eastAsia="宋体"/>
                <w:b w:val="0"/>
                <w:i w:val="0"/>
                <w:sz w:val="21"/>
              </w:rPr>
              <w:t>认领金额不得超过回款金额，超过时提示「认领金额 X 超过回款金额 Y」并阻止；已认领金额超过回款金额时在页面顶部红字提示「已认领金额超过回款金额」并阻止；被认领合同必须处于执行中或待上传双签合同状态，否则提示「请选择执行中或待上传双签合同」；合同已作废时提示「该合同已作废，无法认领」</w:t>
            </w:r>
          </w:p>
        </w:tc>
      </w:tr>
      <w:tr>
        <w:tc>
          <w:tcPr>
            <w:tcW w:type="dxa" w:w="1474"/>
          </w:tcPr>
          <w:p>
            <w:pPr>
              <w:spacing w:before="20" w:after="20" w:line="276" w:lineRule="auto"/>
              <w:ind w:firstLine="0"/>
            </w:pPr>
            <w:r/>
            <w:r>
              <w:rPr>
                <w:rFonts w:ascii="Times New Roman" w:hAnsi="Times New Roman" w:eastAsia="宋体"/>
                <w:b w:val="0"/>
                <w:i w:val="0"/>
                <w:sz w:val="21"/>
              </w:rPr>
              <w:t>认领并发保护</w:t>
            </w:r>
          </w:p>
        </w:tc>
        <w:tc>
          <w:tcPr>
            <w:tcW w:type="dxa" w:w="3175"/>
          </w:tcPr>
          <w:p>
            <w:pPr>
              <w:spacing w:before="20" w:after="20" w:line="276" w:lineRule="auto"/>
              <w:ind w:firstLine="0"/>
            </w:pPr>
            <w:r/>
            <w:r>
              <w:rPr>
                <w:rFonts w:ascii="Times New Roman" w:hAnsi="Times New Roman" w:eastAsia="宋体"/>
                <w:b w:val="0"/>
                <w:i w:val="0"/>
                <w:sz w:val="21"/>
              </w:rPr>
              <w:t>提交时二次校验已认领金额，避免并发覆盖</w:t>
            </w:r>
          </w:p>
        </w:tc>
        <w:tc>
          <w:tcPr>
            <w:tcW w:type="dxa" w:w="4422"/>
          </w:tcPr>
          <w:p>
            <w:pPr>
              <w:spacing w:before="20" w:after="20" w:line="276" w:lineRule="auto"/>
              <w:ind w:firstLine="0"/>
            </w:pPr>
            <w:r/>
            <w:r>
              <w:rPr>
                <w:rFonts w:ascii="Times New Roman" w:hAnsi="Times New Roman" w:eastAsia="宋体"/>
                <w:b w:val="0"/>
                <w:i w:val="0"/>
                <w:sz w:val="21"/>
              </w:rPr>
              <w:t>同一合同被并发认领时，提交时校验已认领金额，被他人覆盖则提示「已被其他认领覆盖，请刷新后重试」并阻止提交</w:t>
            </w:r>
          </w:p>
        </w:tc>
      </w:tr>
      <w:tr>
        <w:tc>
          <w:tcPr>
            <w:tcW w:type="dxa" w:w="1474"/>
          </w:tcPr>
          <w:p>
            <w:pPr>
              <w:spacing w:before="20" w:after="20" w:line="276" w:lineRule="auto"/>
              <w:ind w:firstLine="0"/>
            </w:pPr>
            <w:r/>
            <w:r>
              <w:rPr>
                <w:rFonts w:ascii="Times New Roman" w:hAnsi="Times New Roman" w:eastAsia="宋体"/>
                <w:b w:val="0"/>
                <w:i w:val="0"/>
                <w:sz w:val="21"/>
              </w:rPr>
              <w:t>认领结果下游联动</w:t>
            </w:r>
          </w:p>
        </w:tc>
        <w:tc>
          <w:tcPr>
            <w:tcW w:type="dxa" w:w="3175"/>
          </w:tcPr>
          <w:p>
            <w:pPr>
              <w:spacing w:before="20" w:after="20" w:line="276" w:lineRule="auto"/>
              <w:ind w:firstLine="0"/>
            </w:pPr>
            <w:r/>
            <w:r>
              <w:rPr>
                <w:rFonts w:ascii="Times New Roman" w:hAnsi="Times New Roman" w:eastAsia="宋体"/>
                <w:b w:val="0"/>
                <w:i w:val="0"/>
                <w:sz w:val="21"/>
              </w:rPr>
              <w:t>认领完成后回写结算金额、客户回款金额与结清状态</w:t>
            </w:r>
          </w:p>
        </w:tc>
        <w:tc>
          <w:tcPr>
            <w:tcW w:type="dxa" w:w="4422"/>
          </w:tcPr>
          <w:p>
            <w:pPr>
              <w:spacing w:before="20" w:after="20" w:line="276" w:lineRule="auto"/>
              <w:ind w:firstLine="0"/>
            </w:pPr>
            <w:r/>
            <w:r>
              <w:rPr>
                <w:rFonts w:ascii="Times New Roman" w:hAnsi="Times New Roman" w:eastAsia="宋体"/>
                <w:b w:val="0"/>
                <w:i w:val="0"/>
                <w:sz w:val="21"/>
              </w:rPr>
              <w:t>认领完成后该合同的下游结算金额减去本次认领金额，下游结算金额归零时触发已结清；客户已回款金额累加本次回款，并触发敞口金额与保证金覆盖率重算；销项发票关联合同在认领时检查已开票金额是否足够</w:t>
            </w:r>
          </w:p>
        </w:tc>
      </w:tr>
      <w:tr>
        <w:tc>
          <w:tcPr>
            <w:tcW w:type="dxa" w:w="1474"/>
          </w:tcPr>
          <w:p>
            <w:pPr>
              <w:spacing w:before="20" w:after="20" w:line="276" w:lineRule="auto"/>
              <w:ind w:firstLine="0"/>
            </w:pPr>
            <w:r/>
            <w:r>
              <w:rPr>
                <w:rFonts w:ascii="Times New Roman" w:hAnsi="Times New Roman" w:eastAsia="宋体"/>
                <w:b w:val="0"/>
                <w:i w:val="0"/>
                <w:sz w:val="21"/>
              </w:rPr>
              <w:t>回款列表与查询</w:t>
            </w:r>
          </w:p>
        </w:tc>
        <w:tc>
          <w:tcPr>
            <w:tcW w:type="dxa" w:w="3175"/>
          </w:tcPr>
          <w:p>
            <w:pPr>
              <w:spacing w:before="20" w:after="20" w:line="276" w:lineRule="auto"/>
              <w:ind w:firstLine="0"/>
            </w:pPr>
            <w:r/>
            <w:r>
              <w:rPr>
                <w:rFonts w:ascii="Times New Roman" w:hAnsi="Times New Roman" w:eastAsia="宋体"/>
                <w:b w:val="0"/>
                <w:i w:val="0"/>
                <w:sz w:val="21"/>
              </w:rPr>
              <w:t>按状态页签查询回款流水并按状态显隐操作</w:t>
            </w:r>
          </w:p>
        </w:tc>
        <w:tc>
          <w:tcPr>
            <w:tcW w:type="dxa" w:w="4422"/>
          </w:tcPr>
          <w:p>
            <w:pPr>
              <w:spacing w:before="20" w:after="20" w:line="276" w:lineRule="auto"/>
              <w:ind w:firstLine="0"/>
            </w:pPr>
            <w:r/>
            <w:r>
              <w:rPr>
                <w:rFonts w:ascii="Times New Roman" w:hAnsi="Times New Roman" w:eastAsia="宋体"/>
                <w:b w:val="0"/>
                <w:i w:val="0"/>
                <w:sz w:val="21"/>
              </w:rPr>
              <w:t>状态维度 7 种：待提交、审批中、未认领、部分认领、已认领、驳回、无效；页签为全部、待提交、审批中、未认领、部分认领、已认领、驳回、无效，计数按数据实时统计；审批态与认领态的详情分别进入回款审批详情页与回款详情页</w:t>
            </w:r>
          </w:p>
        </w:tc>
      </w:tr>
    </w:tbl>
    <w:p>
      <w:pPr>
        <w:spacing w:before="0" w:after="0" w:line="240" w:lineRule="auto"/>
      </w:pP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tblGrid>
      <w:tr>
        <w:trPr>
          <w:tblHeader w:val="true"/>
        </w:trPr>
        <w:tc>
          <w:tcPr>
            <w:tcW w:type="dxa" w:w="1247"/>
            <w:shd w:val="clear" w:color="auto" w:fill="DCE6F1"/>
          </w:tcPr>
          <w:p>
            <w:pPr>
              <w:spacing w:before="40" w:after="40" w:line="276" w:lineRule="auto"/>
              <w:jc w:val="center"/>
            </w:pPr>
            <w:r/>
            <w:r>
              <w:rPr>
                <w:rFonts w:ascii="Times New Roman" w:hAnsi="Times New Roman" w:eastAsia="黑体"/>
                <w:b/>
                <w:i w:val="0"/>
                <w:sz w:val="19"/>
              </w:rPr>
              <w:t>页面</w:t>
            </w:r>
          </w:p>
        </w:tc>
        <w:tc>
          <w:tcPr>
            <w:tcW w:type="dxa" w:w="1474"/>
            <w:shd w:val="clear" w:color="auto" w:fill="DCE6F1"/>
          </w:tcPr>
          <w:p>
            <w:pPr>
              <w:spacing w:before="40" w:after="40" w:line="276" w:lineRule="auto"/>
              <w:jc w:val="center"/>
            </w:pPr>
            <w:r/>
            <w:r>
              <w:rPr>
                <w:rFonts w:ascii="Times New Roman" w:hAnsi="Times New Roman" w:eastAsia="黑体"/>
                <w:b/>
                <w:i w:val="0"/>
                <w:sz w:val="19"/>
              </w:rPr>
              <w:t>文件</w:t>
            </w:r>
          </w:p>
        </w:tc>
        <w:tc>
          <w:tcPr>
            <w:tcW w:type="dxa" w:w="1134"/>
            <w:shd w:val="clear" w:color="auto" w:fill="DCE6F1"/>
          </w:tcPr>
          <w:p>
            <w:pPr>
              <w:spacing w:before="40" w:after="40" w:line="276" w:lineRule="auto"/>
              <w:jc w:val="center"/>
            </w:pPr>
            <w:r/>
            <w:r>
              <w:rPr>
                <w:rFonts w:ascii="Times New Roman" w:hAnsi="Times New Roman" w:eastAsia="黑体"/>
                <w:b/>
                <w:i w:val="0"/>
                <w:sz w:val="19"/>
              </w:rPr>
              <w:t>入口</w:t>
            </w:r>
          </w:p>
        </w:tc>
        <w:tc>
          <w:tcPr>
            <w:tcW w:type="dxa" w:w="2041"/>
            <w:shd w:val="clear" w:color="auto" w:fill="DCE6F1"/>
          </w:tcPr>
          <w:p>
            <w:pPr>
              <w:spacing w:before="40" w:after="40" w:line="276" w:lineRule="auto"/>
              <w:jc w:val="center"/>
            </w:pPr>
            <w:r/>
            <w:r>
              <w:rPr>
                <w:rFonts w:ascii="Times New Roman" w:hAnsi="Times New Roman" w:eastAsia="黑体"/>
                <w:b/>
                <w:i w:val="0"/>
                <w:sz w:val="19"/>
              </w:rPr>
              <w:t>主要区块</w:t>
            </w:r>
          </w:p>
        </w:tc>
        <w:tc>
          <w:tcPr>
            <w:tcW w:type="dxa" w:w="1701"/>
            <w:shd w:val="clear" w:color="auto" w:fill="DCE6F1"/>
          </w:tcPr>
          <w:p>
            <w:pPr>
              <w:spacing w:before="40" w:after="40" w:line="276" w:lineRule="auto"/>
              <w:jc w:val="center"/>
            </w:pPr>
            <w:r/>
            <w:r>
              <w:rPr>
                <w:rFonts w:ascii="Times New Roman" w:hAnsi="Times New Roman" w:eastAsia="黑体"/>
                <w:b/>
                <w:i w:val="0"/>
                <w:sz w:val="19"/>
              </w:rPr>
              <w:t>主要操作</w:t>
            </w:r>
          </w:p>
        </w:tc>
        <w:tc>
          <w:tcPr>
            <w:tcW w:type="dxa" w:w="1474"/>
            <w:shd w:val="clear" w:color="auto" w:fill="DCE6F1"/>
          </w:tcPr>
          <w:p>
            <w:pPr>
              <w:spacing w:before="40" w:after="40" w:line="276" w:lineRule="auto"/>
              <w:jc w:val="center"/>
            </w:pPr>
            <w:r/>
            <w:r>
              <w:rPr>
                <w:rFonts w:ascii="Times New Roman" w:hAnsi="Times New Roman" w:eastAsia="黑体"/>
                <w:b/>
                <w:i w:val="0"/>
                <w:sz w:val="19"/>
              </w:rPr>
              <w:t>跳转</w:t>
            </w:r>
          </w:p>
        </w:tc>
      </w:tr>
      <w:tr>
        <w:tc>
          <w:tcPr>
            <w:tcW w:type="dxa" w:w="1247"/>
          </w:tcPr>
          <w:p>
            <w:pPr>
              <w:spacing w:before="20" w:after="20" w:line="276" w:lineRule="auto"/>
              <w:ind w:firstLine="0"/>
            </w:pPr>
            <w:r/>
            <w:r>
              <w:rPr>
                <w:rFonts w:ascii="Times New Roman" w:hAnsi="Times New Roman" w:eastAsia="宋体"/>
                <w:b w:val="0"/>
                <w:i w:val="0"/>
                <w:sz w:val="19"/>
              </w:rPr>
              <w:t>回款列表</w:t>
            </w:r>
          </w:p>
        </w:tc>
        <w:tc>
          <w:tcPr>
            <w:tcW w:type="dxa" w:w="1474"/>
          </w:tcPr>
          <w:p>
            <w:pPr>
              <w:spacing w:before="20" w:after="20" w:line="276" w:lineRule="auto"/>
              <w:ind w:firstLine="0"/>
            </w:pPr>
            <w:r/>
            <w:r>
              <w:rPr>
                <w:rFonts w:ascii="Times New Roman" w:hAnsi="Times New Roman" w:eastAsia="宋体"/>
                <w:b w:val="0"/>
                <w:i w:val="0"/>
                <w:sz w:val="19"/>
              </w:rPr>
              <w:t>receipt-list.html</w:t>
            </w:r>
          </w:p>
        </w:tc>
        <w:tc>
          <w:tcPr>
            <w:tcW w:type="dxa" w:w="1134"/>
          </w:tcPr>
          <w:p>
            <w:pPr>
              <w:spacing w:before="20" w:after="20" w:line="276" w:lineRule="auto"/>
              <w:ind w:firstLine="0"/>
            </w:pPr>
            <w:r/>
            <w:r>
              <w:rPr>
                <w:rFonts w:ascii="Times New Roman" w:hAnsi="Times New Roman" w:eastAsia="宋体"/>
                <w:b w:val="0"/>
                <w:i w:val="0"/>
                <w:sz w:val="19"/>
              </w:rPr>
              <w:t>数字供应链 / 资金管理 / 回款管理</w:t>
            </w:r>
          </w:p>
        </w:tc>
        <w:tc>
          <w:tcPr>
            <w:tcW w:type="dxa" w:w="2041"/>
          </w:tcPr>
          <w:p>
            <w:pPr>
              <w:spacing w:before="20" w:after="20" w:line="276" w:lineRule="auto"/>
              <w:ind w:firstLine="0"/>
            </w:pPr>
            <w:r/>
            <w:r>
              <w:rPr>
                <w:rFonts w:ascii="Times New Roman" w:hAnsi="Times New Roman" w:eastAsia="宋体"/>
                <w:b w:val="0"/>
                <w:i w:val="0"/>
                <w:sz w:val="19"/>
              </w:rPr>
              <w:t>状态页签（全部、待提交、审批中、未认领、部分认领、已认领、驳回、无效）+ 筛选查询区 + 回款明细表格（回款编号、回款方、回款日期、回款金额、已认领金额、可认领金额、收款账号、认领状态、操作）</w:t>
            </w:r>
          </w:p>
        </w:tc>
        <w:tc>
          <w:tcPr>
            <w:tcW w:type="dxa" w:w="1701"/>
          </w:tcPr>
          <w:p>
            <w:pPr>
              <w:spacing w:before="20" w:after="20" w:line="276" w:lineRule="auto"/>
              <w:ind w:firstLine="0"/>
            </w:pPr>
            <w:r/>
            <w:r>
              <w:rPr>
                <w:rFonts w:ascii="Times New Roman" w:hAnsi="Times New Roman" w:eastAsia="宋体"/>
                <w:b w:val="0"/>
                <w:i w:val="0"/>
                <w:sz w:val="19"/>
              </w:rPr>
              <w:t>查询 / 重置 / 清除全部筛选 / 行内按状态显隐：详情、修改、删除、撤回</w:t>
            </w:r>
          </w:p>
        </w:tc>
        <w:tc>
          <w:tcPr>
            <w:tcW w:type="dxa" w:w="1474"/>
          </w:tcPr>
          <w:p>
            <w:pPr>
              <w:spacing w:before="20" w:after="20" w:line="276" w:lineRule="auto"/>
              <w:ind w:firstLine="0"/>
            </w:pPr>
            <w:r/>
            <w:r>
              <w:rPr>
                <w:rFonts w:ascii="Times New Roman" w:hAnsi="Times New Roman" w:eastAsia="宋体"/>
                <w:b w:val="0"/>
                <w:i w:val="0"/>
                <w:sz w:val="19"/>
              </w:rPr>
              <w:t>审批态详情跳转到回款审批详情页 receipt-approval-detail.html；认领态详情跳转到回款详情页 receipt-detail.html</w:t>
            </w:r>
          </w:p>
        </w:tc>
      </w:tr>
      <w:tr>
        <w:tc>
          <w:tcPr>
            <w:tcW w:type="dxa" w:w="1247"/>
          </w:tcPr>
          <w:p>
            <w:pPr>
              <w:spacing w:before="20" w:after="20" w:line="276" w:lineRule="auto"/>
              <w:ind w:firstLine="0"/>
            </w:pPr>
            <w:r/>
            <w:r>
              <w:rPr>
                <w:rFonts w:ascii="Times New Roman" w:hAnsi="Times New Roman" w:eastAsia="宋体"/>
                <w:b w:val="0"/>
                <w:i w:val="0"/>
                <w:sz w:val="19"/>
              </w:rPr>
              <w:t>回款编辑（新增 / 认领）</w:t>
            </w:r>
          </w:p>
        </w:tc>
        <w:tc>
          <w:tcPr>
            <w:tcW w:type="dxa" w:w="1474"/>
          </w:tcPr>
          <w:p>
            <w:pPr>
              <w:spacing w:before="20" w:after="20" w:line="276" w:lineRule="auto"/>
              <w:ind w:firstLine="0"/>
            </w:pPr>
            <w:r/>
            <w:r>
              <w:rPr>
                <w:rFonts w:ascii="Times New Roman" w:hAnsi="Times New Roman" w:eastAsia="宋体"/>
                <w:b w:val="0"/>
                <w:i w:val="0"/>
                <w:sz w:val="19"/>
              </w:rPr>
              <w:t>receipt-edit.html</w:t>
            </w:r>
          </w:p>
        </w:tc>
        <w:tc>
          <w:tcPr>
            <w:tcW w:type="dxa" w:w="1134"/>
          </w:tcPr>
          <w:p>
            <w:pPr>
              <w:spacing w:before="20" w:after="20" w:line="276" w:lineRule="auto"/>
              <w:ind w:firstLine="0"/>
            </w:pPr>
            <w:r/>
            <w:r>
              <w:rPr>
                <w:rFonts w:ascii="Times New Roman" w:hAnsi="Times New Roman" w:eastAsia="宋体"/>
                <w:b w:val="0"/>
                <w:i w:val="0"/>
                <w:sz w:val="19"/>
              </w:rPr>
              <w:t>回款列表行内「修改」，以及新增回款入口</w:t>
            </w:r>
          </w:p>
        </w:tc>
        <w:tc>
          <w:tcPr>
            <w:tcW w:type="dxa" w:w="2041"/>
          </w:tcPr>
          <w:p>
            <w:pPr>
              <w:spacing w:before="20" w:after="20" w:line="276" w:lineRule="auto"/>
              <w:ind w:firstLine="0"/>
            </w:pPr>
            <w:r/>
            <w:r>
              <w:rPr>
                <w:rFonts w:ascii="Times New Roman" w:hAnsi="Times New Roman" w:eastAsia="宋体"/>
                <w:b w:val="0"/>
                <w:i w:val="0"/>
                <w:sz w:val="19"/>
              </w:rPr>
              <w:t>回款信息（回款方、回款金额、回款日期、回款方式、收款账号、认领类型）/ 凭证附件 / 回款认领（应付总额、现金实付、保证金冲抵、剩余未付提示条、认领明细表）</w:t>
            </w:r>
          </w:p>
        </w:tc>
        <w:tc>
          <w:tcPr>
            <w:tcW w:type="dxa" w:w="1701"/>
          </w:tcPr>
          <w:p>
            <w:pPr>
              <w:spacing w:before="20" w:after="20" w:line="276" w:lineRule="auto"/>
              <w:ind w:firstLine="0"/>
            </w:pPr>
            <w:r/>
            <w:r>
              <w:rPr>
                <w:rFonts w:ascii="Times New Roman" w:hAnsi="Times New Roman" w:eastAsia="宋体"/>
                <w:b w:val="0"/>
                <w:i w:val="0"/>
                <w:sz w:val="19"/>
              </w:rPr>
              <w:t>上传 / 全部现金 / 按比例分摊 / 提交 / 取消</w:t>
            </w:r>
          </w:p>
        </w:tc>
        <w:tc>
          <w:tcPr>
            <w:tcW w:type="dxa" w:w="1474"/>
          </w:tcPr>
          <w:p>
            <w:pPr>
              <w:spacing w:before="20" w:after="20" w:line="276" w:lineRule="auto"/>
              <w:ind w:firstLine="0"/>
            </w:pPr>
            <w:r/>
            <w:r>
              <w:rPr>
                <w:rFonts w:ascii="Times New Roman" w:hAnsi="Times New Roman" w:eastAsia="宋体"/>
                <w:b w:val="0"/>
                <w:i w:val="0"/>
                <w:sz w:val="19"/>
              </w:rPr>
              <w:t>提交成功后回到回款列表；认领明细中的合同可跳转合同详情</w:t>
            </w:r>
          </w:p>
        </w:tc>
      </w:tr>
      <w:tr>
        <w:tc>
          <w:tcPr>
            <w:tcW w:type="dxa" w:w="1247"/>
          </w:tcPr>
          <w:p>
            <w:pPr>
              <w:spacing w:before="20" w:after="20" w:line="276" w:lineRule="auto"/>
              <w:ind w:firstLine="0"/>
            </w:pPr>
            <w:r/>
            <w:r>
              <w:rPr>
                <w:rFonts w:ascii="Times New Roman" w:hAnsi="Times New Roman" w:eastAsia="宋体"/>
                <w:b w:val="0"/>
                <w:i w:val="0"/>
                <w:sz w:val="19"/>
              </w:rPr>
              <w:t>回款详情</w:t>
            </w:r>
          </w:p>
        </w:tc>
        <w:tc>
          <w:tcPr>
            <w:tcW w:type="dxa" w:w="1474"/>
          </w:tcPr>
          <w:p>
            <w:pPr>
              <w:spacing w:before="20" w:after="20" w:line="276" w:lineRule="auto"/>
              <w:ind w:firstLine="0"/>
            </w:pPr>
            <w:r/>
            <w:r>
              <w:rPr>
                <w:rFonts w:ascii="Times New Roman" w:hAnsi="Times New Roman" w:eastAsia="宋体"/>
                <w:b w:val="0"/>
                <w:i w:val="0"/>
                <w:sz w:val="19"/>
              </w:rPr>
              <w:t>receipt-detail.html</w:t>
            </w:r>
          </w:p>
        </w:tc>
        <w:tc>
          <w:tcPr>
            <w:tcW w:type="dxa" w:w="1134"/>
          </w:tcPr>
          <w:p>
            <w:pPr>
              <w:spacing w:before="20" w:after="20" w:line="276" w:lineRule="auto"/>
              <w:ind w:firstLine="0"/>
            </w:pPr>
            <w:r/>
            <w:r>
              <w:rPr>
                <w:rFonts w:ascii="Times New Roman" w:hAnsi="Times New Roman" w:eastAsia="宋体"/>
                <w:b w:val="0"/>
                <w:i w:val="0"/>
                <w:sz w:val="19"/>
              </w:rPr>
              <w:t>回款列表认领态行内「详情」</w:t>
            </w:r>
          </w:p>
        </w:tc>
        <w:tc>
          <w:tcPr>
            <w:tcW w:type="dxa" w:w="2041"/>
          </w:tcPr>
          <w:p>
            <w:pPr>
              <w:spacing w:before="20" w:after="20" w:line="276" w:lineRule="auto"/>
              <w:ind w:firstLine="0"/>
            </w:pPr>
            <w:r/>
            <w:r>
              <w:rPr>
                <w:rFonts w:ascii="Times New Roman" w:hAnsi="Times New Roman" w:eastAsia="宋体"/>
                <w:b w:val="0"/>
                <w:i w:val="0"/>
                <w:sz w:val="19"/>
              </w:rPr>
              <w:t>回款信息 / 回款认领（已认领金额、可认领金额、认领记录）/ 操作记录</w:t>
            </w:r>
          </w:p>
        </w:tc>
        <w:tc>
          <w:tcPr>
            <w:tcW w:type="dxa" w:w="1701"/>
          </w:tcPr>
          <w:p>
            <w:pPr>
              <w:spacing w:before="20" w:after="20" w:line="276" w:lineRule="auto"/>
              <w:ind w:firstLine="0"/>
            </w:pPr>
            <w:r/>
            <w:r>
              <w:rPr>
                <w:rFonts w:ascii="Times New Roman" w:hAnsi="Times New Roman" w:eastAsia="宋体"/>
                <w:b w:val="0"/>
                <w:i w:val="0"/>
                <w:sz w:val="19"/>
              </w:rPr>
              <w:t>查看操作记录 / 跳转关联结算单与保证金池</w:t>
            </w:r>
          </w:p>
        </w:tc>
        <w:tc>
          <w:tcPr>
            <w:tcW w:type="dxa" w:w="1474"/>
          </w:tcPr>
          <w:p>
            <w:pPr>
              <w:spacing w:before="20" w:after="20" w:line="276" w:lineRule="auto"/>
              <w:ind w:firstLine="0"/>
            </w:pPr>
            <w:r/>
            <w:r>
              <w:rPr>
                <w:rFonts w:ascii="Times New Roman" w:hAnsi="Times New Roman" w:eastAsia="宋体"/>
                <w:b w:val="0"/>
                <w:i w:val="0"/>
                <w:sz w:val="19"/>
              </w:rPr>
              <w:t>可跳转关联的结算单与保证金池页面</w:t>
            </w:r>
          </w:p>
        </w:tc>
      </w:tr>
      <w:tr>
        <w:tc>
          <w:tcPr>
            <w:tcW w:type="dxa" w:w="1247"/>
          </w:tcPr>
          <w:p>
            <w:pPr>
              <w:spacing w:before="20" w:after="20" w:line="276" w:lineRule="auto"/>
              <w:ind w:firstLine="0"/>
            </w:pPr>
            <w:r/>
            <w:r>
              <w:rPr>
                <w:rFonts w:ascii="Times New Roman" w:hAnsi="Times New Roman" w:eastAsia="宋体"/>
                <w:b w:val="0"/>
                <w:i w:val="0"/>
                <w:sz w:val="19"/>
              </w:rPr>
              <w:t>回款审批详情</w:t>
            </w:r>
          </w:p>
        </w:tc>
        <w:tc>
          <w:tcPr>
            <w:tcW w:type="dxa" w:w="1474"/>
          </w:tcPr>
          <w:p>
            <w:pPr>
              <w:spacing w:before="20" w:after="20" w:line="276" w:lineRule="auto"/>
              <w:ind w:firstLine="0"/>
            </w:pPr>
            <w:r/>
            <w:r>
              <w:rPr>
                <w:rFonts w:ascii="Times New Roman" w:hAnsi="Times New Roman" w:eastAsia="宋体"/>
                <w:b w:val="0"/>
                <w:i w:val="0"/>
                <w:sz w:val="19"/>
              </w:rPr>
              <w:t>receipt-approval-detail.html</w:t>
            </w:r>
          </w:p>
        </w:tc>
        <w:tc>
          <w:tcPr>
            <w:tcW w:type="dxa" w:w="1134"/>
          </w:tcPr>
          <w:p>
            <w:pPr>
              <w:spacing w:before="20" w:after="20" w:line="276" w:lineRule="auto"/>
              <w:ind w:firstLine="0"/>
            </w:pPr>
            <w:r/>
            <w:r>
              <w:rPr>
                <w:rFonts w:ascii="Times New Roman" w:hAnsi="Times New Roman" w:eastAsia="宋体"/>
                <w:b w:val="0"/>
                <w:i w:val="0"/>
                <w:sz w:val="19"/>
              </w:rPr>
              <w:t>回款列表审批态行内「详情」</w:t>
            </w:r>
          </w:p>
        </w:tc>
        <w:tc>
          <w:tcPr>
            <w:tcW w:type="dxa" w:w="2041"/>
          </w:tcPr>
          <w:p>
            <w:pPr>
              <w:spacing w:before="20" w:after="20" w:line="276" w:lineRule="auto"/>
              <w:ind w:firstLine="0"/>
            </w:pPr>
            <w:r/>
            <w:r>
              <w:rPr>
                <w:rFonts w:ascii="Times New Roman" w:hAnsi="Times New Roman" w:eastAsia="宋体"/>
                <w:b w:val="0"/>
                <w:i w:val="0"/>
                <w:sz w:val="19"/>
              </w:rPr>
              <w:t>顶部信息条（回款编号、状态、6 个字段）/ 步骤条（业务人员创建回款单 → 回款审批中 → 审批通过回款生效）/ Tab 1 回款信息（回款信息、关联结算单、附件）/ Tab 2 审批管理（审批时间线）/ Tab 3 操作记录</w:t>
            </w:r>
          </w:p>
        </w:tc>
        <w:tc>
          <w:tcPr>
            <w:tcW w:type="dxa" w:w="1701"/>
          </w:tcPr>
          <w:p>
            <w:pPr>
              <w:spacing w:before="20" w:after="20" w:line="276" w:lineRule="auto"/>
              <w:ind w:firstLine="0"/>
            </w:pPr>
            <w:r/>
            <w:r>
              <w:rPr>
                <w:rFonts w:ascii="Times New Roman" w:hAnsi="Times New Roman" w:eastAsia="宋体"/>
                <w:b w:val="0"/>
                <w:i w:val="0"/>
                <w:sz w:val="19"/>
              </w:rPr>
              <w:t>撤回申请 / 审批通过 / 驳回审批</w:t>
            </w:r>
          </w:p>
        </w:tc>
        <w:tc>
          <w:tcPr>
            <w:tcW w:type="dxa" w:w="1474"/>
          </w:tcPr>
          <w:p>
            <w:pPr>
              <w:spacing w:before="20" w:after="20" w:line="276" w:lineRule="auto"/>
              <w:ind w:firstLine="0"/>
            </w:pPr>
            <w:r/>
            <w:r>
              <w:rPr>
                <w:rFonts w:ascii="Times New Roman" w:hAnsi="Times New Roman" w:eastAsia="宋体"/>
                <w:b w:val="0"/>
                <w:i w:val="0"/>
                <w:sz w:val="19"/>
              </w:rPr>
              <w:t>关联结算单与附件可跳转对应单据</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4.13.5　数据关系</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474"/>
            <w:shd w:val="clear" w:color="auto" w:fill="DCE6F1"/>
          </w:tcPr>
          <w:p>
            <w:pPr>
              <w:spacing w:before="40" w:after="40" w:line="276" w:lineRule="auto"/>
              <w:jc w:val="center"/>
            </w:pPr>
            <w:r/>
            <w:r>
              <w:rPr>
                <w:rFonts w:ascii="Times New Roman" w:hAnsi="Times New Roman" w:eastAsia="黑体"/>
                <w:b/>
                <w:i w:val="0"/>
                <w:sz w:val="21"/>
              </w:rPr>
              <w:t>业务对象</w:t>
            </w:r>
          </w:p>
        </w:tc>
        <w:tc>
          <w:tcPr>
            <w:tcW w:type="dxa" w:w="4195"/>
            <w:shd w:val="clear" w:color="auto" w:fill="DCE6F1"/>
          </w:tcPr>
          <w:p>
            <w:pPr>
              <w:spacing w:before="40" w:after="40" w:line="276" w:lineRule="auto"/>
              <w:jc w:val="center"/>
            </w:pPr>
            <w:r/>
            <w:r>
              <w:rPr>
                <w:rFonts w:ascii="Times New Roman" w:hAnsi="Times New Roman" w:eastAsia="黑体"/>
                <w:b/>
                <w:i w:val="0"/>
                <w:sz w:val="21"/>
              </w:rPr>
              <w:t>关键字段与口径</w:t>
            </w:r>
          </w:p>
        </w:tc>
        <w:tc>
          <w:tcPr>
            <w:tcW w:type="dxa" w:w="3402"/>
            <w:shd w:val="clear" w:color="auto" w:fill="DCE6F1"/>
          </w:tcPr>
          <w:p>
            <w:pPr>
              <w:spacing w:before="40" w:after="40" w:line="276" w:lineRule="auto"/>
              <w:jc w:val="center"/>
            </w:pPr>
            <w:r/>
            <w:r>
              <w:rPr>
                <w:rFonts w:ascii="Times New Roman" w:hAnsi="Times New Roman" w:eastAsia="黑体"/>
                <w:b/>
                <w:i w:val="0"/>
                <w:sz w:val="21"/>
              </w:rPr>
              <w:t>与其他对象的关系</w:t>
            </w:r>
          </w:p>
        </w:tc>
      </w:tr>
      <w:tr>
        <w:tc>
          <w:tcPr>
            <w:tcW w:type="dxa" w:w="1474"/>
          </w:tcPr>
          <w:p>
            <w:pPr>
              <w:spacing w:before="20" w:after="20" w:line="276" w:lineRule="auto"/>
              <w:ind w:firstLine="0"/>
            </w:pPr>
            <w:r/>
            <w:r>
              <w:rPr>
                <w:rFonts w:ascii="Times New Roman" w:hAnsi="Times New Roman" w:eastAsia="宋体"/>
                <w:b w:val="0"/>
                <w:i w:val="0"/>
                <w:sz w:val="21"/>
              </w:rPr>
              <w:t>回款流水登记</w:t>
            </w:r>
          </w:p>
        </w:tc>
        <w:tc>
          <w:tcPr>
            <w:tcW w:type="dxa" w:w="4195"/>
          </w:tcPr>
          <w:p>
            <w:pPr>
              <w:spacing w:before="20" w:after="20" w:line="276" w:lineRule="auto"/>
              <w:ind w:firstLine="0"/>
            </w:pPr>
            <w:r/>
            <w:r>
              <w:rPr>
                <w:rFonts w:ascii="Times New Roman" w:hAnsi="Times New Roman" w:eastAsia="宋体"/>
                <w:b w:val="0"/>
                <w:i w:val="0"/>
                <w:sz w:val="21"/>
              </w:rPr>
              <w:t>回款流水号：varchar(32)，编号规则未定义</w:t>
            </w:r>
            <w:r>
              <w:br/>
            </w:r>
            <w:r>
              <w:rPr>
                <w:rFonts w:ascii="Times New Roman" w:hAnsi="Times New Roman" w:eastAsia="宋体"/>
                <w:b w:val="0"/>
                <w:i w:val="0"/>
                <w:sz w:val="21"/>
              </w:rPr>
              <w:t>回款方（客户）：默认下游客户，客户被冻结时禁止登记</w:t>
            </w:r>
            <w:r>
              <w:br/>
            </w:r>
            <w:r>
              <w:rPr>
                <w:rFonts w:ascii="Times New Roman" w:hAnsi="Times New Roman" w:eastAsia="宋体"/>
                <w:b w:val="0"/>
                <w:i w:val="0"/>
                <w:sz w:val="21"/>
              </w:rPr>
              <w:t>回款金额：decimal(20,2)，必填</w:t>
            </w:r>
            <w:r>
              <w:br/>
            </w:r>
            <w:r>
              <w:rPr>
                <w:rFonts w:ascii="Times New Roman" w:hAnsi="Times New Roman" w:eastAsia="宋体"/>
                <w:b w:val="0"/>
                <w:i w:val="0"/>
                <w:sz w:val="21"/>
              </w:rPr>
              <w:t>回款日期：必填</w:t>
            </w:r>
            <w:r>
              <w:br/>
            </w:r>
            <w:r>
              <w:rPr>
                <w:rFonts w:ascii="Times New Roman" w:hAnsi="Times New Roman" w:eastAsia="宋体"/>
                <w:b w:val="0"/>
                <w:i w:val="0"/>
                <w:sz w:val="21"/>
              </w:rPr>
              <w:t>回款方式：商业承兑汇票 / 电子银行承兑汇票 / 电汇 / 保证金冲抵</w:t>
            </w:r>
            <w:r>
              <w:br/>
            </w:r>
            <w:r>
              <w:rPr>
                <w:rFonts w:ascii="Times New Roman" w:hAnsi="Times New Roman" w:eastAsia="宋体"/>
                <w:b w:val="0"/>
                <w:i w:val="0"/>
                <w:sz w:val="21"/>
              </w:rPr>
              <w:t>收款银行账号：脱敏展示</w:t>
            </w:r>
            <w:r>
              <w:br/>
            </w:r>
            <w:r>
              <w:rPr>
                <w:rFonts w:ascii="Times New Roman" w:hAnsi="Times New Roman" w:eastAsia="宋体"/>
                <w:b w:val="0"/>
                <w:i w:val="0"/>
                <w:sz w:val="21"/>
              </w:rPr>
              <w:t>回单凭证：jpg、jpeg、png、pdf，单文件不超过 100MB</w:t>
            </w:r>
            <w:r>
              <w:br/>
            </w:r>
            <w:r>
              <w:rPr>
                <w:rFonts w:ascii="Times New Roman" w:hAnsi="Times New Roman" w:eastAsia="宋体"/>
                <w:b w:val="0"/>
                <w:i w:val="0"/>
                <w:sz w:val="21"/>
              </w:rPr>
              <w:t>认领状态：待认领 / 已认领（自动）/ 已认领（人工）/ 未认领，枚举值与展示状态的对应关系未定义</w:t>
            </w:r>
            <w:r>
              <w:br/>
            </w:r>
            <w:r>
              <w:rPr>
                <w:rFonts w:ascii="Times New Roman" w:hAnsi="Times New Roman" w:eastAsia="宋体"/>
                <w:b w:val="0"/>
                <w:i w:val="0"/>
                <w:sz w:val="21"/>
              </w:rPr>
              <w:t>备注：varchar(500)</w:t>
            </w:r>
          </w:p>
        </w:tc>
        <w:tc>
          <w:tcPr>
            <w:tcW w:type="dxa" w:w="3402"/>
          </w:tcPr>
          <w:p>
            <w:pPr>
              <w:spacing w:before="20" w:after="20" w:line="276" w:lineRule="auto"/>
              <w:ind w:firstLine="0"/>
            </w:pPr>
            <w:r/>
            <w:r>
              <w:rPr>
                <w:rFonts w:ascii="Times New Roman" w:hAnsi="Times New Roman" w:eastAsia="宋体"/>
                <w:b w:val="0"/>
                <w:i w:val="0"/>
                <w:sz w:val="21"/>
              </w:rPr>
              <w:t>客户线下转账后由业务员登记；回款金额用于回款认领的上限校验与结算金额扣减</w:t>
            </w:r>
          </w:p>
        </w:tc>
      </w:tr>
      <w:tr>
        <w:tc>
          <w:tcPr>
            <w:tcW w:type="dxa" w:w="1474"/>
          </w:tcPr>
          <w:p>
            <w:pPr>
              <w:spacing w:before="20" w:after="20" w:line="276" w:lineRule="auto"/>
              <w:ind w:firstLine="0"/>
            </w:pPr>
            <w:r/>
            <w:r>
              <w:rPr>
                <w:rFonts w:ascii="Times New Roman" w:hAnsi="Times New Roman" w:eastAsia="宋体"/>
                <w:b w:val="0"/>
                <w:i w:val="0"/>
                <w:sz w:val="21"/>
              </w:rPr>
              <w:t>回款认领记录</w:t>
            </w:r>
          </w:p>
        </w:tc>
        <w:tc>
          <w:tcPr>
            <w:tcW w:type="dxa" w:w="4195"/>
          </w:tcPr>
          <w:p>
            <w:pPr>
              <w:spacing w:before="20" w:after="20" w:line="276" w:lineRule="auto"/>
              <w:ind w:firstLine="0"/>
            </w:pPr>
            <w:r/>
            <w:r>
              <w:rPr>
                <w:rFonts w:ascii="Times New Roman" w:hAnsi="Times New Roman" w:eastAsia="宋体"/>
                <w:b w:val="0"/>
                <w:i w:val="0"/>
                <w:sz w:val="21"/>
              </w:rPr>
              <w:t>关联回款</w:t>
            </w:r>
            <w:r>
              <w:br/>
            </w:r>
            <w:r>
              <w:rPr>
                <w:rFonts w:ascii="Times New Roman" w:hAnsi="Times New Roman" w:eastAsia="宋体"/>
                <w:b w:val="0"/>
                <w:i w:val="0"/>
                <w:sz w:val="21"/>
              </w:rPr>
              <w:t>认领类型：自动认领 / 人工认领 / 拆分认领</w:t>
            </w:r>
            <w:r>
              <w:br/>
            </w:r>
            <w:r>
              <w:rPr>
                <w:rFonts w:ascii="Times New Roman" w:hAnsi="Times New Roman" w:eastAsia="宋体"/>
                <w:b w:val="0"/>
                <w:i w:val="0"/>
                <w:sz w:val="21"/>
              </w:rPr>
              <w:t>关联单据（销售合同、单批次或订单）</w:t>
            </w:r>
            <w:r>
              <w:br/>
            </w:r>
            <w:r>
              <w:rPr>
                <w:rFonts w:ascii="Times New Roman" w:hAnsi="Times New Roman" w:eastAsia="宋体"/>
                <w:b w:val="0"/>
                <w:i w:val="0"/>
                <w:sz w:val="21"/>
              </w:rPr>
              <w:t>认领金额：decimal(20,2)，不得超过回款金额</w:t>
            </w:r>
            <w:r>
              <w:br/>
            </w:r>
            <w:r>
              <w:rPr>
                <w:rFonts w:ascii="Times New Roman" w:hAnsi="Times New Roman" w:eastAsia="宋体"/>
                <w:b w:val="0"/>
                <w:i w:val="0"/>
                <w:sz w:val="21"/>
              </w:rPr>
              <w:t>匹配分数：0 至 100，80 为自动认领阈值</w:t>
            </w:r>
            <w:r>
              <w:br/>
            </w:r>
            <w:r>
              <w:rPr>
                <w:rFonts w:ascii="Times New Roman" w:hAnsi="Times New Roman" w:eastAsia="宋体"/>
                <w:b w:val="0"/>
                <w:i w:val="0"/>
                <w:sz w:val="21"/>
              </w:rPr>
              <w:t>匹配规则：金额、付款方、订单号</w:t>
            </w:r>
            <w:r>
              <w:br/>
            </w:r>
            <w:r>
              <w:rPr>
                <w:rFonts w:ascii="Times New Roman" w:hAnsi="Times New Roman" w:eastAsia="宋体"/>
                <w:b w:val="0"/>
                <w:i w:val="0"/>
                <w:sz w:val="21"/>
              </w:rPr>
              <w:t>操作人</w:t>
            </w:r>
          </w:p>
        </w:tc>
        <w:tc>
          <w:tcPr>
            <w:tcW w:type="dxa" w:w="3402"/>
          </w:tcPr>
          <w:p>
            <w:pPr>
              <w:spacing w:before="20" w:after="20" w:line="276" w:lineRule="auto"/>
              <w:ind w:firstLine="0"/>
            </w:pPr>
            <w:r/>
            <w:r>
              <w:rPr>
                <w:rFonts w:ascii="Times New Roman" w:hAnsi="Times New Roman" w:eastAsia="宋体"/>
                <w:b w:val="0"/>
                <w:i w:val="0"/>
                <w:sz w:val="21"/>
              </w:rPr>
              <w:t>一张回款流水可对应多条认领记录，支持一笔回款拆分到多个合同</w:t>
            </w:r>
          </w:p>
        </w:tc>
      </w:tr>
      <w:tr>
        <w:tc>
          <w:tcPr>
            <w:tcW w:type="dxa" w:w="1474"/>
          </w:tcPr>
          <w:p>
            <w:pPr>
              <w:spacing w:before="20" w:after="20" w:line="276" w:lineRule="auto"/>
              <w:ind w:firstLine="0"/>
            </w:pPr>
            <w:r/>
            <w:r>
              <w:rPr>
                <w:rFonts w:ascii="Times New Roman" w:hAnsi="Times New Roman" w:eastAsia="宋体"/>
                <w:b w:val="0"/>
                <w:i w:val="0"/>
                <w:sz w:val="21"/>
              </w:rPr>
              <w:t>认领金额拆分（应付总额 / 现金实付 / 保证金冲抵）</w:t>
            </w:r>
          </w:p>
        </w:tc>
        <w:tc>
          <w:tcPr>
            <w:tcW w:type="dxa" w:w="4195"/>
          </w:tcPr>
          <w:p>
            <w:pPr>
              <w:spacing w:before="20" w:after="20" w:line="276" w:lineRule="auto"/>
              <w:ind w:firstLine="0"/>
            </w:pPr>
            <w:r/>
            <w:r>
              <w:rPr>
                <w:rFonts w:ascii="Times New Roman" w:hAnsi="Times New Roman" w:eastAsia="宋体"/>
                <w:b w:val="0"/>
                <w:i w:val="0"/>
                <w:sz w:val="21"/>
              </w:rPr>
              <w:t>应付总额：只读，等于所选合同下游结算金额合计</w:t>
            </w:r>
            <w:r>
              <w:br/>
            </w:r>
            <w:r>
              <w:rPr>
                <w:rFonts w:ascii="Times New Roman" w:hAnsi="Times New Roman" w:eastAsia="宋体"/>
                <w:b w:val="0"/>
                <w:i w:val="0"/>
                <w:sz w:val="21"/>
              </w:rPr>
              <w:t>现金实付：可编辑，默认等于应付总额</w:t>
            </w:r>
            <w:r>
              <w:br/>
            </w:r>
            <w:r>
              <w:rPr>
                <w:rFonts w:ascii="Times New Roman" w:hAnsi="Times New Roman" w:eastAsia="宋体"/>
                <w:b w:val="0"/>
                <w:i w:val="0"/>
                <w:sz w:val="21"/>
              </w:rPr>
              <w:t>保证金冲抵：只读，等于应付总额乘保证金比例</w:t>
            </w:r>
          </w:p>
        </w:tc>
        <w:tc>
          <w:tcPr>
            <w:tcW w:type="dxa" w:w="3402"/>
          </w:tcPr>
          <w:p>
            <w:pPr>
              <w:spacing w:before="20" w:after="20" w:line="276" w:lineRule="auto"/>
              <w:ind w:firstLine="0"/>
            </w:pPr>
            <w:r/>
            <w:r>
              <w:rPr>
                <w:rFonts w:ascii="Times New Roman" w:hAnsi="Times New Roman" w:eastAsia="宋体"/>
                <w:b w:val="0"/>
                <w:i w:val="0"/>
                <w:sz w:val="21"/>
              </w:rPr>
              <w:t>保证金冲抵取自保证金模块的等比例冲抵配置；现金实付加保证金冲抵必须等于应付总额</w:t>
            </w:r>
          </w:p>
        </w:tc>
      </w:tr>
      <w:tr>
        <w:tc>
          <w:tcPr>
            <w:tcW w:type="dxa" w:w="1474"/>
          </w:tcPr>
          <w:p>
            <w:pPr>
              <w:spacing w:before="20" w:after="20" w:line="276" w:lineRule="auto"/>
              <w:ind w:firstLine="0"/>
            </w:pPr>
            <w:r/>
            <w:r>
              <w:rPr>
                <w:rFonts w:ascii="Times New Roman" w:hAnsi="Times New Roman" w:eastAsia="宋体"/>
                <w:b w:val="0"/>
                <w:i w:val="0"/>
                <w:sz w:val="21"/>
              </w:rPr>
              <w:t>应收账款</w:t>
            </w:r>
          </w:p>
        </w:tc>
        <w:tc>
          <w:tcPr>
            <w:tcW w:type="dxa" w:w="4195"/>
          </w:tcPr>
          <w:p>
            <w:pPr>
              <w:spacing w:before="20" w:after="20" w:line="276" w:lineRule="auto"/>
              <w:ind w:firstLine="0"/>
            </w:pPr>
            <w:r/>
            <w:r>
              <w:rPr>
                <w:rFonts w:ascii="Times New Roman" w:hAnsi="Times New Roman" w:eastAsia="宋体"/>
                <w:b w:val="0"/>
                <w:i w:val="0"/>
                <w:sz w:val="21"/>
              </w:rPr>
              <w:t>应收总金额 / 已收金额 / 未收金额</w:t>
            </w:r>
            <w:r>
              <w:br/>
            </w:r>
            <w:r>
              <w:rPr>
                <w:rFonts w:ascii="Times New Roman" w:hAnsi="Times New Roman" w:eastAsia="宋体"/>
                <w:b w:val="0"/>
                <w:i w:val="0"/>
                <w:sz w:val="21"/>
              </w:rPr>
              <w:t>到期日期</w:t>
            </w:r>
            <w:r>
              <w:br/>
            </w:r>
            <w:r>
              <w:rPr>
                <w:rFonts w:ascii="Times New Roman" w:hAnsi="Times New Roman" w:eastAsia="宋体"/>
                <w:b w:val="0"/>
                <w:i w:val="0"/>
                <w:sz w:val="21"/>
              </w:rPr>
              <w:t>逾期天数：等于当前日期减去到期日期</w:t>
            </w:r>
            <w:r>
              <w:br/>
            </w:r>
            <w:r>
              <w:rPr>
                <w:rFonts w:ascii="Times New Roman" w:hAnsi="Times New Roman" w:eastAsia="宋体"/>
                <w:b w:val="0"/>
                <w:i w:val="0"/>
                <w:sz w:val="21"/>
              </w:rPr>
              <w:t>状态：待回款 / 部分回款 / 已回款 / 已逾期</w:t>
            </w:r>
          </w:p>
        </w:tc>
        <w:tc>
          <w:tcPr>
            <w:tcW w:type="dxa" w:w="3402"/>
          </w:tcPr>
          <w:p>
            <w:pPr>
              <w:spacing w:before="20" w:after="20" w:line="276" w:lineRule="auto"/>
              <w:ind w:firstLine="0"/>
            </w:pPr>
            <w:r/>
            <w:r>
              <w:rPr>
                <w:rFonts w:ascii="Times New Roman" w:hAnsi="Times New Roman" w:eastAsia="宋体"/>
                <w:b w:val="0"/>
                <w:i w:val="0"/>
                <w:sz w:val="21"/>
              </w:rPr>
              <w:t>由关联单据生成；逾期超过 30 天触发预警中心信号</w:t>
            </w:r>
          </w:p>
        </w:tc>
      </w:tr>
      <w:tr>
        <w:tc>
          <w:tcPr>
            <w:tcW w:type="dxa" w:w="1474"/>
          </w:tcPr>
          <w:p>
            <w:pPr>
              <w:spacing w:before="20" w:after="20" w:line="276" w:lineRule="auto"/>
              <w:ind w:firstLine="0"/>
            </w:pPr>
            <w:r/>
            <w:r>
              <w:rPr>
                <w:rFonts w:ascii="Times New Roman" w:hAnsi="Times New Roman" w:eastAsia="宋体"/>
                <w:b w:val="0"/>
                <w:i w:val="0"/>
                <w:sz w:val="21"/>
              </w:rPr>
              <w:t>银行流水记录</w:t>
            </w:r>
          </w:p>
        </w:tc>
        <w:tc>
          <w:tcPr>
            <w:tcW w:type="dxa" w:w="4195"/>
          </w:tcPr>
          <w:p>
            <w:pPr>
              <w:spacing w:before="20" w:after="20" w:line="276" w:lineRule="auto"/>
              <w:ind w:firstLine="0"/>
            </w:pPr>
            <w:r/>
            <w:r>
              <w:rPr>
                <w:rFonts w:ascii="Times New Roman" w:hAnsi="Times New Roman" w:eastAsia="宋体"/>
                <w:b w:val="0"/>
                <w:i w:val="0"/>
                <w:sz w:val="21"/>
              </w:rPr>
              <w:t>银行账号</w:t>
            </w:r>
            <w:r>
              <w:br/>
            </w:r>
            <w:r>
              <w:rPr>
                <w:rFonts w:ascii="Times New Roman" w:hAnsi="Times New Roman" w:eastAsia="宋体"/>
                <w:b w:val="0"/>
                <w:i w:val="0"/>
                <w:sz w:val="21"/>
              </w:rPr>
              <w:t>银行流水号：由银行提供</w:t>
            </w:r>
            <w:r>
              <w:br/>
            </w:r>
            <w:r>
              <w:rPr>
                <w:rFonts w:ascii="Times New Roman" w:hAnsi="Times New Roman" w:eastAsia="宋体"/>
                <w:b w:val="0"/>
                <w:i w:val="0"/>
                <w:sz w:val="21"/>
              </w:rPr>
              <w:t>金额</w:t>
            </w:r>
            <w:r>
              <w:br/>
            </w:r>
            <w:r>
              <w:rPr>
                <w:rFonts w:ascii="Times New Roman" w:hAnsi="Times New Roman" w:eastAsia="宋体"/>
                <w:b w:val="0"/>
                <w:i w:val="0"/>
                <w:sz w:val="21"/>
              </w:rPr>
              <w:t>方向：入账 / 出账</w:t>
            </w:r>
            <w:r>
              <w:br/>
            </w:r>
            <w:r>
              <w:rPr>
                <w:rFonts w:ascii="Times New Roman" w:hAnsi="Times New Roman" w:eastAsia="宋体"/>
                <w:b w:val="0"/>
                <w:i w:val="0"/>
                <w:sz w:val="21"/>
              </w:rPr>
              <w:t>交易日期</w:t>
            </w:r>
            <w:r>
              <w:br/>
            </w:r>
            <w:r>
              <w:rPr>
                <w:rFonts w:ascii="Times New Roman" w:hAnsi="Times New Roman" w:eastAsia="宋体"/>
                <w:b w:val="0"/>
                <w:i w:val="0"/>
                <w:sz w:val="21"/>
              </w:rPr>
              <w:t>是否已匹配</w:t>
            </w:r>
          </w:p>
        </w:tc>
        <w:tc>
          <w:tcPr>
            <w:tcW w:type="dxa" w:w="3402"/>
          </w:tcPr>
          <w:p>
            <w:pPr>
              <w:spacing w:before="20" w:after="20" w:line="276" w:lineRule="auto"/>
              <w:ind w:firstLine="0"/>
            </w:pPr>
            <w:r/>
            <w:r>
              <w:rPr>
                <w:rFonts w:ascii="Times New Roman" w:hAnsi="Times New Roman" w:eastAsia="宋体"/>
                <w:b w:val="0"/>
                <w:i w:val="0"/>
                <w:sz w:val="21"/>
              </w:rPr>
              <w:t>作为自动认领的数据来源，与回款流水做匹配；匹配键与一对一或一对多关系未定义</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4.13.6　角色权限与数据权限</w:t>
      </w:r>
    </w:p>
    <w:p>
      <w:pPr>
        <w:spacing w:before="0" w:after="120" w:line="360" w:lineRule="auto"/>
      </w:pPr>
      <w:r>
        <w:rPr>
          <w:rFonts w:ascii="Times New Roman" w:hAnsi="Times New Roman" w:eastAsia="宋体"/>
          <w:b w:val="0"/>
          <w:i w:val="0"/>
          <w:sz w:val="24"/>
        </w:rPr>
        <w:t>本期为系统全量权限（业务方裁决 D17）；下表角色为典型使用角色，非权限分级。源文档另记录了回款模块的操作分工作为说明性描述：登记回款与手动认领由业务员执行，自动认领由系统执行，是否对总经办开放未定义。</w:t>
      </w:r>
    </w:p>
    <w:p>
      <w:pPr>
        <w:spacing w:before="0" w:after="80" w:line="360" w:lineRule="auto"/>
      </w:pPr>
      <w:r>
        <w:rPr>
          <w:rFonts w:ascii="Times New Roman" w:hAnsi="Times New Roman" w:eastAsia="宋体"/>
          <w:b w:val="0"/>
          <w:i w:val="0"/>
          <w:sz w:val="24"/>
        </w:rPr>
        <w:t>数据可见性：按单据归属与业务筛选查看；手机号、统一社会信用代码等敏感字段默认打码，手动点击查看完整值且查看行为留痕。</w:t>
      </w:r>
    </w:p>
    <w:p>
      <w:pPr>
        <w:pStyle w:val="Heading3"/>
        <w:keepNext/>
        <w:spacing w:before="160" w:after="80" w:line="312" w:lineRule="auto"/>
        <w:ind w:firstLine="0"/>
      </w:pPr>
      <w:r>
        <w:rPr>
          <w:rFonts w:ascii="Times New Roman" w:hAnsi="Times New Roman" w:eastAsia="黑体"/>
          <w:b/>
          <w:i w:val="0"/>
          <w:sz w:val="24"/>
        </w:rPr>
        <w:t>4.13.7　业务流程与页面</w:t>
      </w:r>
    </w:p>
    <w:p>
      <w:pPr>
        <w:spacing w:before="120" w:after="60"/>
        <w:ind w:firstLine="0"/>
        <w:jc w:val="center"/>
      </w:pPr>
      <w:r>
        <w:drawing>
          <wp:inline xmlns:a="http://schemas.openxmlformats.org/drawingml/2006/main" xmlns:pic="http://schemas.openxmlformats.org/drawingml/2006/picture">
            <wp:extent cx="5616000" cy="1516966"/>
            <wp:docPr id="25" name="Picture 25"/>
            <wp:cNvGraphicFramePr>
              <a:graphicFrameLocks noChangeAspect="1"/>
            </wp:cNvGraphicFramePr>
            <a:graphic>
              <a:graphicData uri="http://schemas.openxmlformats.org/drawingml/2006/picture">
                <pic:pic>
                  <pic:nvPicPr>
                    <pic:cNvPr id="0" name="mermaid-receipt.png"/>
                    <pic:cNvPicPr/>
                  </pic:nvPicPr>
                  <pic:blipFill>
                    <a:blip r:embed="rId35"/>
                    <a:stretch>
                      <a:fillRect/>
                    </a:stretch>
                  </pic:blipFill>
                  <pic:spPr>
                    <a:xfrm>
                      <a:off x="0" y="0"/>
                      <a:ext cx="5616000" cy="1516966"/>
                    </a:xfrm>
                    <a:prstGeom prst="rect"/>
                  </pic:spPr>
                </pic:pic>
              </a:graphicData>
            </a:graphic>
          </wp:inline>
        </w:drawing>
      </w:r>
    </w:p>
    <w:p>
      <w:pPr>
        <w:spacing w:before="0" w:after="200" w:line="240" w:lineRule="auto"/>
        <w:ind w:firstLine="0"/>
        <w:jc w:val="center"/>
      </w:pPr>
      <w:r>
        <w:rPr>
          <w:rFonts w:ascii="Times New Roman" w:hAnsi="Times New Roman" w:eastAsia="宋体"/>
          <w:b w:val="0"/>
          <w:i w:val="0"/>
          <w:sz w:val="21"/>
        </w:rPr>
        <w:t>图 4-13-1　回款管理 主业务流程</w:t>
      </w:r>
    </w:p>
    <w:p>
      <w:pPr>
        <w:spacing w:before="0" w:after="60" w:line="360" w:lineRule="auto"/>
      </w:pPr>
      <w:r>
        <w:rPr>
          <w:rFonts w:ascii="Times New Roman" w:hAnsi="Times New Roman" w:eastAsia="宋体"/>
          <w:b/>
          <w:i w:val="0"/>
          <w:sz w:val="24"/>
        </w:rPr>
        <w:t>主流程步骤：</w:t>
      </w:r>
    </w:p>
    <w:p>
      <w:pPr>
        <w:spacing w:before="0" w:after="60" w:line="336" w:lineRule="auto"/>
        <w:ind w:left="510" w:hanging="510"/>
      </w:pPr>
      <w:r>
        <w:rPr>
          <w:rFonts w:ascii="Times New Roman" w:hAnsi="Times New Roman" w:eastAsia="宋体"/>
          <w:b w:val="0"/>
          <w:i w:val="0"/>
          <w:sz w:val="24"/>
        </w:rPr>
        <w:t>1. 客户在平台外完成回款（银行转账或票据），系统不执行任何收款或扣款动作</w:t>
      </w:r>
    </w:p>
    <w:p>
      <w:pPr>
        <w:spacing w:before="0" w:after="60" w:line="336" w:lineRule="auto"/>
        <w:ind w:left="510" w:hanging="510"/>
      </w:pPr>
      <w:r>
        <w:rPr>
          <w:rFonts w:ascii="Times New Roman" w:hAnsi="Times New Roman" w:eastAsia="宋体"/>
          <w:b w:val="0"/>
          <w:i w:val="0"/>
          <w:sz w:val="24"/>
        </w:rPr>
        <w:t>2. 业务员登记回款流水：回款方（默认下游客户，账号名称、开户行、银行账号自动带出且可改）、回款金额、回款日期、回款方式、收款账号，并上传回单凭证</w:t>
      </w:r>
    </w:p>
    <w:p>
      <w:pPr>
        <w:spacing w:before="0" w:after="60" w:line="336" w:lineRule="auto"/>
        <w:ind w:left="510" w:hanging="510"/>
      </w:pPr>
      <w:r>
        <w:rPr>
          <w:rFonts w:ascii="Times New Roman" w:hAnsi="Times New Roman" w:eastAsia="宋体"/>
          <w:b w:val="0"/>
          <w:i w:val="0"/>
          <w:sz w:val="24"/>
        </w:rPr>
        <w:t>3. 回款单提交后进入审批流：业务人员创建回款单 → 回款审批中 → 审批通过回款生效，审批中可撤回回到待提交</w:t>
      </w:r>
    </w:p>
    <w:p>
      <w:pPr>
        <w:spacing w:before="0" w:after="60" w:line="336" w:lineRule="auto"/>
        <w:ind w:left="510" w:hanging="510"/>
      </w:pPr>
      <w:r>
        <w:rPr>
          <w:rFonts w:ascii="Times New Roman" w:hAnsi="Times New Roman" w:eastAsia="宋体"/>
          <w:b w:val="0"/>
          <w:i w:val="0"/>
          <w:sz w:val="24"/>
        </w:rPr>
        <w:t>4. 审批通过后进入认领环节，系统按「金额（精确）优先于付款方（一致）优先于订单号（备注）」匹配合同并打分，得分取值 0 至 100</w:t>
      </w:r>
    </w:p>
    <w:p>
      <w:pPr>
        <w:spacing w:before="0" w:after="60" w:line="336" w:lineRule="auto"/>
        <w:ind w:left="510" w:hanging="510"/>
      </w:pPr>
      <w:r>
        <w:rPr>
          <w:rFonts w:ascii="Times New Roman" w:hAnsi="Times New Roman" w:eastAsia="宋体"/>
          <w:b w:val="0"/>
          <w:i w:val="0"/>
          <w:sz w:val="24"/>
        </w:rPr>
        <w:t>5. 得分不低于 80 自动认领成功；得分低于 80 置为未认领，提示「回款自动认领失败（匹配分数 X &lt; 80），请手动认领」</w:t>
      </w:r>
    </w:p>
    <w:p>
      <w:pPr>
        <w:spacing w:before="0" w:after="60" w:line="336" w:lineRule="auto"/>
        <w:ind w:left="510" w:hanging="510"/>
      </w:pPr>
      <w:r>
        <w:rPr>
          <w:rFonts w:ascii="Times New Roman" w:hAnsi="Times New Roman" w:eastAsia="宋体"/>
          <w:b w:val="0"/>
          <w:i w:val="0"/>
          <w:sz w:val="24"/>
        </w:rPr>
        <w:t>6. 手动认领按字段拆分录入：应付总额（只读，取所选合同下游结算金额合计）、现金实付（可编辑，默认等于应付总额）、保证金冲抵（只读，按保证金比例计算），三者须满足现金实付加保证金冲抵等于应付总额</w:t>
      </w:r>
    </w:p>
    <w:p>
      <w:pPr>
        <w:spacing w:before="0" w:after="60" w:line="336" w:lineRule="auto"/>
        <w:ind w:left="510" w:hanging="510"/>
      </w:pPr>
      <w:r>
        <w:rPr>
          <w:rFonts w:ascii="Times New Roman" w:hAnsi="Times New Roman" w:eastAsia="宋体"/>
          <w:b w:val="0"/>
          <w:i w:val="0"/>
          <w:sz w:val="24"/>
        </w:rPr>
        <w:t>7. 认领校验：认领金额与已认领金额均不得超过回款金额，被认领合同须为执行中或待上传双签合同状态</w:t>
      </w:r>
    </w:p>
    <w:p>
      <w:pPr>
        <w:spacing w:before="0" w:after="60" w:line="336" w:lineRule="auto"/>
        <w:ind w:left="510" w:hanging="510"/>
      </w:pPr>
      <w:r>
        <w:rPr>
          <w:rFonts w:ascii="Times New Roman" w:hAnsi="Times New Roman" w:eastAsia="宋体"/>
          <w:b w:val="0"/>
          <w:i w:val="0"/>
          <w:sz w:val="24"/>
        </w:rPr>
        <w:t>8. 认领完成后回写已认领金额与可认领金额、合同下游结算金额（归零触发已结清）以及客户已回款金额</w:t>
      </w:r>
    </w:p>
    <w:p>
      <w:pPr>
        <w:spacing w:before="120" w:after="60" w:line="360" w:lineRule="auto"/>
      </w:pPr>
      <w:r>
        <w:rPr>
          <w:rFonts w:ascii="Times New Roman" w:hAnsi="Times New Roman" w:eastAsia="宋体"/>
          <w:b/>
          <w:i w:val="0"/>
          <w:sz w:val="24"/>
        </w:rPr>
        <w:t>异常分支：</w:t>
      </w:r>
    </w:p>
    <w:tbl>
      <w:tblPr>
        <w:tblStyle w:val="TableGrid"/>
        <w:tblW w:type="auto" w:w="0"/>
        <w:jc w:val="center"/>
        <w:tblLayout w:type="fixed"/>
        <w:tblLook w:firstColumn="1" w:firstRow="1" w:lastColumn="0" w:lastRow="0" w:noHBand="0" w:noVBand="1" w:val="04A0"/>
      </w:tblPr>
      <w:tblGrid>
        <w:gridCol w:w="4479"/>
        <w:gridCol w:w="4479"/>
      </w:tblGrid>
      <w:tr>
        <w:trPr>
          <w:tblHeader w:val="true"/>
        </w:trPr>
        <w:tc>
          <w:tcPr>
            <w:tcW w:type="dxa" w:w="2835"/>
            <w:shd w:val="clear" w:color="auto" w:fill="DCE6F1"/>
          </w:tcPr>
          <w:p>
            <w:pPr>
              <w:spacing w:before="40" w:after="40" w:line="276" w:lineRule="auto"/>
              <w:jc w:val="center"/>
            </w:pPr>
            <w:r/>
            <w:r>
              <w:rPr>
                <w:rFonts w:ascii="Times New Roman" w:hAnsi="Times New Roman" w:eastAsia="黑体"/>
                <w:b/>
                <w:i w:val="0"/>
                <w:sz w:val="21"/>
              </w:rPr>
              <w:t>异常场景</w:t>
            </w:r>
          </w:p>
        </w:tc>
        <w:tc>
          <w:tcPr>
            <w:tcW w:type="dxa" w:w="6236"/>
            <w:shd w:val="clear" w:color="auto" w:fill="DCE6F1"/>
          </w:tcPr>
          <w:p>
            <w:pPr>
              <w:spacing w:before="40" w:after="40" w:line="276" w:lineRule="auto"/>
              <w:jc w:val="center"/>
            </w:pPr>
            <w:r/>
            <w:r>
              <w:rPr>
                <w:rFonts w:ascii="Times New Roman" w:hAnsi="Times New Roman" w:eastAsia="黑体"/>
                <w:b/>
                <w:i w:val="0"/>
                <w:sz w:val="21"/>
              </w:rPr>
              <w:t>系统处理</w:t>
            </w:r>
          </w:p>
        </w:tc>
      </w:tr>
      <w:tr>
        <w:tc>
          <w:tcPr>
            <w:tcW w:type="dxa" w:w="2835"/>
          </w:tcPr>
          <w:p>
            <w:pPr>
              <w:spacing w:before="20" w:after="20" w:line="276" w:lineRule="auto"/>
              <w:ind w:firstLine="0"/>
            </w:pPr>
            <w:r/>
            <w:r>
              <w:rPr>
                <w:rFonts w:ascii="Times New Roman" w:hAnsi="Times New Roman" w:eastAsia="宋体"/>
                <w:b w:val="0"/>
                <w:i w:val="0"/>
                <w:sz w:val="21"/>
              </w:rPr>
              <w:t>登记回款未上传回单凭证</w:t>
            </w:r>
          </w:p>
        </w:tc>
        <w:tc>
          <w:tcPr>
            <w:tcW w:type="dxa" w:w="6236"/>
          </w:tcPr>
          <w:p>
            <w:pPr>
              <w:spacing w:before="20" w:after="20" w:line="276" w:lineRule="auto"/>
              <w:ind w:firstLine="0"/>
            </w:pPr>
            <w:r/>
            <w:r>
              <w:rPr>
                <w:rFonts w:ascii="Times New Roman" w:hAnsi="Times New Roman" w:eastAsia="宋体"/>
                <w:b w:val="0"/>
                <w:i w:val="0"/>
                <w:sz w:val="21"/>
              </w:rPr>
              <w:t>提示「登记回款必须上传回单凭证」，阻止提交</w:t>
            </w:r>
          </w:p>
        </w:tc>
      </w:tr>
      <w:tr>
        <w:tc>
          <w:tcPr>
            <w:tcW w:type="dxa" w:w="2835"/>
          </w:tcPr>
          <w:p>
            <w:pPr>
              <w:spacing w:before="20" w:after="20" w:line="276" w:lineRule="auto"/>
              <w:ind w:firstLine="0"/>
            </w:pPr>
            <w:r/>
            <w:r>
              <w:rPr>
                <w:rFonts w:ascii="Times New Roman" w:hAnsi="Times New Roman" w:eastAsia="宋体"/>
                <w:b w:val="0"/>
                <w:i w:val="0"/>
                <w:sz w:val="21"/>
              </w:rPr>
              <w:t>回款方客户已被冻结</w:t>
            </w:r>
          </w:p>
        </w:tc>
        <w:tc>
          <w:tcPr>
            <w:tcW w:type="dxa" w:w="6236"/>
          </w:tcPr>
          <w:p>
            <w:pPr>
              <w:spacing w:before="20" w:after="20" w:line="276" w:lineRule="auto"/>
              <w:ind w:firstLine="0"/>
            </w:pPr>
            <w:r/>
            <w:r>
              <w:rPr>
                <w:rFonts w:ascii="Times New Roman" w:hAnsi="Times New Roman" w:eastAsia="宋体"/>
                <w:b w:val="0"/>
                <w:i w:val="0"/>
                <w:sz w:val="21"/>
              </w:rPr>
              <w:t>提示「客户 X 已被冻结，不能登记回款」，阻止登记</w:t>
            </w:r>
          </w:p>
        </w:tc>
      </w:tr>
      <w:tr>
        <w:tc>
          <w:tcPr>
            <w:tcW w:type="dxa" w:w="2835"/>
          </w:tcPr>
          <w:p>
            <w:pPr>
              <w:spacing w:before="20" w:after="20" w:line="276" w:lineRule="auto"/>
              <w:ind w:firstLine="0"/>
            </w:pPr>
            <w:r/>
            <w:r>
              <w:rPr>
                <w:rFonts w:ascii="Times New Roman" w:hAnsi="Times New Roman" w:eastAsia="宋体"/>
                <w:b w:val="0"/>
                <w:i w:val="0"/>
                <w:sz w:val="21"/>
              </w:rPr>
              <w:t>自动认领匹配分数低于 80</w:t>
            </w:r>
          </w:p>
        </w:tc>
        <w:tc>
          <w:tcPr>
            <w:tcW w:type="dxa" w:w="6236"/>
          </w:tcPr>
          <w:p>
            <w:pPr>
              <w:spacing w:before="20" w:after="20" w:line="276" w:lineRule="auto"/>
              <w:ind w:firstLine="0"/>
            </w:pPr>
            <w:r/>
            <w:r>
              <w:rPr>
                <w:rFonts w:ascii="Times New Roman" w:hAnsi="Times New Roman" w:eastAsia="宋体"/>
                <w:b w:val="0"/>
                <w:i w:val="0"/>
                <w:sz w:val="21"/>
              </w:rPr>
              <w:t>提示「回款自动认领失败（匹配分数 X &lt; 80），请手动认领」，单据置为未认领并提供手动认领入口</w:t>
            </w:r>
          </w:p>
        </w:tc>
      </w:tr>
      <w:tr>
        <w:tc>
          <w:tcPr>
            <w:tcW w:type="dxa" w:w="2835"/>
          </w:tcPr>
          <w:p>
            <w:pPr>
              <w:spacing w:before="20" w:after="20" w:line="276" w:lineRule="auto"/>
              <w:ind w:firstLine="0"/>
            </w:pPr>
            <w:r/>
            <w:r>
              <w:rPr>
                <w:rFonts w:ascii="Times New Roman" w:hAnsi="Times New Roman" w:eastAsia="宋体"/>
                <w:b w:val="0"/>
                <w:i w:val="0"/>
                <w:sz w:val="21"/>
              </w:rPr>
              <w:t>认领金额超过回款金额或已认领金额超过回款金额</w:t>
            </w:r>
          </w:p>
        </w:tc>
        <w:tc>
          <w:tcPr>
            <w:tcW w:type="dxa" w:w="6236"/>
          </w:tcPr>
          <w:p>
            <w:pPr>
              <w:spacing w:before="20" w:after="20" w:line="276" w:lineRule="auto"/>
              <w:ind w:firstLine="0"/>
            </w:pPr>
            <w:r/>
            <w:r>
              <w:rPr>
                <w:rFonts w:ascii="Times New Roman" w:hAnsi="Times New Roman" w:eastAsia="宋体"/>
                <w:b w:val="0"/>
                <w:i w:val="0"/>
                <w:sz w:val="21"/>
              </w:rPr>
              <w:t>认领金额超限提示「认领金额 X 超过回款金额 Y」并阻止；已认领金额超限在页面顶部红字提示「已认领金额超过回款金额」并阻止</w:t>
            </w:r>
          </w:p>
        </w:tc>
      </w:tr>
      <w:tr>
        <w:tc>
          <w:tcPr>
            <w:tcW w:type="dxa" w:w="2835"/>
          </w:tcPr>
          <w:p>
            <w:pPr>
              <w:spacing w:before="20" w:after="20" w:line="276" w:lineRule="auto"/>
              <w:ind w:firstLine="0"/>
            </w:pPr>
            <w:r/>
            <w:r>
              <w:rPr>
                <w:rFonts w:ascii="Times New Roman" w:hAnsi="Times New Roman" w:eastAsia="宋体"/>
                <w:b w:val="0"/>
                <w:i w:val="0"/>
                <w:sz w:val="21"/>
              </w:rPr>
              <w:t>现金实付加保证金冲抵不等于应付总额，或现金实付大于应付总额</w:t>
            </w:r>
          </w:p>
        </w:tc>
        <w:tc>
          <w:tcPr>
            <w:tcW w:type="dxa" w:w="6236"/>
          </w:tcPr>
          <w:p>
            <w:pPr>
              <w:spacing w:before="20" w:after="20" w:line="276" w:lineRule="auto"/>
              <w:ind w:firstLine="0"/>
            </w:pPr>
            <w:r/>
            <w:r>
              <w:rPr>
                <w:rFonts w:ascii="Times New Roman" w:hAnsi="Times New Roman" w:eastAsia="宋体"/>
                <w:b w:val="0"/>
                <w:i w:val="0"/>
                <w:sz w:val="21"/>
              </w:rPr>
              <w:t>分别在对应行下方红字提示「现金实付 + 保证金冲抵 必须等于应付总额」「现金实付不能大于应付总额」，均阻止提交</w:t>
            </w:r>
          </w:p>
        </w:tc>
      </w:tr>
      <w:tr>
        <w:tc>
          <w:tcPr>
            <w:tcW w:type="dxa" w:w="2835"/>
          </w:tcPr>
          <w:p>
            <w:pPr>
              <w:spacing w:before="20" w:after="20" w:line="276" w:lineRule="auto"/>
              <w:ind w:firstLine="0"/>
            </w:pPr>
            <w:r/>
            <w:r>
              <w:rPr>
                <w:rFonts w:ascii="Times New Roman" w:hAnsi="Times New Roman" w:eastAsia="宋体"/>
                <w:b w:val="0"/>
                <w:i w:val="0"/>
                <w:sz w:val="21"/>
              </w:rPr>
              <w:t>合同状态不符或同一合同被并发认领</w:t>
            </w:r>
          </w:p>
        </w:tc>
        <w:tc>
          <w:tcPr>
            <w:tcW w:type="dxa" w:w="6236"/>
          </w:tcPr>
          <w:p>
            <w:pPr>
              <w:spacing w:before="20" w:after="20" w:line="276" w:lineRule="auto"/>
              <w:ind w:firstLine="0"/>
            </w:pPr>
            <w:r/>
            <w:r>
              <w:rPr>
                <w:rFonts w:ascii="Times New Roman" w:hAnsi="Times New Roman" w:eastAsia="宋体"/>
                <w:b w:val="0"/>
                <w:i w:val="0"/>
                <w:sz w:val="21"/>
              </w:rPr>
              <w:t>合同非执行中或待上传双签合同时提示「请选择执行中或待上传双签合同」，已作废提示「该合同已作废，无法认领」；并发被覆盖时提示「已被其他认领覆盖，请刷新后重试」</w:t>
            </w:r>
          </w:p>
        </w:tc>
      </w:tr>
    </w:tbl>
    <w:p>
      <w:pPr>
        <w:spacing w:before="0" w:after="0" w:line="240" w:lineRule="auto"/>
      </w:pPr>
    </w:p>
    <w:p>
      <w:pPr>
        <w:spacing w:before="120" w:after="60"/>
        <w:ind w:firstLine="0"/>
        <w:jc w:val="center"/>
      </w:pPr>
      <w:r>
        <w:drawing>
          <wp:inline xmlns:a="http://schemas.openxmlformats.org/drawingml/2006/main" xmlns:pic="http://schemas.openxmlformats.org/drawingml/2006/picture">
            <wp:extent cx="5616000" cy="3334500"/>
            <wp:docPr id="26" name="Picture 26"/>
            <wp:cNvGraphicFramePr>
              <a:graphicFrameLocks noChangeAspect="1"/>
            </wp:cNvGraphicFramePr>
            <a:graphic>
              <a:graphicData uri="http://schemas.openxmlformats.org/drawingml/2006/picture">
                <pic:pic>
                  <pic:nvPicPr>
                    <pic:cNvPr id="0" name="receipt.png"/>
                    <pic:cNvPicPr/>
                  </pic:nvPicPr>
                  <pic:blipFill>
                    <a:blip r:embed="rId36"/>
                    <a:stretch>
                      <a:fillRect/>
                    </a:stretch>
                  </pic:blipFill>
                  <pic:spPr>
                    <a:xfrm>
                      <a:off x="0" y="0"/>
                      <a:ext cx="5616000" cy="3334500"/>
                    </a:xfrm>
                    <a:prstGeom prst="rect"/>
                  </pic:spPr>
                </pic:pic>
              </a:graphicData>
            </a:graphic>
          </wp:inline>
        </w:drawing>
      </w:r>
    </w:p>
    <w:p>
      <w:pPr>
        <w:spacing w:before="0" w:after="200" w:line="240" w:lineRule="auto"/>
        <w:ind w:firstLine="0"/>
        <w:jc w:val="center"/>
      </w:pPr>
      <w:r>
        <w:rPr>
          <w:rFonts w:ascii="Times New Roman" w:hAnsi="Times New Roman" w:eastAsia="宋体"/>
          <w:b w:val="0"/>
          <w:i w:val="0"/>
          <w:sz w:val="21"/>
        </w:rPr>
        <w:t>图 4-13-2　回款管理 原型页面</w:t>
      </w:r>
    </w:p>
    <w:p>
      <w:pPr>
        <w:spacing w:before="80" w:after="60" w:line="360" w:lineRule="auto"/>
      </w:pPr>
      <w:r>
        <w:rPr>
          <w:rFonts w:ascii="Times New Roman" w:hAnsi="Times New Roman" w:eastAsia="宋体"/>
          <w:b/>
          <w:i w:val="0"/>
          <w:sz w:val="24"/>
        </w:rPr>
        <w:t>页面级说明：</w:t>
      </w: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tblGrid>
      <w:tr>
        <w:trPr>
          <w:tblHeader w:val="true"/>
        </w:trPr>
        <w:tc>
          <w:tcPr>
            <w:tcW w:type="dxa" w:w="1178"/>
            <w:shd w:val="clear" w:color="auto" w:fill="DCE6F1"/>
          </w:tcPr>
          <w:p>
            <w:pPr>
              <w:spacing w:before="40" w:after="40" w:line="276" w:lineRule="auto"/>
              <w:jc w:val="center"/>
            </w:pPr>
            <w:r/>
            <w:r>
              <w:rPr>
                <w:rFonts w:ascii="Times New Roman" w:hAnsi="Times New Roman" w:eastAsia="黑体"/>
                <w:b/>
                <w:i w:val="0"/>
                <w:sz w:val="19"/>
              </w:rPr>
              <w:t>页面</w:t>
            </w:r>
          </w:p>
        </w:tc>
        <w:tc>
          <w:tcPr>
            <w:tcW w:type="dxa" w:w="1531"/>
            <w:shd w:val="clear" w:color="auto" w:fill="DCE6F1"/>
          </w:tcPr>
          <w:p>
            <w:pPr>
              <w:spacing w:before="40" w:after="40" w:line="276" w:lineRule="auto"/>
              <w:jc w:val="center"/>
            </w:pPr>
            <w:r/>
            <w:r>
              <w:rPr>
                <w:rFonts w:ascii="Times New Roman" w:hAnsi="Times New Roman" w:eastAsia="黑体"/>
                <w:b/>
                <w:i w:val="0"/>
                <w:sz w:val="19"/>
              </w:rPr>
              <w:t>原型文件</w:t>
            </w:r>
          </w:p>
        </w:tc>
        <w:tc>
          <w:tcPr>
            <w:tcW w:type="dxa" w:w="1119"/>
            <w:shd w:val="clear" w:color="auto" w:fill="DCE6F1"/>
          </w:tcPr>
          <w:p>
            <w:pPr>
              <w:spacing w:before="40" w:after="40" w:line="276" w:lineRule="auto"/>
              <w:jc w:val="center"/>
            </w:pPr>
            <w:r/>
            <w:r>
              <w:rPr>
                <w:rFonts w:ascii="Times New Roman" w:hAnsi="Times New Roman" w:eastAsia="黑体"/>
                <w:b/>
                <w:i w:val="0"/>
                <w:sz w:val="19"/>
              </w:rPr>
              <w:t>进入方式</w:t>
            </w:r>
          </w:p>
        </w:tc>
        <w:tc>
          <w:tcPr>
            <w:tcW w:type="dxa" w:w="2062"/>
            <w:shd w:val="clear" w:color="auto" w:fill="DCE6F1"/>
          </w:tcPr>
          <w:p>
            <w:pPr>
              <w:spacing w:before="40" w:after="40" w:line="276" w:lineRule="auto"/>
              <w:jc w:val="center"/>
            </w:pPr>
            <w:r/>
            <w:r>
              <w:rPr>
                <w:rFonts w:ascii="Times New Roman" w:hAnsi="Times New Roman" w:eastAsia="黑体"/>
                <w:b/>
                <w:i w:val="0"/>
                <w:sz w:val="19"/>
              </w:rPr>
              <w:t>关键区块</w:t>
            </w:r>
          </w:p>
        </w:tc>
        <w:tc>
          <w:tcPr>
            <w:tcW w:type="dxa" w:w="1767"/>
            <w:shd w:val="clear" w:color="auto" w:fill="DCE6F1"/>
          </w:tcPr>
          <w:p>
            <w:pPr>
              <w:spacing w:before="40" w:after="40" w:line="276" w:lineRule="auto"/>
              <w:jc w:val="center"/>
            </w:pPr>
            <w:r/>
            <w:r>
              <w:rPr>
                <w:rFonts w:ascii="Times New Roman" w:hAnsi="Times New Roman" w:eastAsia="黑体"/>
                <w:b/>
                <w:i w:val="0"/>
                <w:sz w:val="19"/>
              </w:rPr>
              <w:t>主要按钮与行为</w:t>
            </w:r>
          </w:p>
        </w:tc>
        <w:tc>
          <w:tcPr>
            <w:tcW w:type="dxa" w:w="1414"/>
            <w:shd w:val="clear" w:color="auto" w:fill="DCE6F1"/>
          </w:tcPr>
          <w:p>
            <w:pPr>
              <w:spacing w:before="40" w:after="40" w:line="276" w:lineRule="auto"/>
              <w:jc w:val="center"/>
            </w:pPr>
            <w:r/>
            <w:r>
              <w:rPr>
                <w:rFonts w:ascii="Times New Roman" w:hAnsi="Times New Roman" w:eastAsia="黑体"/>
                <w:b/>
                <w:i w:val="0"/>
                <w:sz w:val="19"/>
              </w:rPr>
              <w:t>跳转去向</w:t>
            </w:r>
          </w:p>
        </w:tc>
      </w:tr>
      <w:tr>
        <w:tc>
          <w:tcPr>
            <w:tcW w:type="dxa" w:w="1178"/>
          </w:tcPr>
          <w:p>
            <w:pPr>
              <w:spacing w:before="20" w:after="20" w:line="276" w:lineRule="auto"/>
              <w:ind w:firstLine="0"/>
            </w:pPr>
            <w:r/>
            <w:r>
              <w:rPr>
                <w:rFonts w:ascii="Times New Roman" w:hAnsi="Times New Roman" w:eastAsia="宋体"/>
                <w:b w:val="0"/>
                <w:i w:val="0"/>
                <w:sz w:val="19"/>
              </w:rPr>
              <w:t>回款列表</w:t>
            </w:r>
          </w:p>
        </w:tc>
        <w:tc>
          <w:tcPr>
            <w:tcW w:type="dxa" w:w="1531"/>
          </w:tcPr>
          <w:p>
            <w:pPr>
              <w:spacing w:before="20" w:after="20" w:line="276" w:lineRule="auto"/>
              <w:ind w:firstLine="0"/>
            </w:pPr>
            <w:r/>
            <w:r>
              <w:rPr>
                <w:rFonts w:ascii="Times New Roman" w:hAnsi="Times New Roman" w:eastAsia="宋体"/>
                <w:b w:val="0"/>
                <w:i w:val="0"/>
                <w:sz w:val="19"/>
              </w:rPr>
              <w:t>receipt-list.html</w:t>
            </w:r>
          </w:p>
        </w:tc>
        <w:tc>
          <w:tcPr>
            <w:tcW w:type="dxa" w:w="1119"/>
          </w:tcPr>
          <w:p>
            <w:pPr>
              <w:spacing w:before="20" w:after="20" w:line="276" w:lineRule="auto"/>
              <w:ind w:firstLine="0"/>
            </w:pPr>
            <w:r/>
            <w:r>
              <w:rPr>
                <w:rFonts w:ascii="Times New Roman" w:hAnsi="Times New Roman" w:eastAsia="宋体"/>
                <w:b w:val="0"/>
                <w:i w:val="0"/>
                <w:sz w:val="19"/>
              </w:rPr>
              <w:t>数字供应链 / 资金管理 / 回款管理</w:t>
            </w:r>
          </w:p>
        </w:tc>
        <w:tc>
          <w:tcPr>
            <w:tcW w:type="dxa" w:w="2062"/>
          </w:tcPr>
          <w:p>
            <w:pPr>
              <w:spacing w:before="20" w:after="20" w:line="276" w:lineRule="auto"/>
              <w:ind w:firstLine="0"/>
            </w:pPr>
            <w:r/>
            <w:r>
              <w:rPr>
                <w:rFonts w:ascii="Times New Roman" w:hAnsi="Times New Roman" w:eastAsia="宋体"/>
                <w:b w:val="0"/>
                <w:i w:val="0"/>
                <w:sz w:val="19"/>
              </w:rPr>
              <w:t>状态页签（全部、待提交、审批中、未认领、部分认领、已认领、驳回、无效）+ 筛选查询区 + 回款明细表格（回款编号、回款方、回款日期、回款金额、已认领金额、可认领金额、收款账号、认领状态、操作）</w:t>
            </w:r>
          </w:p>
        </w:tc>
        <w:tc>
          <w:tcPr>
            <w:tcW w:type="dxa" w:w="1767"/>
          </w:tcPr>
          <w:p>
            <w:pPr>
              <w:spacing w:before="20" w:after="20" w:line="276" w:lineRule="auto"/>
              <w:ind w:firstLine="0"/>
            </w:pPr>
            <w:r/>
            <w:r>
              <w:rPr>
                <w:rFonts w:ascii="Times New Roman" w:hAnsi="Times New Roman" w:eastAsia="宋体"/>
                <w:b w:val="0"/>
                <w:i w:val="0"/>
                <w:sz w:val="19"/>
              </w:rPr>
              <w:t>查询 / 重置 / 清除全部筛选 / 行内按状态显隐：详情、修改、删除、撤回</w:t>
            </w:r>
          </w:p>
        </w:tc>
        <w:tc>
          <w:tcPr>
            <w:tcW w:type="dxa" w:w="1414"/>
          </w:tcPr>
          <w:p>
            <w:pPr>
              <w:spacing w:before="20" w:after="20" w:line="276" w:lineRule="auto"/>
              <w:ind w:firstLine="0"/>
            </w:pPr>
            <w:r/>
            <w:r>
              <w:rPr>
                <w:rFonts w:ascii="Times New Roman" w:hAnsi="Times New Roman" w:eastAsia="宋体"/>
                <w:b w:val="0"/>
                <w:i w:val="0"/>
                <w:sz w:val="19"/>
              </w:rPr>
              <w:t>审批态详情跳转到回款审批详情页 receipt-approval-detail.html；认领态详情跳转到回款详情页 receipt-detail.html</w:t>
            </w:r>
          </w:p>
        </w:tc>
      </w:tr>
      <w:tr>
        <w:tc>
          <w:tcPr>
            <w:tcW w:type="dxa" w:w="1178"/>
          </w:tcPr>
          <w:p>
            <w:pPr>
              <w:spacing w:before="20" w:after="20" w:line="276" w:lineRule="auto"/>
              <w:ind w:firstLine="0"/>
            </w:pPr>
            <w:r/>
            <w:r>
              <w:rPr>
                <w:rFonts w:ascii="Times New Roman" w:hAnsi="Times New Roman" w:eastAsia="宋体"/>
                <w:b w:val="0"/>
                <w:i w:val="0"/>
                <w:sz w:val="19"/>
              </w:rPr>
              <w:t>回款编辑（新增 / 认领）</w:t>
            </w:r>
          </w:p>
        </w:tc>
        <w:tc>
          <w:tcPr>
            <w:tcW w:type="dxa" w:w="1531"/>
          </w:tcPr>
          <w:p>
            <w:pPr>
              <w:spacing w:before="20" w:after="20" w:line="276" w:lineRule="auto"/>
              <w:ind w:firstLine="0"/>
            </w:pPr>
            <w:r/>
            <w:r>
              <w:rPr>
                <w:rFonts w:ascii="Times New Roman" w:hAnsi="Times New Roman" w:eastAsia="宋体"/>
                <w:b w:val="0"/>
                <w:i w:val="0"/>
                <w:sz w:val="19"/>
              </w:rPr>
              <w:t>receipt-edit.html</w:t>
            </w:r>
          </w:p>
        </w:tc>
        <w:tc>
          <w:tcPr>
            <w:tcW w:type="dxa" w:w="1119"/>
          </w:tcPr>
          <w:p>
            <w:pPr>
              <w:spacing w:before="20" w:after="20" w:line="276" w:lineRule="auto"/>
              <w:ind w:firstLine="0"/>
            </w:pPr>
            <w:r/>
            <w:r>
              <w:rPr>
                <w:rFonts w:ascii="Times New Roman" w:hAnsi="Times New Roman" w:eastAsia="宋体"/>
                <w:b w:val="0"/>
                <w:i w:val="0"/>
                <w:sz w:val="19"/>
              </w:rPr>
              <w:t>回款列表行内「修改」，以及新增回款入口</w:t>
            </w:r>
          </w:p>
        </w:tc>
        <w:tc>
          <w:tcPr>
            <w:tcW w:type="dxa" w:w="2062"/>
          </w:tcPr>
          <w:p>
            <w:pPr>
              <w:spacing w:before="20" w:after="20" w:line="276" w:lineRule="auto"/>
              <w:ind w:firstLine="0"/>
            </w:pPr>
            <w:r/>
            <w:r>
              <w:rPr>
                <w:rFonts w:ascii="Times New Roman" w:hAnsi="Times New Roman" w:eastAsia="宋体"/>
                <w:b w:val="0"/>
                <w:i w:val="0"/>
                <w:sz w:val="19"/>
              </w:rPr>
              <w:t>回款信息（回款方、回款金额、回款日期、回款方式、收款账号、认领类型）/ 凭证附件 / 回款认领（应付总额、现金实付、保证金冲抵、剩余未付提示条、认领明细表）</w:t>
            </w:r>
          </w:p>
        </w:tc>
        <w:tc>
          <w:tcPr>
            <w:tcW w:type="dxa" w:w="1767"/>
          </w:tcPr>
          <w:p>
            <w:pPr>
              <w:spacing w:before="20" w:after="20" w:line="276" w:lineRule="auto"/>
              <w:ind w:firstLine="0"/>
            </w:pPr>
            <w:r/>
            <w:r>
              <w:rPr>
                <w:rFonts w:ascii="Times New Roman" w:hAnsi="Times New Roman" w:eastAsia="宋体"/>
                <w:b w:val="0"/>
                <w:i w:val="0"/>
                <w:sz w:val="19"/>
              </w:rPr>
              <w:t>上传 / 全部现金 / 按比例分摊 / 提交 / 取消</w:t>
            </w:r>
          </w:p>
        </w:tc>
        <w:tc>
          <w:tcPr>
            <w:tcW w:type="dxa" w:w="1414"/>
          </w:tcPr>
          <w:p>
            <w:pPr>
              <w:spacing w:before="20" w:after="20" w:line="276" w:lineRule="auto"/>
              <w:ind w:firstLine="0"/>
            </w:pPr>
            <w:r/>
            <w:r>
              <w:rPr>
                <w:rFonts w:ascii="Times New Roman" w:hAnsi="Times New Roman" w:eastAsia="宋体"/>
                <w:b w:val="0"/>
                <w:i w:val="0"/>
                <w:sz w:val="19"/>
              </w:rPr>
              <w:t>提交成功后回到回款列表；认领明细中的合同可跳转合同详情</w:t>
            </w:r>
          </w:p>
        </w:tc>
      </w:tr>
      <w:tr>
        <w:tc>
          <w:tcPr>
            <w:tcW w:type="dxa" w:w="1178"/>
          </w:tcPr>
          <w:p>
            <w:pPr>
              <w:spacing w:before="20" w:after="20" w:line="276" w:lineRule="auto"/>
              <w:ind w:firstLine="0"/>
            </w:pPr>
            <w:r/>
            <w:r>
              <w:rPr>
                <w:rFonts w:ascii="Times New Roman" w:hAnsi="Times New Roman" w:eastAsia="宋体"/>
                <w:b w:val="0"/>
                <w:i w:val="0"/>
                <w:sz w:val="19"/>
              </w:rPr>
              <w:t>回款详情</w:t>
            </w:r>
          </w:p>
        </w:tc>
        <w:tc>
          <w:tcPr>
            <w:tcW w:type="dxa" w:w="1531"/>
          </w:tcPr>
          <w:p>
            <w:pPr>
              <w:spacing w:before="20" w:after="20" w:line="276" w:lineRule="auto"/>
              <w:ind w:firstLine="0"/>
            </w:pPr>
            <w:r/>
            <w:r>
              <w:rPr>
                <w:rFonts w:ascii="Times New Roman" w:hAnsi="Times New Roman" w:eastAsia="宋体"/>
                <w:b w:val="0"/>
                <w:i w:val="0"/>
                <w:sz w:val="19"/>
              </w:rPr>
              <w:t>receipt-detail.html</w:t>
            </w:r>
          </w:p>
        </w:tc>
        <w:tc>
          <w:tcPr>
            <w:tcW w:type="dxa" w:w="1119"/>
          </w:tcPr>
          <w:p>
            <w:pPr>
              <w:spacing w:before="20" w:after="20" w:line="276" w:lineRule="auto"/>
              <w:ind w:firstLine="0"/>
            </w:pPr>
            <w:r/>
            <w:r>
              <w:rPr>
                <w:rFonts w:ascii="Times New Roman" w:hAnsi="Times New Roman" w:eastAsia="宋体"/>
                <w:b w:val="0"/>
                <w:i w:val="0"/>
                <w:sz w:val="19"/>
              </w:rPr>
              <w:t>回款列表认领态行内「详情」</w:t>
            </w:r>
          </w:p>
        </w:tc>
        <w:tc>
          <w:tcPr>
            <w:tcW w:type="dxa" w:w="2062"/>
          </w:tcPr>
          <w:p>
            <w:pPr>
              <w:spacing w:before="20" w:after="20" w:line="276" w:lineRule="auto"/>
              <w:ind w:firstLine="0"/>
            </w:pPr>
            <w:r/>
            <w:r>
              <w:rPr>
                <w:rFonts w:ascii="Times New Roman" w:hAnsi="Times New Roman" w:eastAsia="宋体"/>
                <w:b w:val="0"/>
                <w:i w:val="0"/>
                <w:sz w:val="19"/>
              </w:rPr>
              <w:t>回款信息 / 回款认领（已认领金额、可认领金额、认领记录）/ 操作记录</w:t>
            </w:r>
          </w:p>
        </w:tc>
        <w:tc>
          <w:tcPr>
            <w:tcW w:type="dxa" w:w="1767"/>
          </w:tcPr>
          <w:p>
            <w:pPr>
              <w:spacing w:before="20" w:after="20" w:line="276" w:lineRule="auto"/>
              <w:ind w:firstLine="0"/>
            </w:pPr>
            <w:r/>
            <w:r>
              <w:rPr>
                <w:rFonts w:ascii="Times New Roman" w:hAnsi="Times New Roman" w:eastAsia="宋体"/>
                <w:b w:val="0"/>
                <w:i w:val="0"/>
                <w:sz w:val="19"/>
              </w:rPr>
              <w:t>查看操作记录 / 跳转关联结算单与保证金池</w:t>
            </w:r>
          </w:p>
        </w:tc>
        <w:tc>
          <w:tcPr>
            <w:tcW w:type="dxa" w:w="1414"/>
          </w:tcPr>
          <w:p>
            <w:pPr>
              <w:spacing w:before="20" w:after="20" w:line="276" w:lineRule="auto"/>
              <w:ind w:firstLine="0"/>
            </w:pPr>
            <w:r/>
            <w:r>
              <w:rPr>
                <w:rFonts w:ascii="Times New Roman" w:hAnsi="Times New Roman" w:eastAsia="宋体"/>
                <w:b w:val="0"/>
                <w:i w:val="0"/>
                <w:sz w:val="19"/>
              </w:rPr>
              <w:t>可跳转关联的结算单与保证金池页面</w:t>
            </w:r>
          </w:p>
        </w:tc>
      </w:tr>
      <w:tr>
        <w:tc>
          <w:tcPr>
            <w:tcW w:type="dxa" w:w="1178"/>
          </w:tcPr>
          <w:p>
            <w:pPr>
              <w:spacing w:before="20" w:after="20" w:line="276" w:lineRule="auto"/>
              <w:ind w:firstLine="0"/>
            </w:pPr>
            <w:r/>
            <w:r>
              <w:rPr>
                <w:rFonts w:ascii="Times New Roman" w:hAnsi="Times New Roman" w:eastAsia="宋体"/>
                <w:b w:val="0"/>
                <w:i w:val="0"/>
                <w:sz w:val="19"/>
              </w:rPr>
              <w:t>回款审批详情</w:t>
            </w:r>
          </w:p>
        </w:tc>
        <w:tc>
          <w:tcPr>
            <w:tcW w:type="dxa" w:w="1531"/>
          </w:tcPr>
          <w:p>
            <w:pPr>
              <w:spacing w:before="20" w:after="20" w:line="276" w:lineRule="auto"/>
              <w:ind w:firstLine="0"/>
            </w:pPr>
            <w:r/>
            <w:r>
              <w:rPr>
                <w:rFonts w:ascii="Times New Roman" w:hAnsi="Times New Roman" w:eastAsia="宋体"/>
                <w:b w:val="0"/>
                <w:i w:val="0"/>
                <w:sz w:val="19"/>
              </w:rPr>
              <w:t>receipt-approval-detail.html</w:t>
            </w:r>
          </w:p>
        </w:tc>
        <w:tc>
          <w:tcPr>
            <w:tcW w:type="dxa" w:w="1119"/>
          </w:tcPr>
          <w:p>
            <w:pPr>
              <w:spacing w:before="20" w:after="20" w:line="276" w:lineRule="auto"/>
              <w:ind w:firstLine="0"/>
            </w:pPr>
            <w:r/>
            <w:r>
              <w:rPr>
                <w:rFonts w:ascii="Times New Roman" w:hAnsi="Times New Roman" w:eastAsia="宋体"/>
                <w:b w:val="0"/>
                <w:i w:val="0"/>
                <w:sz w:val="19"/>
              </w:rPr>
              <w:t>回款列表审批态行内「详情」</w:t>
            </w:r>
          </w:p>
        </w:tc>
        <w:tc>
          <w:tcPr>
            <w:tcW w:type="dxa" w:w="2062"/>
          </w:tcPr>
          <w:p>
            <w:pPr>
              <w:spacing w:before="20" w:after="20" w:line="276" w:lineRule="auto"/>
              <w:ind w:firstLine="0"/>
            </w:pPr>
            <w:r/>
            <w:r>
              <w:rPr>
                <w:rFonts w:ascii="Times New Roman" w:hAnsi="Times New Roman" w:eastAsia="宋体"/>
                <w:b w:val="0"/>
                <w:i w:val="0"/>
                <w:sz w:val="19"/>
              </w:rPr>
              <w:t>顶部信息条（回款编号、状态、6 个字段）/ 步骤条（业务人员创建回款单 → 回款审批中 → 审批通过回款生效）/ Tab 1 回款信息（回款信息、关联结算单、附件）/ Tab 2 审批管理（审批时间线）/ Tab 3 操作记录</w:t>
            </w:r>
          </w:p>
        </w:tc>
        <w:tc>
          <w:tcPr>
            <w:tcW w:type="dxa" w:w="1767"/>
          </w:tcPr>
          <w:p>
            <w:pPr>
              <w:spacing w:before="20" w:after="20" w:line="276" w:lineRule="auto"/>
              <w:ind w:firstLine="0"/>
            </w:pPr>
            <w:r/>
            <w:r>
              <w:rPr>
                <w:rFonts w:ascii="Times New Roman" w:hAnsi="Times New Roman" w:eastAsia="宋体"/>
                <w:b w:val="0"/>
                <w:i w:val="0"/>
                <w:sz w:val="19"/>
              </w:rPr>
              <w:t>撤回申请 / 审批通过 / 驳回审批</w:t>
            </w:r>
          </w:p>
        </w:tc>
        <w:tc>
          <w:tcPr>
            <w:tcW w:type="dxa" w:w="1414"/>
          </w:tcPr>
          <w:p>
            <w:pPr>
              <w:spacing w:before="20" w:after="20" w:line="276" w:lineRule="auto"/>
              <w:ind w:firstLine="0"/>
            </w:pPr>
            <w:r/>
            <w:r>
              <w:rPr>
                <w:rFonts w:ascii="Times New Roman" w:hAnsi="Times New Roman" w:eastAsia="宋体"/>
                <w:b w:val="0"/>
                <w:i w:val="0"/>
                <w:sz w:val="19"/>
              </w:rPr>
              <w:t>关联结算单与附件可跳转对应单据</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4.13.8　验收标准与待确认项</w:t>
      </w:r>
    </w:p>
    <w:tbl>
      <w:tblPr>
        <w:tblStyle w:val="TableGrid"/>
        <w:tblW w:type="auto" w:w="0"/>
        <w:jc w:val="center"/>
        <w:tblLayout w:type="fixed"/>
        <w:tblLook w:firstColumn="1" w:firstRow="1" w:lastColumn="0" w:lastRow="0" w:noHBand="0" w:noVBand="1" w:val="04A0"/>
      </w:tblPr>
      <w:tblGrid>
        <w:gridCol w:w="4479"/>
        <w:gridCol w:w="4479"/>
      </w:tblGrid>
      <w:tr>
        <w:trPr>
          <w:tblHeader w:val="true"/>
        </w:trPr>
        <w:tc>
          <w:tcPr>
            <w:tcW w:type="dxa" w:w="1701"/>
            <w:shd w:val="clear" w:color="auto" w:fill="DCE6F1"/>
          </w:tcPr>
          <w:p>
            <w:pPr>
              <w:spacing w:before="40" w:after="40" w:line="276" w:lineRule="auto"/>
              <w:jc w:val="center"/>
            </w:pPr>
            <w:r/>
            <w:r>
              <w:rPr>
                <w:rFonts w:ascii="Times New Roman" w:hAnsi="Times New Roman" w:eastAsia="黑体"/>
                <w:b/>
                <w:i w:val="0"/>
                <w:sz w:val="21"/>
              </w:rPr>
              <w:t>功能</w:t>
            </w:r>
          </w:p>
        </w:tc>
        <w:tc>
          <w:tcPr>
            <w:tcW w:type="dxa" w:w="7370"/>
            <w:shd w:val="clear" w:color="auto" w:fill="DCE6F1"/>
          </w:tcPr>
          <w:p>
            <w:pPr>
              <w:spacing w:before="40" w:after="40" w:line="276" w:lineRule="auto"/>
              <w:jc w:val="center"/>
            </w:pPr>
            <w:r/>
            <w:r>
              <w:rPr>
                <w:rFonts w:ascii="Times New Roman" w:hAnsi="Times New Roman" w:eastAsia="黑体"/>
                <w:b/>
                <w:i w:val="0"/>
                <w:sz w:val="21"/>
              </w:rPr>
              <w:t>验收要点（由关键规则转写）</w:t>
            </w:r>
          </w:p>
        </w:tc>
      </w:tr>
      <w:tr>
        <w:tc>
          <w:tcPr>
            <w:tcW w:type="dxa" w:w="1701"/>
          </w:tcPr>
          <w:p>
            <w:pPr>
              <w:spacing w:before="20" w:after="20" w:line="276" w:lineRule="auto"/>
              <w:ind w:firstLine="0"/>
            </w:pPr>
            <w:r/>
            <w:r>
              <w:rPr>
                <w:rFonts w:ascii="Times New Roman" w:hAnsi="Times New Roman" w:eastAsia="宋体"/>
                <w:b w:val="0"/>
                <w:i w:val="0"/>
                <w:sz w:val="21"/>
              </w:rPr>
              <w:t>回款流水登记</w:t>
            </w:r>
          </w:p>
        </w:tc>
        <w:tc>
          <w:tcPr>
            <w:tcW w:type="dxa" w:w="7370"/>
          </w:tcPr>
          <w:p>
            <w:pPr>
              <w:spacing w:before="20" w:after="20" w:line="276" w:lineRule="auto"/>
              <w:ind w:firstLine="0"/>
            </w:pPr>
            <w:r/>
            <w:r>
              <w:rPr>
                <w:rFonts w:ascii="Times New Roman" w:hAnsi="Times New Roman" w:eastAsia="宋体"/>
                <w:b w:val="0"/>
                <w:i w:val="0"/>
                <w:sz w:val="21"/>
              </w:rPr>
              <w:t>回款方为单选且默认下游客户，回款方的账号名称、开户行、银行账号随客户自动带出且可修改；收款账号为单选，默认核心企业所登记信息；回款金额、回款日期必填；回单凭证必填，格式限 jpg、jpeg、png、pdf，单文件不超过 100MB；客户被冻结时提示「客户 X 已被冻结，不能登记回款」并阻止</w:t>
            </w:r>
          </w:p>
        </w:tc>
      </w:tr>
      <w:tr>
        <w:tc>
          <w:tcPr>
            <w:tcW w:type="dxa" w:w="1701"/>
          </w:tcPr>
          <w:p>
            <w:pPr>
              <w:spacing w:before="20" w:after="20" w:line="276" w:lineRule="auto"/>
              <w:ind w:firstLine="0"/>
            </w:pPr>
            <w:r/>
            <w:r>
              <w:rPr>
                <w:rFonts w:ascii="Times New Roman" w:hAnsi="Times New Roman" w:eastAsia="宋体"/>
                <w:b w:val="0"/>
                <w:i w:val="0"/>
                <w:sz w:val="21"/>
              </w:rPr>
              <w:t>回款方式与认领类型</w:t>
            </w:r>
          </w:p>
        </w:tc>
        <w:tc>
          <w:tcPr>
            <w:tcW w:type="dxa" w:w="7370"/>
          </w:tcPr>
          <w:p>
            <w:pPr>
              <w:spacing w:before="20" w:after="20" w:line="276" w:lineRule="auto"/>
              <w:ind w:firstLine="0"/>
            </w:pPr>
            <w:r/>
            <w:r>
              <w:rPr>
                <w:rFonts w:ascii="Times New Roman" w:hAnsi="Times New Roman" w:eastAsia="宋体"/>
                <w:b w:val="0"/>
                <w:i w:val="0"/>
                <w:sz w:val="21"/>
              </w:rPr>
              <w:t>回款方式 4 种：商业承兑汇票、电子银行承兑汇票、电汇、保证金冲抵；认领类型 2 种：业务线回款（可选已关联业务线的销售合同，单批次或订单）、非业务线回款（可选未关联业务线的销售合同，单批次或订单）</w:t>
            </w:r>
          </w:p>
        </w:tc>
      </w:tr>
      <w:tr>
        <w:tc>
          <w:tcPr>
            <w:tcW w:type="dxa" w:w="1701"/>
          </w:tcPr>
          <w:p>
            <w:pPr>
              <w:spacing w:before="20" w:after="20" w:line="276" w:lineRule="auto"/>
              <w:ind w:firstLine="0"/>
            </w:pPr>
            <w:r/>
            <w:r>
              <w:rPr>
                <w:rFonts w:ascii="Times New Roman" w:hAnsi="Times New Roman" w:eastAsia="宋体"/>
                <w:b w:val="0"/>
                <w:i w:val="0"/>
                <w:sz w:val="21"/>
              </w:rPr>
              <w:t>回款审批</w:t>
            </w:r>
          </w:p>
        </w:tc>
        <w:tc>
          <w:tcPr>
            <w:tcW w:type="dxa" w:w="7370"/>
          </w:tcPr>
          <w:p>
            <w:pPr>
              <w:spacing w:before="20" w:after="20" w:line="276" w:lineRule="auto"/>
              <w:ind w:firstLine="0"/>
            </w:pPr>
            <w:r/>
            <w:r>
              <w:rPr>
                <w:rFonts w:ascii="Times New Roman" w:hAnsi="Times New Roman" w:eastAsia="宋体"/>
                <w:b w:val="0"/>
                <w:i w:val="0"/>
                <w:sz w:val="21"/>
              </w:rPr>
              <w:t>审批态包含待提交、审批中、驳回、无效；审批中可撤回回到待提交，撤回需二次确认；驳回后可修改重新提交；审批中与驳回的单据进入回款审批详情页，待提交、驳回、无效可删除</w:t>
            </w:r>
          </w:p>
        </w:tc>
      </w:tr>
      <w:tr>
        <w:tc>
          <w:tcPr>
            <w:tcW w:type="dxa" w:w="1701"/>
          </w:tcPr>
          <w:p>
            <w:pPr>
              <w:spacing w:before="20" w:after="20" w:line="276" w:lineRule="auto"/>
              <w:ind w:firstLine="0"/>
            </w:pPr>
            <w:r/>
            <w:r>
              <w:rPr>
                <w:rFonts w:ascii="Times New Roman" w:hAnsi="Times New Roman" w:eastAsia="宋体"/>
                <w:b w:val="0"/>
                <w:i w:val="0"/>
                <w:sz w:val="21"/>
              </w:rPr>
              <w:t>自动认领</w:t>
            </w:r>
          </w:p>
        </w:tc>
        <w:tc>
          <w:tcPr>
            <w:tcW w:type="dxa" w:w="7370"/>
          </w:tcPr>
          <w:p>
            <w:pPr>
              <w:spacing w:before="20" w:after="20" w:line="276" w:lineRule="auto"/>
              <w:ind w:firstLine="0"/>
            </w:pPr>
            <w:r/>
            <w:r>
              <w:rPr>
                <w:rFonts w:ascii="Times New Roman" w:hAnsi="Times New Roman" w:eastAsia="宋体"/>
                <w:b w:val="0"/>
                <w:i w:val="0"/>
                <w:sz w:val="21"/>
              </w:rPr>
              <w:t>匹配优先级为金额（精确）优先，其次付款方（一致），最后订单号（备注）；匹配分数取值 0 至 100，分数不低于 80 自动认领成功，低于 80 置为未认领并提示「回款自动认领失败（匹配分数 X &lt; 80），请手动认领」</w:t>
            </w:r>
          </w:p>
        </w:tc>
      </w:tr>
      <w:tr>
        <w:tc>
          <w:tcPr>
            <w:tcW w:type="dxa" w:w="1701"/>
          </w:tcPr>
          <w:p>
            <w:pPr>
              <w:spacing w:before="20" w:after="20" w:line="276" w:lineRule="auto"/>
              <w:ind w:firstLine="0"/>
            </w:pPr>
            <w:r/>
            <w:r>
              <w:rPr>
                <w:rFonts w:ascii="Times New Roman" w:hAnsi="Times New Roman" w:eastAsia="宋体"/>
                <w:b w:val="0"/>
                <w:i w:val="0"/>
                <w:sz w:val="21"/>
              </w:rPr>
              <w:t>手动认领与字段拆分</w:t>
            </w:r>
          </w:p>
        </w:tc>
        <w:tc>
          <w:tcPr>
            <w:tcW w:type="dxa" w:w="7370"/>
          </w:tcPr>
          <w:p>
            <w:pPr>
              <w:spacing w:before="20" w:after="20" w:line="276" w:lineRule="auto"/>
              <w:ind w:firstLine="0"/>
            </w:pPr>
            <w:r/>
            <w:r>
              <w:rPr>
                <w:rFonts w:ascii="Times New Roman" w:hAnsi="Times New Roman" w:eastAsia="宋体"/>
                <w:b w:val="0"/>
                <w:i w:val="0"/>
                <w:sz w:val="21"/>
              </w:rPr>
              <w:t>应付总额为只读，取本次认领行关联合同的下游结算金额合计；现金实付可编辑，默认等于应付总额；保证金冲抵为只读，按应付总额乘保证金比例计算；强约束为现金实付加保证金冲抵必须等于应付总额，不满足时提示「现金实付 + 保证金冲抵 必须等于应付总额」并阻止提交；现金实付大于应付总额时提示「现金实付不能大于应付总额」并阻止</w:t>
            </w:r>
          </w:p>
        </w:tc>
      </w:tr>
      <w:tr>
        <w:tc>
          <w:tcPr>
            <w:tcW w:type="dxa" w:w="1701"/>
          </w:tcPr>
          <w:p>
            <w:pPr>
              <w:spacing w:before="20" w:after="20" w:line="276" w:lineRule="auto"/>
              <w:ind w:firstLine="0"/>
            </w:pPr>
            <w:r/>
            <w:r>
              <w:rPr>
                <w:rFonts w:ascii="Times New Roman" w:hAnsi="Times New Roman" w:eastAsia="宋体"/>
                <w:b w:val="0"/>
                <w:i w:val="0"/>
                <w:sz w:val="21"/>
              </w:rPr>
              <w:t>认领金额与合同状态校验</w:t>
            </w:r>
          </w:p>
        </w:tc>
        <w:tc>
          <w:tcPr>
            <w:tcW w:type="dxa" w:w="7370"/>
          </w:tcPr>
          <w:p>
            <w:pPr>
              <w:spacing w:before="20" w:after="20" w:line="276" w:lineRule="auto"/>
              <w:ind w:firstLine="0"/>
            </w:pPr>
            <w:r/>
            <w:r>
              <w:rPr>
                <w:rFonts w:ascii="Times New Roman" w:hAnsi="Times New Roman" w:eastAsia="宋体"/>
                <w:b w:val="0"/>
                <w:i w:val="0"/>
                <w:sz w:val="21"/>
              </w:rPr>
              <w:t>认领金额不得超过回款金额，超过时提示「认领金额 X 超过回款金额 Y」并阻止；已认领金额超过回款金额时在页面顶部红字提示「已认领金额超过回款金额」并阻止；被认领合同必须处于执行中或待上传双签合同状态，否则提示「请选择执行中或待上传双签合同」；合同已作废时提示「该合同已作废，无法认领」</w:t>
            </w:r>
          </w:p>
        </w:tc>
      </w:tr>
      <w:tr>
        <w:tc>
          <w:tcPr>
            <w:tcW w:type="dxa" w:w="1701"/>
          </w:tcPr>
          <w:p>
            <w:pPr>
              <w:spacing w:before="20" w:after="20" w:line="276" w:lineRule="auto"/>
              <w:ind w:firstLine="0"/>
            </w:pPr>
            <w:r/>
            <w:r>
              <w:rPr>
                <w:rFonts w:ascii="Times New Roman" w:hAnsi="Times New Roman" w:eastAsia="宋体"/>
                <w:b w:val="0"/>
                <w:i w:val="0"/>
                <w:sz w:val="21"/>
              </w:rPr>
              <w:t>认领并发保护</w:t>
            </w:r>
          </w:p>
        </w:tc>
        <w:tc>
          <w:tcPr>
            <w:tcW w:type="dxa" w:w="7370"/>
          </w:tcPr>
          <w:p>
            <w:pPr>
              <w:spacing w:before="20" w:after="20" w:line="276" w:lineRule="auto"/>
              <w:ind w:firstLine="0"/>
            </w:pPr>
            <w:r/>
            <w:r>
              <w:rPr>
                <w:rFonts w:ascii="Times New Roman" w:hAnsi="Times New Roman" w:eastAsia="宋体"/>
                <w:b w:val="0"/>
                <w:i w:val="0"/>
                <w:sz w:val="21"/>
              </w:rPr>
              <w:t>同一合同被并发认领时，提交时校验已认领金额，被他人覆盖则提示「已被其他认领覆盖，请刷新后重试」并阻止提交</w:t>
            </w:r>
          </w:p>
        </w:tc>
      </w:tr>
      <w:tr>
        <w:tc>
          <w:tcPr>
            <w:tcW w:type="dxa" w:w="1701"/>
          </w:tcPr>
          <w:p>
            <w:pPr>
              <w:spacing w:before="20" w:after="20" w:line="276" w:lineRule="auto"/>
              <w:ind w:firstLine="0"/>
            </w:pPr>
            <w:r/>
            <w:r>
              <w:rPr>
                <w:rFonts w:ascii="Times New Roman" w:hAnsi="Times New Roman" w:eastAsia="宋体"/>
                <w:b w:val="0"/>
                <w:i w:val="0"/>
                <w:sz w:val="21"/>
              </w:rPr>
              <w:t>认领结果下游联动</w:t>
            </w:r>
          </w:p>
        </w:tc>
        <w:tc>
          <w:tcPr>
            <w:tcW w:type="dxa" w:w="7370"/>
          </w:tcPr>
          <w:p>
            <w:pPr>
              <w:spacing w:before="20" w:after="20" w:line="276" w:lineRule="auto"/>
              <w:ind w:firstLine="0"/>
            </w:pPr>
            <w:r/>
            <w:r>
              <w:rPr>
                <w:rFonts w:ascii="Times New Roman" w:hAnsi="Times New Roman" w:eastAsia="宋体"/>
                <w:b w:val="0"/>
                <w:i w:val="0"/>
                <w:sz w:val="21"/>
              </w:rPr>
              <w:t>认领完成后该合同的下游结算金额减去本次认领金额，下游结算金额归零时触发已结清；客户已回款金额累加本次回款，并触发敞口金额与保证金覆盖率重算；销项发票关联合同在认领时检查已开票金额是否足够</w:t>
            </w:r>
          </w:p>
        </w:tc>
      </w:tr>
      <w:tr>
        <w:tc>
          <w:tcPr>
            <w:tcW w:type="dxa" w:w="1701"/>
          </w:tcPr>
          <w:p>
            <w:pPr>
              <w:spacing w:before="20" w:after="20" w:line="276" w:lineRule="auto"/>
              <w:ind w:firstLine="0"/>
            </w:pPr>
            <w:r/>
            <w:r>
              <w:rPr>
                <w:rFonts w:ascii="Times New Roman" w:hAnsi="Times New Roman" w:eastAsia="宋体"/>
                <w:b w:val="0"/>
                <w:i w:val="0"/>
                <w:sz w:val="21"/>
              </w:rPr>
              <w:t>回款列表与查询</w:t>
            </w:r>
          </w:p>
        </w:tc>
        <w:tc>
          <w:tcPr>
            <w:tcW w:type="dxa" w:w="7370"/>
          </w:tcPr>
          <w:p>
            <w:pPr>
              <w:spacing w:before="20" w:after="20" w:line="276" w:lineRule="auto"/>
              <w:ind w:firstLine="0"/>
            </w:pPr>
            <w:r/>
            <w:r>
              <w:rPr>
                <w:rFonts w:ascii="Times New Roman" w:hAnsi="Times New Roman" w:eastAsia="宋体"/>
                <w:b w:val="0"/>
                <w:i w:val="0"/>
                <w:sz w:val="21"/>
              </w:rPr>
              <w:t>状态维度 7 种：待提交、审批中、未认领、部分认领、已认领、驳回、无效；页签为全部、待提交、审批中、未认领、部分认领、已认领、驳回、无效，计数按数据实时统计；审批态与认领态的详情分别进入回款审批详情页与回款详情页</w:t>
            </w:r>
          </w:p>
        </w:tc>
      </w:tr>
    </w:tbl>
    <w:p>
      <w:pPr>
        <w:spacing w:before="0" w:after="0" w:line="240" w:lineRule="auto"/>
      </w:pPr>
    </w:p>
    <w:p>
      <w:pPr>
        <w:spacing w:before="120" w:after="60" w:line="360" w:lineRule="auto"/>
      </w:pPr>
      <w:r>
        <w:rPr>
          <w:rFonts w:ascii="Times New Roman" w:hAnsi="Times New Roman" w:eastAsia="宋体"/>
          <w:b/>
          <w:i w:val="0"/>
          <w:sz w:val="24"/>
        </w:rPr>
        <w:t>待业务方确认：</w:t>
      </w:r>
    </w:p>
    <w:p>
      <w:pPr>
        <w:spacing w:before="0" w:after="60" w:line="336" w:lineRule="auto"/>
        <w:ind w:left="340" w:firstLine="0"/>
      </w:pPr>
      <w:r>
        <w:rPr>
          <w:rFonts w:ascii="Times New Roman" w:hAnsi="Times New Roman" w:eastAsia="宋体"/>
          <w:b w:val="0"/>
          <w:i w:val="0"/>
          <w:sz w:val="24"/>
        </w:rPr>
        <w:t>· 待业务方确认：回款状态口径——模块文档记录认领状态为待认领与已认领两态（对应四个枚举值），原型页面按 7 态实现（待提交、审批中、未认领、部分认领、已认领、驳回、无效），列表展示用词也由待认领变为未认领，两套口径需统一。</w:t>
      </w:r>
    </w:p>
    <w:p>
      <w:pPr>
        <w:spacing w:before="0" w:after="60" w:line="336" w:lineRule="auto"/>
        <w:ind w:left="340" w:firstLine="0"/>
      </w:pPr>
      <w:r>
        <w:rPr>
          <w:rFonts w:ascii="Times New Roman" w:hAnsi="Times New Roman" w:eastAsia="宋体"/>
          <w:b w:val="0"/>
          <w:i w:val="0"/>
          <w:sz w:val="24"/>
        </w:rPr>
        <w:t>· 待业务方确认：回款方式 4 种中文口径与底层字段 3 个枚举值无法一一对应。</w:t>
      </w:r>
    </w:p>
    <w:p>
      <w:pPr>
        <w:spacing w:before="0" w:after="60" w:line="336" w:lineRule="auto"/>
        <w:ind w:left="340" w:firstLine="0"/>
      </w:pPr>
      <w:r>
        <w:rPr>
          <w:rFonts w:ascii="Times New Roman" w:hAnsi="Times New Roman" w:eastAsia="宋体"/>
          <w:b w:val="0"/>
          <w:i w:val="0"/>
          <w:sz w:val="24"/>
        </w:rPr>
        <w:t>· 待业务方确认：保证金冲抵选项在回款方式中保留但业务上已不再走保证金，该选项是置灰不可提交还是可提交不生效。</w:t>
      </w:r>
    </w:p>
    <w:p>
      <w:pPr>
        <w:spacing w:before="0" w:after="60" w:line="336" w:lineRule="auto"/>
        <w:ind w:left="340" w:firstLine="0"/>
      </w:pPr>
      <w:r>
        <w:rPr>
          <w:rFonts w:ascii="Times New Roman" w:hAnsi="Times New Roman" w:eastAsia="宋体"/>
          <w:b w:val="0"/>
          <w:i w:val="0"/>
          <w:sz w:val="24"/>
        </w:rPr>
        <w:t>· 待业务方确认：被认领合同所要求的「执行中 / 待上传双签合同」状态对应的字段枚举值。</w:t>
      </w:r>
    </w:p>
    <w:p>
      <w:pPr>
        <w:spacing w:before="0" w:after="60" w:line="336" w:lineRule="auto"/>
        <w:ind w:left="340" w:firstLine="0"/>
      </w:pPr>
      <w:r>
        <w:rPr>
          <w:rFonts w:ascii="Times New Roman" w:hAnsi="Times New Roman" w:eastAsia="宋体"/>
          <w:b w:val="0"/>
          <w:i w:val="0"/>
          <w:sz w:val="24"/>
        </w:rPr>
        <w:t>· 待业务方确认：回款凭证附件大小上限 100MB 与全站附件上限 10MB 的适用范围。</w:t>
      </w:r>
    </w:p>
    <w:p>
      <w:pPr>
        <w:spacing w:before="0" w:after="60" w:line="336" w:lineRule="auto"/>
        <w:ind w:left="340" w:firstLine="0"/>
      </w:pPr>
      <w:r>
        <w:rPr>
          <w:rFonts w:ascii="Times New Roman" w:hAnsi="Times New Roman" w:eastAsia="宋体"/>
          <w:b w:val="0"/>
          <w:i w:val="0"/>
          <w:sz w:val="24"/>
        </w:rPr>
        <w:t>· 待业务方确认：银行流水与回款流水的匹配键，以及自动认领与人工认领同时发生时的仲裁规则。</w:t>
      </w:r>
    </w:p>
    <w:p>
      <w:pPr>
        <w:spacing w:before="0" w:after="60" w:line="336" w:lineRule="auto"/>
        <w:ind w:left="340" w:firstLine="0"/>
      </w:pPr>
      <w:r>
        <w:rPr>
          <w:rFonts w:ascii="Times New Roman" w:hAnsi="Times New Roman" w:eastAsia="宋体"/>
          <w:b w:val="0"/>
          <w:i w:val="0"/>
          <w:sz w:val="24"/>
        </w:rPr>
        <w:t>· 待业务方确认：回款侧「收款方在系统内确认」是否需要独立落地页面——模块文档推测现有 receipt-confirm.html 即该环节，但该页面实际是收发货管理的「填写收货信息 / 收货确认」页，页面文件名与回款域重名，回款侧无对应确认页面。</w:t>
      </w:r>
    </w:p>
    <w:p>
      <w:r>
        <w:br w:type="page"/>
      </w:r>
    </w:p>
    <w:p>
      <w:pPr>
        <w:pStyle w:val="Heading2"/>
        <w:keepNext/>
        <w:spacing w:before="240" w:after="120" w:line="312" w:lineRule="auto"/>
        <w:ind w:firstLine="0"/>
      </w:pPr>
      <w:r>
        <w:rPr>
          <w:rFonts w:ascii="Times New Roman" w:hAnsi="Times New Roman" w:eastAsia="黑体"/>
          <w:b/>
          <w:i w:val="0"/>
          <w:sz w:val="28"/>
        </w:rPr>
        <w:t>4.14　保证金管理</w:t>
      </w:r>
    </w:p>
    <w:p>
      <w:pPr>
        <w:spacing w:before="0" w:after="160" w:line="360" w:lineRule="auto"/>
      </w:pPr>
      <w:r>
        <w:rPr>
          <w:rFonts w:ascii="Times New Roman" w:hAnsi="Times New Roman" w:eastAsia="宋体"/>
          <w:b w:val="0"/>
          <w:i w:val="0"/>
          <w:color w:val="595959"/>
          <w:sz w:val="21"/>
        </w:rPr>
        <w:t>菜单路径：数字供应链 / 资金管理 / 保证金管理</w:t>
      </w:r>
    </w:p>
    <w:p>
      <w:pPr>
        <w:pStyle w:val="Heading3"/>
        <w:keepNext/>
        <w:spacing w:before="160" w:after="80" w:line="312" w:lineRule="auto"/>
        <w:ind w:firstLine="0"/>
      </w:pPr>
      <w:r>
        <w:rPr>
          <w:rFonts w:ascii="Times New Roman" w:hAnsi="Times New Roman" w:eastAsia="黑体"/>
          <w:b/>
          <w:i w:val="0"/>
          <w:sz w:val="24"/>
        </w:rPr>
        <w:t>4.14.1　一页结论</w:t>
      </w:r>
    </w:p>
    <w:p>
      <w:pPr>
        <w:spacing w:before="0" w:after="120" w:line="360" w:lineRule="auto"/>
      </w:pPr>
      <w:r>
        <w:rPr>
          <w:rFonts w:ascii="Times New Roman" w:hAnsi="Times New Roman" w:eastAsia="宋体"/>
          <w:b w:val="0"/>
          <w:i w:val="0"/>
          <w:sz w:val="24"/>
        </w:rPr>
        <w:t>按合同维度管理客户保证金池：登记实缴凭证、按三种方式调整保证金、配置等比例冲抵，并把余额变动沉淀为可追溯记录。</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928"/>
            <w:shd w:val="clear" w:color="auto" w:fill="DCE6F1"/>
          </w:tcPr>
          <w:p>
            <w:pPr>
              <w:spacing w:before="40" w:after="40" w:line="276" w:lineRule="auto"/>
              <w:jc w:val="center"/>
            </w:pPr>
            <w:r/>
            <w:r>
              <w:rPr>
                <w:rFonts w:ascii="Times New Roman" w:hAnsi="Times New Roman" w:eastAsia="黑体"/>
                <w:b/>
                <w:i w:val="0"/>
                <w:sz w:val="21"/>
              </w:rPr>
              <w:t>问题</w:t>
            </w:r>
          </w:p>
        </w:tc>
        <w:tc>
          <w:tcPr>
            <w:tcW w:type="dxa" w:w="3572"/>
            <w:shd w:val="clear" w:color="auto" w:fill="DCE6F1"/>
          </w:tcPr>
          <w:p>
            <w:pPr>
              <w:spacing w:before="40" w:after="40" w:line="276" w:lineRule="auto"/>
              <w:jc w:val="center"/>
            </w:pPr>
            <w:r/>
            <w:r>
              <w:rPr>
                <w:rFonts w:ascii="Times New Roman" w:hAnsi="Times New Roman" w:eastAsia="黑体"/>
                <w:b/>
                <w:i w:val="0"/>
                <w:sz w:val="21"/>
              </w:rPr>
              <w:t>当前做法</w:t>
            </w:r>
          </w:p>
        </w:tc>
        <w:tc>
          <w:tcPr>
            <w:tcW w:type="dxa" w:w="3572"/>
            <w:shd w:val="clear" w:color="auto" w:fill="DCE6F1"/>
          </w:tcPr>
          <w:p>
            <w:pPr>
              <w:spacing w:before="40" w:after="40" w:line="276" w:lineRule="auto"/>
              <w:jc w:val="center"/>
            </w:pPr>
            <w:r/>
            <w:r>
              <w:rPr>
                <w:rFonts w:ascii="Times New Roman" w:hAnsi="Times New Roman" w:eastAsia="黑体"/>
                <w:b/>
                <w:i w:val="0"/>
                <w:sz w:val="21"/>
              </w:rPr>
              <w:t>本模块解法</w:t>
            </w:r>
          </w:p>
        </w:tc>
      </w:tr>
      <w:tr>
        <w:tc>
          <w:tcPr>
            <w:tcW w:type="dxa" w:w="1928"/>
          </w:tcPr>
          <w:p>
            <w:pPr>
              <w:spacing w:before="20" w:after="20" w:line="276" w:lineRule="auto"/>
              <w:ind w:firstLine="0"/>
            </w:pPr>
            <w:r/>
            <w:r>
              <w:rPr>
                <w:rFonts w:ascii="Times New Roman" w:hAnsi="Times New Roman" w:eastAsia="宋体"/>
                <w:b w:val="0"/>
                <w:i w:val="0"/>
                <w:sz w:val="21"/>
              </w:rPr>
              <w:t>客户缴存与扣减保证金缺少统一台账</w:t>
            </w:r>
          </w:p>
        </w:tc>
        <w:tc>
          <w:tcPr>
            <w:tcW w:type="dxa" w:w="3572"/>
          </w:tcPr>
          <w:p>
            <w:pPr>
              <w:spacing w:before="20" w:after="20" w:line="276" w:lineRule="auto"/>
              <w:ind w:firstLine="0"/>
            </w:pPr>
            <w:r/>
            <w:r>
              <w:rPr>
                <w:rFonts w:ascii="Times New Roman" w:hAnsi="Times New Roman" w:eastAsia="宋体"/>
                <w:b w:val="0"/>
                <w:i w:val="0"/>
                <w:sz w:val="21"/>
              </w:rPr>
              <w:t>保证金缴存靠线下转账加人工台账，余额变动经常对不上</w:t>
            </w:r>
          </w:p>
        </w:tc>
        <w:tc>
          <w:tcPr>
            <w:tcW w:type="dxa" w:w="3572"/>
          </w:tcPr>
          <w:p>
            <w:pPr>
              <w:spacing w:before="20" w:after="20" w:line="276" w:lineRule="auto"/>
              <w:ind w:firstLine="0"/>
            </w:pPr>
            <w:r/>
            <w:r>
              <w:rPr>
                <w:rFonts w:ascii="Times New Roman" w:hAnsi="Times New Roman" w:eastAsia="宋体"/>
                <w:b w:val="0"/>
                <w:i w:val="0"/>
                <w:sz w:val="21"/>
              </w:rPr>
              <w:t>保证金池按合同维度汇总余额，登记与调整都在系统内留痕并生成流水记录</w:t>
            </w:r>
          </w:p>
        </w:tc>
      </w:tr>
      <w:tr>
        <w:tc>
          <w:tcPr>
            <w:tcW w:type="dxa" w:w="1928"/>
          </w:tcPr>
          <w:p>
            <w:pPr>
              <w:spacing w:before="20" w:after="20" w:line="276" w:lineRule="auto"/>
              <w:ind w:firstLine="0"/>
            </w:pPr>
            <w:r/>
            <w:r>
              <w:rPr>
                <w:rFonts w:ascii="Times New Roman" w:hAnsi="Times New Roman" w:eastAsia="宋体"/>
                <w:b w:val="0"/>
                <w:i w:val="0"/>
                <w:sz w:val="21"/>
              </w:rPr>
              <w:t>保证金比例与应缴金额散落在合同与线下台账里</w:t>
            </w:r>
          </w:p>
        </w:tc>
        <w:tc>
          <w:tcPr>
            <w:tcW w:type="dxa" w:w="3572"/>
          </w:tcPr>
          <w:p>
            <w:pPr>
              <w:spacing w:before="20" w:after="20" w:line="276" w:lineRule="auto"/>
              <w:ind w:firstLine="0"/>
            </w:pPr>
            <w:r/>
            <w:r>
              <w:rPr>
                <w:rFonts w:ascii="Times New Roman" w:hAnsi="Times New Roman" w:eastAsia="宋体"/>
                <w:b w:val="0"/>
                <w:i w:val="0"/>
                <w:sz w:val="21"/>
              </w:rPr>
              <w:t>每笔业务都要重新问一遍保证金该交多少</w:t>
            </w:r>
          </w:p>
        </w:tc>
        <w:tc>
          <w:tcPr>
            <w:tcW w:type="dxa" w:w="3572"/>
          </w:tcPr>
          <w:p>
            <w:pPr>
              <w:spacing w:before="20" w:after="20" w:line="276" w:lineRule="auto"/>
              <w:ind w:firstLine="0"/>
            </w:pPr>
            <w:r/>
            <w:r>
              <w:rPr>
                <w:rFonts w:ascii="Times New Roman" w:hAnsi="Times New Roman" w:eastAsia="宋体"/>
                <w:b w:val="0"/>
                <w:i w:val="0"/>
                <w:sz w:val="21"/>
              </w:rPr>
              <w:t>创建销售合同时填写保证金比例即自动生成待缴保证金记录，登记时回显合同应缴值与合同设置比例</w:t>
            </w:r>
          </w:p>
        </w:tc>
      </w:tr>
      <w:tr>
        <w:tc>
          <w:tcPr>
            <w:tcW w:type="dxa" w:w="1928"/>
          </w:tcPr>
          <w:p>
            <w:pPr>
              <w:spacing w:before="20" w:after="20" w:line="276" w:lineRule="auto"/>
              <w:ind w:firstLine="0"/>
            </w:pPr>
            <w:r/>
            <w:r>
              <w:rPr>
                <w:rFonts w:ascii="Times New Roman" w:hAnsi="Times New Roman" w:eastAsia="宋体"/>
                <w:b w:val="0"/>
                <w:i w:val="0"/>
                <w:sz w:val="21"/>
              </w:rPr>
              <w:t>保证金抵扣与退款的处理方式因人而异</w:t>
            </w:r>
          </w:p>
        </w:tc>
        <w:tc>
          <w:tcPr>
            <w:tcW w:type="dxa" w:w="3572"/>
          </w:tcPr>
          <w:p>
            <w:pPr>
              <w:spacing w:before="20" w:after="20" w:line="276" w:lineRule="auto"/>
              <w:ind w:firstLine="0"/>
            </w:pPr>
            <w:r/>
            <w:r>
              <w:rPr>
                <w:rFonts w:ascii="Times New Roman" w:hAnsi="Times New Roman" w:eastAsia="宋体"/>
                <w:b w:val="0"/>
                <w:i w:val="0"/>
                <w:sz w:val="21"/>
              </w:rPr>
              <w:t>冲抵货款、跨合同转移、直接退款三种诉求混在同一流程里</w:t>
            </w:r>
          </w:p>
        </w:tc>
        <w:tc>
          <w:tcPr>
            <w:tcW w:type="dxa" w:w="3572"/>
          </w:tcPr>
          <w:p>
            <w:pPr>
              <w:spacing w:before="20" w:after="20" w:line="276" w:lineRule="auto"/>
              <w:ind w:firstLine="0"/>
            </w:pPr>
            <w:r/>
            <w:r>
              <w:rPr>
                <w:rFonts w:ascii="Times New Roman" w:hAnsi="Times New Roman" w:eastAsia="宋体"/>
                <w:b w:val="0"/>
                <w:i w:val="0"/>
                <w:sz w:val="21"/>
              </w:rPr>
              <w:t>保证金调整固定为三种方式：冲抵最后一笔货款、转移为另一笔业务的保证金、保证金退款</w:t>
            </w:r>
          </w:p>
        </w:tc>
      </w:tr>
      <w:tr>
        <w:tc>
          <w:tcPr>
            <w:tcW w:type="dxa" w:w="1928"/>
          </w:tcPr>
          <w:p>
            <w:pPr>
              <w:spacing w:before="20" w:after="20" w:line="276" w:lineRule="auto"/>
              <w:ind w:firstLine="0"/>
            </w:pPr>
            <w:r/>
            <w:r>
              <w:rPr>
                <w:rFonts w:ascii="Times New Roman" w:hAnsi="Times New Roman" w:eastAsia="宋体"/>
                <w:b w:val="0"/>
                <w:i w:val="0"/>
                <w:sz w:val="21"/>
              </w:rPr>
              <w:t>保证金余额跌破阈值时发现太晚</w:t>
            </w:r>
          </w:p>
        </w:tc>
        <w:tc>
          <w:tcPr>
            <w:tcW w:type="dxa" w:w="3572"/>
          </w:tcPr>
          <w:p>
            <w:pPr>
              <w:spacing w:before="20" w:after="20" w:line="276" w:lineRule="auto"/>
              <w:ind w:firstLine="0"/>
            </w:pPr>
            <w:r/>
            <w:r>
              <w:rPr>
                <w:rFonts w:ascii="Times New Roman" w:hAnsi="Times New Roman" w:eastAsia="宋体"/>
                <w:b w:val="0"/>
                <w:i w:val="0"/>
                <w:sz w:val="21"/>
              </w:rPr>
              <w:t>余额不足靠业务问询才知道，追保动作被动</w:t>
            </w:r>
          </w:p>
        </w:tc>
        <w:tc>
          <w:tcPr>
            <w:tcW w:type="dxa" w:w="3572"/>
          </w:tcPr>
          <w:p>
            <w:pPr>
              <w:spacing w:before="20" w:after="20" w:line="276" w:lineRule="auto"/>
              <w:ind w:firstLine="0"/>
            </w:pPr>
            <w:r/>
            <w:r>
              <w:rPr>
                <w:rFonts w:ascii="Times New Roman" w:hAnsi="Times New Roman" w:eastAsia="宋体"/>
                <w:b w:val="0"/>
                <w:i w:val="0"/>
                <w:sz w:val="21"/>
              </w:rPr>
              <w:t>余额跌破预警线给出提醒，跌破红线触发追保函，覆盖风险敞口</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4.14.2　背景与目标</w:t>
      </w:r>
    </w:p>
    <w:tbl>
      <w:tblPr>
        <w:tblStyle w:val="TableGrid"/>
        <w:tblW w:type="auto" w:w="0"/>
        <w:jc w:val="center"/>
        <w:tblLayout w:type="fixed"/>
        <w:tblLook w:firstColumn="1" w:firstRow="1" w:lastColumn="0" w:lastRow="0" w:noHBand="0" w:noVBand="1" w:val="04A0"/>
      </w:tblPr>
      <w:tblGrid>
        <w:gridCol w:w="8958"/>
      </w:tblGrid>
      <w:tr>
        <w:trPr>
          <w:tblHeader w:val="true"/>
        </w:trPr>
        <w:tc>
          <w:tcPr>
            <w:tcW w:type="dxa" w:w="9071"/>
            <w:shd w:val="clear" w:color="auto" w:fill="DCE6F1"/>
          </w:tcPr>
          <w:p>
            <w:pPr>
              <w:spacing w:before="40" w:after="40" w:line="276" w:lineRule="auto"/>
              <w:jc w:val="center"/>
            </w:pPr>
            <w:r/>
            <w:r>
              <w:rPr>
                <w:rFonts w:ascii="Times New Roman" w:hAnsi="Times New Roman" w:eastAsia="黑体"/>
                <w:b/>
                <w:i w:val="0"/>
                <w:sz w:val="21"/>
              </w:rPr>
              <w:t>目标 / 衡量口径</w:t>
            </w:r>
          </w:p>
        </w:tc>
      </w:tr>
      <w:tr>
        <w:tc>
          <w:tcPr>
            <w:tcW w:type="dxa" w:w="9071"/>
          </w:tcPr>
          <w:p>
            <w:pPr>
              <w:spacing w:before="20" w:after="20" w:line="276" w:lineRule="auto"/>
              <w:ind w:firstLine="0"/>
            </w:pPr>
            <w:r/>
            <w:r>
              <w:rPr>
                <w:rFonts w:ascii="Times New Roman" w:hAnsi="Times New Roman" w:eastAsia="宋体"/>
                <w:b w:val="0"/>
                <w:i w:val="0"/>
                <w:sz w:val="21"/>
              </w:rPr>
              <w:t>保证金登记与调整全流程在系统内留痕，每次变动生成一条流水记录，余额变动可逐笔追溯</w:t>
            </w:r>
          </w:p>
        </w:tc>
      </w:tr>
      <w:tr>
        <w:tc>
          <w:tcPr>
            <w:tcW w:type="dxa" w:w="9071"/>
          </w:tcPr>
          <w:p>
            <w:pPr>
              <w:spacing w:before="20" w:after="20" w:line="276" w:lineRule="auto"/>
              <w:ind w:firstLine="0"/>
            </w:pPr>
            <w:r/>
            <w:r>
              <w:rPr>
                <w:rFonts w:ascii="Times New Roman" w:hAnsi="Times New Roman" w:eastAsia="宋体"/>
                <w:b w:val="0"/>
                <w:i w:val="0"/>
                <w:sz w:val="21"/>
              </w:rPr>
              <w:t>保证金池按合同维度展示余额与敞口，五项 KPI 口径与列表字段口径明确可取数</w:t>
            </w:r>
          </w:p>
        </w:tc>
      </w:tr>
      <w:tr>
        <w:tc>
          <w:tcPr>
            <w:tcW w:type="dxa" w:w="9071"/>
          </w:tcPr>
          <w:p>
            <w:pPr>
              <w:spacing w:before="20" w:after="20" w:line="276" w:lineRule="auto"/>
              <w:ind w:firstLine="0"/>
            </w:pPr>
            <w:r/>
            <w:r>
              <w:rPr>
                <w:rFonts w:ascii="Times New Roman" w:hAnsi="Times New Roman" w:eastAsia="宋体"/>
                <w:b w:val="0"/>
                <w:i w:val="0"/>
                <w:sz w:val="21"/>
              </w:rPr>
              <w:t>等比例冲抵货款具备足额硬卡与修改不回溯规则，避免未足额即启用自动冲抵</w:t>
            </w:r>
          </w:p>
        </w:tc>
      </w:tr>
      <w:tr>
        <w:tc>
          <w:tcPr>
            <w:tcW w:type="dxa" w:w="9071"/>
          </w:tcPr>
          <w:p>
            <w:pPr>
              <w:spacing w:before="20" w:after="20" w:line="276" w:lineRule="auto"/>
              <w:ind w:firstLine="0"/>
            </w:pPr>
            <w:r/>
            <w:r>
              <w:rPr>
                <w:rFonts w:ascii="Times New Roman" w:hAnsi="Times New Roman" w:eastAsia="宋体"/>
                <w:b w:val="0"/>
                <w:i w:val="0"/>
                <w:sz w:val="21"/>
              </w:rPr>
              <w:t>保证金余额跌破预警线与红线时分别产生提醒与追保函动作（触发阈值数值以业务方最终确认为准）</w:t>
            </w:r>
          </w:p>
        </w:tc>
      </w:tr>
    </w:tbl>
    <w:p>
      <w:pPr>
        <w:spacing w:before="0" w:after="0" w:line="240" w:lineRule="auto"/>
      </w:pPr>
    </w:p>
    <w:p>
      <w:pPr>
        <w:spacing w:before="80" w:after="120" w:line="360" w:lineRule="auto"/>
      </w:pPr>
      <w:r>
        <w:rPr>
          <w:rFonts w:ascii="Times New Roman" w:hAnsi="Times New Roman" w:eastAsia="宋体"/>
          <w:b w:val="0"/>
          <w:i w:val="0"/>
          <w:color w:val="595959"/>
          <w:sz w:val="21"/>
        </w:rPr>
        <w:t>说明：文中口径以业务方已确认结论为准；未确认项集中列于本章末与第 5 章。</w:t>
      </w:r>
    </w:p>
    <w:p>
      <w:pPr>
        <w:pStyle w:val="Heading3"/>
        <w:keepNext/>
        <w:spacing w:before="160" w:after="80" w:line="312" w:lineRule="auto"/>
        <w:ind w:firstLine="0"/>
      </w:pPr>
      <w:r>
        <w:rPr>
          <w:rFonts w:ascii="Times New Roman" w:hAnsi="Times New Roman" w:eastAsia="黑体"/>
          <w:b/>
          <w:i w:val="0"/>
          <w:sz w:val="24"/>
        </w:rPr>
        <w:t>4.14.3　角色与用户需求</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361"/>
            <w:shd w:val="clear" w:color="auto" w:fill="DCE6F1"/>
          </w:tcPr>
          <w:p>
            <w:pPr>
              <w:spacing w:before="40" w:after="40" w:line="276" w:lineRule="auto"/>
              <w:jc w:val="center"/>
            </w:pPr>
            <w:r/>
            <w:r>
              <w:rPr>
                <w:rFonts w:ascii="Times New Roman" w:hAnsi="Times New Roman" w:eastAsia="黑体"/>
                <w:b/>
                <w:i w:val="0"/>
                <w:sz w:val="21"/>
              </w:rPr>
              <w:t>角色</w:t>
            </w:r>
          </w:p>
        </w:tc>
        <w:tc>
          <w:tcPr>
            <w:tcW w:type="dxa" w:w="1247"/>
            <w:shd w:val="clear" w:color="auto" w:fill="DCE6F1"/>
          </w:tcPr>
          <w:p>
            <w:pPr>
              <w:spacing w:before="40" w:after="40" w:line="276" w:lineRule="auto"/>
              <w:jc w:val="center"/>
            </w:pPr>
            <w:r/>
            <w:r>
              <w:rPr>
                <w:rFonts w:ascii="Times New Roman" w:hAnsi="Times New Roman" w:eastAsia="黑体"/>
                <w:b/>
                <w:i w:val="0"/>
                <w:sz w:val="21"/>
              </w:rPr>
              <w:t>所属部门</w:t>
            </w:r>
          </w:p>
        </w:tc>
        <w:tc>
          <w:tcPr>
            <w:tcW w:type="dxa" w:w="6463"/>
            <w:shd w:val="clear" w:color="auto" w:fill="DCE6F1"/>
          </w:tcPr>
          <w:p>
            <w:pPr>
              <w:spacing w:before="40" w:after="40" w:line="276" w:lineRule="auto"/>
              <w:jc w:val="center"/>
            </w:pPr>
            <w:r/>
            <w:r>
              <w:rPr>
                <w:rFonts w:ascii="Times New Roman" w:hAnsi="Times New Roman" w:eastAsia="黑体"/>
                <w:b/>
                <w:i w:val="0"/>
                <w:sz w:val="21"/>
              </w:rPr>
              <w:t>用户需求（我要…以便…）</w:t>
            </w:r>
          </w:p>
        </w:tc>
      </w:tr>
      <w:tr>
        <w:tc>
          <w:tcPr>
            <w:tcW w:type="dxa" w:w="1361"/>
          </w:tcPr>
          <w:p>
            <w:pPr>
              <w:spacing w:before="20" w:after="20" w:line="276" w:lineRule="auto"/>
              <w:ind w:firstLine="0"/>
            </w:pPr>
            <w:r/>
            <w:r>
              <w:rPr>
                <w:rFonts w:ascii="Times New Roman" w:hAnsi="Times New Roman" w:eastAsia="宋体"/>
                <w:b w:val="0"/>
                <w:i w:val="0"/>
                <w:sz w:val="21"/>
              </w:rPr>
              <w:t>业务员</w:t>
            </w:r>
          </w:p>
        </w:tc>
        <w:tc>
          <w:tcPr>
            <w:tcW w:type="dxa" w:w="1247"/>
          </w:tcPr>
          <w:p>
            <w:pPr>
              <w:spacing w:before="20" w:after="20" w:line="276" w:lineRule="auto"/>
              <w:ind w:firstLine="0"/>
            </w:pPr>
            <w:r/>
            <w:r>
              <w:rPr>
                <w:rFonts w:ascii="Times New Roman" w:hAnsi="Times New Roman" w:eastAsia="宋体"/>
                <w:b w:val="0"/>
                <w:i w:val="0"/>
                <w:sz w:val="21"/>
              </w:rPr>
              <w:t>业务部</w:t>
            </w:r>
          </w:p>
        </w:tc>
        <w:tc>
          <w:tcPr>
            <w:tcW w:type="dxa" w:w="6463"/>
          </w:tcPr>
          <w:p>
            <w:pPr>
              <w:spacing w:before="20" w:after="20" w:line="276" w:lineRule="auto"/>
              <w:ind w:firstLine="0"/>
            </w:pPr>
            <w:r/>
            <w:r>
              <w:rPr>
                <w:rFonts w:ascii="Times New Roman" w:hAnsi="Times New Roman" w:eastAsia="宋体"/>
                <w:b w:val="0"/>
                <w:i w:val="0"/>
                <w:sz w:val="21"/>
              </w:rPr>
              <w:t>我要登记客户实缴保证金并发起保证金调整，以便保证金变动有据可查</w:t>
            </w:r>
          </w:p>
        </w:tc>
      </w:tr>
      <w:tr>
        <w:tc>
          <w:tcPr>
            <w:tcW w:type="dxa" w:w="1361"/>
          </w:tcPr>
          <w:p>
            <w:pPr>
              <w:spacing w:before="20" w:after="20" w:line="276" w:lineRule="auto"/>
              <w:ind w:firstLine="0"/>
            </w:pPr>
            <w:r/>
            <w:r>
              <w:rPr>
                <w:rFonts w:ascii="Times New Roman" w:hAnsi="Times New Roman" w:eastAsia="宋体"/>
                <w:b w:val="0"/>
                <w:i w:val="0"/>
                <w:sz w:val="21"/>
              </w:rPr>
              <w:t>财务员</w:t>
            </w:r>
          </w:p>
        </w:tc>
        <w:tc>
          <w:tcPr>
            <w:tcW w:type="dxa" w:w="1247"/>
          </w:tcPr>
          <w:p>
            <w:pPr>
              <w:spacing w:before="20" w:after="20" w:line="276" w:lineRule="auto"/>
              <w:ind w:firstLine="0"/>
            </w:pPr>
            <w:r/>
            <w:r>
              <w:rPr>
                <w:rFonts w:ascii="Times New Roman" w:hAnsi="Times New Roman" w:eastAsia="宋体"/>
                <w:b w:val="0"/>
                <w:i w:val="0"/>
                <w:sz w:val="21"/>
              </w:rPr>
              <w:t>财务部</w:t>
            </w:r>
          </w:p>
        </w:tc>
        <w:tc>
          <w:tcPr>
            <w:tcW w:type="dxa" w:w="6463"/>
          </w:tcPr>
          <w:p>
            <w:pPr>
              <w:spacing w:before="20" w:after="20" w:line="276" w:lineRule="auto"/>
              <w:ind w:firstLine="0"/>
            </w:pPr>
            <w:r/>
            <w:r>
              <w:rPr>
                <w:rFonts w:ascii="Times New Roman" w:hAnsi="Times New Roman" w:eastAsia="宋体"/>
                <w:b w:val="0"/>
                <w:i w:val="0"/>
                <w:sz w:val="21"/>
              </w:rPr>
              <w:t>我要发起保证金退款并登记收款账号，以便剩余保证金能按约定退回</w:t>
            </w:r>
          </w:p>
        </w:tc>
      </w:tr>
      <w:tr>
        <w:tc>
          <w:tcPr>
            <w:tcW w:type="dxa" w:w="1361"/>
          </w:tcPr>
          <w:p>
            <w:pPr>
              <w:spacing w:before="20" w:after="20" w:line="276" w:lineRule="auto"/>
              <w:ind w:firstLine="0"/>
            </w:pPr>
            <w:r/>
            <w:r>
              <w:rPr>
                <w:rFonts w:ascii="Times New Roman" w:hAnsi="Times New Roman" w:eastAsia="宋体"/>
                <w:b w:val="0"/>
                <w:i w:val="0"/>
                <w:sz w:val="21"/>
              </w:rPr>
              <w:t>审核方</w:t>
            </w:r>
          </w:p>
        </w:tc>
        <w:tc>
          <w:tcPr>
            <w:tcW w:type="dxa" w:w="1247"/>
          </w:tcPr>
          <w:p>
            <w:pPr>
              <w:spacing w:before="20" w:after="20" w:line="276" w:lineRule="auto"/>
              <w:ind w:firstLine="0"/>
            </w:pPr>
            <w:r/>
            <w:r>
              <w:rPr>
                <w:rFonts w:ascii="Times New Roman" w:hAnsi="Times New Roman" w:eastAsia="宋体"/>
                <w:b w:val="0"/>
                <w:i w:val="0"/>
                <w:sz w:val="21"/>
              </w:rPr>
              <w:t>业务部</w:t>
            </w:r>
          </w:p>
        </w:tc>
        <w:tc>
          <w:tcPr>
            <w:tcW w:type="dxa" w:w="6463"/>
          </w:tcPr>
          <w:p>
            <w:pPr>
              <w:spacing w:before="20" w:after="20" w:line="276" w:lineRule="auto"/>
              <w:ind w:firstLine="0"/>
            </w:pPr>
            <w:r/>
            <w:r>
              <w:rPr>
                <w:rFonts w:ascii="Times New Roman" w:hAnsi="Times New Roman" w:eastAsia="宋体"/>
                <w:b w:val="0"/>
                <w:i w:val="0"/>
                <w:sz w:val="21"/>
              </w:rPr>
              <w:t>我要审批保证金调整申请，以便保证金变动经过独立复核</w:t>
            </w:r>
          </w:p>
        </w:tc>
      </w:tr>
      <w:tr>
        <w:tc>
          <w:tcPr>
            <w:tcW w:type="dxa" w:w="1361"/>
          </w:tcPr>
          <w:p>
            <w:pPr>
              <w:spacing w:before="20" w:after="20" w:line="276" w:lineRule="auto"/>
              <w:ind w:firstLine="0"/>
            </w:pPr>
            <w:r/>
            <w:r>
              <w:rPr>
                <w:rFonts w:ascii="Times New Roman" w:hAnsi="Times New Roman" w:eastAsia="宋体"/>
                <w:b w:val="0"/>
                <w:i w:val="0"/>
                <w:sz w:val="21"/>
              </w:rPr>
              <w:t>风控部</w:t>
            </w:r>
          </w:p>
        </w:tc>
        <w:tc>
          <w:tcPr>
            <w:tcW w:type="dxa" w:w="1247"/>
          </w:tcPr>
          <w:p>
            <w:pPr>
              <w:spacing w:before="20" w:after="20" w:line="276" w:lineRule="auto"/>
              <w:ind w:firstLine="0"/>
            </w:pPr>
            <w:r/>
            <w:r>
              <w:rPr>
                <w:rFonts w:ascii="Times New Roman" w:hAnsi="Times New Roman" w:eastAsia="宋体"/>
                <w:b w:val="0"/>
                <w:i w:val="0"/>
                <w:sz w:val="21"/>
              </w:rPr>
              <w:t>风控部</w:t>
            </w:r>
          </w:p>
        </w:tc>
        <w:tc>
          <w:tcPr>
            <w:tcW w:type="dxa" w:w="6463"/>
          </w:tcPr>
          <w:p>
            <w:pPr>
              <w:spacing w:before="20" w:after="20" w:line="276" w:lineRule="auto"/>
              <w:ind w:firstLine="0"/>
            </w:pPr>
            <w:r/>
            <w:r>
              <w:rPr>
                <w:rFonts w:ascii="Times New Roman" w:hAnsi="Times New Roman" w:eastAsia="宋体"/>
                <w:b w:val="0"/>
                <w:i w:val="0"/>
                <w:sz w:val="21"/>
              </w:rPr>
              <w:t>我要跟踪保证金覆盖率与预警红线条目，以便及时触发追保函</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4.14.4　功能结构与范围</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474"/>
            <w:shd w:val="clear" w:color="auto" w:fill="DCE6F1"/>
          </w:tcPr>
          <w:p>
            <w:pPr>
              <w:spacing w:before="40" w:after="40" w:line="276" w:lineRule="auto"/>
              <w:jc w:val="center"/>
            </w:pPr>
            <w:r/>
            <w:r>
              <w:rPr>
                <w:rFonts w:ascii="Times New Roman" w:hAnsi="Times New Roman" w:eastAsia="黑体"/>
                <w:b/>
                <w:i w:val="0"/>
                <w:sz w:val="21"/>
              </w:rPr>
              <w:t>功能</w:t>
            </w:r>
          </w:p>
        </w:tc>
        <w:tc>
          <w:tcPr>
            <w:tcW w:type="dxa" w:w="3175"/>
            <w:shd w:val="clear" w:color="auto" w:fill="DCE6F1"/>
          </w:tcPr>
          <w:p>
            <w:pPr>
              <w:spacing w:before="40" w:after="40" w:line="276" w:lineRule="auto"/>
              <w:jc w:val="center"/>
            </w:pPr>
            <w:r/>
            <w:r>
              <w:rPr>
                <w:rFonts w:ascii="Times New Roman" w:hAnsi="Times New Roman" w:eastAsia="黑体"/>
                <w:b/>
                <w:i w:val="0"/>
                <w:sz w:val="21"/>
              </w:rPr>
              <w:t>功能说明</w:t>
            </w:r>
          </w:p>
        </w:tc>
        <w:tc>
          <w:tcPr>
            <w:tcW w:type="dxa" w:w="4422"/>
            <w:shd w:val="clear" w:color="auto" w:fill="DCE6F1"/>
          </w:tcPr>
          <w:p>
            <w:pPr>
              <w:spacing w:before="40" w:after="40" w:line="276" w:lineRule="auto"/>
              <w:jc w:val="center"/>
            </w:pPr>
            <w:r/>
            <w:r>
              <w:rPr>
                <w:rFonts w:ascii="Times New Roman" w:hAnsi="Times New Roman" w:eastAsia="黑体"/>
                <w:b/>
                <w:i w:val="0"/>
                <w:sz w:val="21"/>
              </w:rPr>
              <w:t>关键规则</w:t>
            </w:r>
          </w:p>
        </w:tc>
      </w:tr>
      <w:tr>
        <w:tc>
          <w:tcPr>
            <w:tcW w:type="dxa" w:w="1474"/>
          </w:tcPr>
          <w:p>
            <w:pPr>
              <w:spacing w:before="20" w:after="20" w:line="276" w:lineRule="auto"/>
              <w:ind w:firstLine="0"/>
            </w:pPr>
            <w:r/>
            <w:r>
              <w:rPr>
                <w:rFonts w:ascii="Times New Roman" w:hAnsi="Times New Roman" w:eastAsia="宋体"/>
                <w:b w:val="0"/>
                <w:i w:val="0"/>
                <w:sz w:val="21"/>
              </w:rPr>
              <w:t>保证金池列表与 KPI 汇总</w:t>
            </w:r>
          </w:p>
        </w:tc>
        <w:tc>
          <w:tcPr>
            <w:tcW w:type="dxa" w:w="3175"/>
          </w:tcPr>
          <w:p>
            <w:pPr>
              <w:spacing w:before="20" w:after="20" w:line="276" w:lineRule="auto"/>
              <w:ind w:firstLine="0"/>
            </w:pPr>
            <w:r/>
            <w:r>
              <w:rPr>
                <w:rFonts w:ascii="Times New Roman" w:hAnsi="Times New Roman" w:eastAsia="宋体"/>
                <w:b w:val="0"/>
                <w:i w:val="0"/>
                <w:sz w:val="21"/>
              </w:rPr>
              <w:t>按合同维度展示保证金余额、敞口与统计卡片，并支持按业务线筛选</w:t>
            </w:r>
          </w:p>
        </w:tc>
        <w:tc>
          <w:tcPr>
            <w:tcW w:type="dxa" w:w="4422"/>
          </w:tcPr>
          <w:p>
            <w:pPr>
              <w:spacing w:before="20" w:after="20" w:line="276" w:lineRule="auto"/>
              <w:ind w:firstLine="0"/>
            </w:pPr>
            <w:r/>
            <w:r>
              <w:rPr>
                <w:rFonts w:ascii="Times New Roman" w:hAnsi="Times New Roman" w:eastAsia="宋体"/>
                <w:b w:val="0"/>
                <w:i w:val="0"/>
                <w:sz w:val="21"/>
              </w:rPr>
              <w:t>统计卡片为应付保证金金额、已付保证金金额、已回款总金额、敞口金额、当前保证金金额、当前保证金比例；KPI 口径为付款总金额等于平台中所有采购合同的付款金额总和，已回款总金额等于平台中所有销售合同回款金额总和，敞口金额等于付款总金额减已回款总金额（不可颠倒），当前保证金金额等于已回款总金额乘保证金百分比，当前保证金比例等于当前保证金金额除以敞口金额乘百分之百并四舍五入保留两位小数；列表字段中的付款金额与已回款总金额取业务线上游与下游合同口径</w:t>
            </w:r>
          </w:p>
        </w:tc>
      </w:tr>
      <w:tr>
        <w:tc>
          <w:tcPr>
            <w:tcW w:type="dxa" w:w="1474"/>
          </w:tcPr>
          <w:p>
            <w:pPr>
              <w:spacing w:before="20" w:after="20" w:line="276" w:lineRule="auto"/>
              <w:ind w:firstLine="0"/>
            </w:pPr>
            <w:r/>
            <w:r>
              <w:rPr>
                <w:rFonts w:ascii="Times New Roman" w:hAnsi="Times New Roman" w:eastAsia="宋体"/>
                <w:b w:val="0"/>
                <w:i w:val="0"/>
                <w:sz w:val="21"/>
              </w:rPr>
              <w:t>待缴保证金记录自动生成</w:t>
            </w:r>
          </w:p>
        </w:tc>
        <w:tc>
          <w:tcPr>
            <w:tcW w:type="dxa" w:w="3175"/>
          </w:tcPr>
          <w:p>
            <w:pPr>
              <w:spacing w:before="20" w:after="20" w:line="276" w:lineRule="auto"/>
              <w:ind w:firstLine="0"/>
            </w:pPr>
            <w:r/>
            <w:r>
              <w:rPr>
                <w:rFonts w:ascii="Times New Roman" w:hAnsi="Times New Roman" w:eastAsia="宋体"/>
                <w:b w:val="0"/>
                <w:i w:val="0"/>
                <w:sz w:val="21"/>
              </w:rPr>
              <w:t>创建销售合同时按填写比例自动生成待缴保证金记录</w:t>
            </w:r>
          </w:p>
        </w:tc>
        <w:tc>
          <w:tcPr>
            <w:tcW w:type="dxa" w:w="4422"/>
          </w:tcPr>
          <w:p>
            <w:pPr>
              <w:spacing w:before="20" w:after="20" w:line="276" w:lineRule="auto"/>
              <w:ind w:firstLine="0"/>
            </w:pPr>
            <w:r/>
            <w:r>
              <w:rPr>
                <w:rFonts w:ascii="Times New Roman" w:hAnsi="Times New Roman" w:eastAsia="宋体"/>
                <w:b w:val="0"/>
                <w:i w:val="0"/>
                <w:sz w:val="21"/>
              </w:rPr>
              <w:t>创建销售合同时填写保证金比例即自动生成一条待缴保证金记录，保证金池列表按业务线汇总；保证金比例挂在合同上（合同设置比例），登记时用户可按实际应付调整</w:t>
            </w:r>
          </w:p>
        </w:tc>
      </w:tr>
      <w:tr>
        <w:tc>
          <w:tcPr>
            <w:tcW w:type="dxa" w:w="1474"/>
          </w:tcPr>
          <w:p>
            <w:pPr>
              <w:spacing w:before="20" w:after="20" w:line="276" w:lineRule="auto"/>
              <w:ind w:firstLine="0"/>
            </w:pPr>
            <w:r/>
            <w:r>
              <w:rPr>
                <w:rFonts w:ascii="Times New Roman" w:hAnsi="Times New Roman" w:eastAsia="宋体"/>
                <w:b w:val="0"/>
                <w:i w:val="0"/>
                <w:sz w:val="21"/>
              </w:rPr>
              <w:t>保证金登记</w:t>
            </w:r>
          </w:p>
        </w:tc>
        <w:tc>
          <w:tcPr>
            <w:tcW w:type="dxa" w:w="3175"/>
          </w:tcPr>
          <w:p>
            <w:pPr>
              <w:spacing w:before="20" w:after="20" w:line="276" w:lineRule="auto"/>
              <w:ind w:firstLine="0"/>
            </w:pPr>
            <w:r/>
            <w:r>
              <w:rPr>
                <w:rFonts w:ascii="Times New Roman" w:hAnsi="Times New Roman" w:eastAsia="宋体"/>
                <w:b w:val="0"/>
                <w:i w:val="0"/>
                <w:sz w:val="21"/>
              </w:rPr>
              <w:t>按合同登记本次实缴保证金金额并上传保证金单据</w:t>
            </w:r>
          </w:p>
        </w:tc>
        <w:tc>
          <w:tcPr>
            <w:tcW w:type="dxa" w:w="4422"/>
          </w:tcPr>
          <w:p>
            <w:pPr>
              <w:spacing w:before="20" w:after="20" w:line="276" w:lineRule="auto"/>
              <w:ind w:firstLine="0"/>
            </w:pPr>
            <w:r/>
            <w:r>
              <w:rPr>
                <w:rFonts w:ascii="Times New Roman" w:hAnsi="Times New Roman" w:eastAsia="宋体"/>
                <w:b w:val="0"/>
                <w:i w:val="0"/>
                <w:sz w:val="21"/>
              </w:rPr>
              <w:t>应付保证金金额默认回显合同实际应付值且可调整；合同设置比例默认回显且可调整；已付保证金金额仅回显不可调整，等于实际登记为保证金的凭证总金额；本次登记保证金金额为录入项；附件为保证金相应单据；登记金额超过应付保证金时顶部橙色提示「该合同保证金已足额，登记会超额」并提供「查看保证金池」链接，允许提交</w:t>
            </w:r>
          </w:p>
        </w:tc>
      </w:tr>
      <w:tr>
        <w:tc>
          <w:tcPr>
            <w:tcW w:type="dxa" w:w="1474"/>
          </w:tcPr>
          <w:p>
            <w:pPr>
              <w:spacing w:before="20" w:after="20" w:line="276" w:lineRule="auto"/>
              <w:ind w:firstLine="0"/>
            </w:pPr>
            <w:r/>
            <w:r>
              <w:rPr>
                <w:rFonts w:ascii="Times New Roman" w:hAnsi="Times New Roman" w:eastAsia="宋体"/>
                <w:b w:val="0"/>
                <w:i w:val="0"/>
                <w:sz w:val="21"/>
              </w:rPr>
              <w:t>保证金并发登记保护</w:t>
            </w:r>
          </w:p>
        </w:tc>
        <w:tc>
          <w:tcPr>
            <w:tcW w:type="dxa" w:w="3175"/>
          </w:tcPr>
          <w:p>
            <w:pPr>
              <w:spacing w:before="20" w:after="20" w:line="276" w:lineRule="auto"/>
              <w:ind w:firstLine="0"/>
            </w:pPr>
            <w:r/>
            <w:r>
              <w:rPr>
                <w:rFonts w:ascii="Times New Roman" w:hAnsi="Times New Roman" w:eastAsia="宋体"/>
                <w:b w:val="0"/>
                <w:i w:val="0"/>
                <w:sz w:val="21"/>
              </w:rPr>
              <w:t>提交登记时二次校验同合同已付金额</w:t>
            </w:r>
          </w:p>
        </w:tc>
        <w:tc>
          <w:tcPr>
            <w:tcW w:type="dxa" w:w="4422"/>
          </w:tcPr>
          <w:p>
            <w:pPr>
              <w:spacing w:before="20" w:after="20" w:line="276" w:lineRule="auto"/>
              <w:ind w:firstLine="0"/>
            </w:pPr>
            <w:r/>
            <w:r>
              <w:rPr>
                <w:rFonts w:ascii="Times New Roman" w:hAnsi="Times New Roman" w:eastAsia="宋体"/>
                <w:b w:val="0"/>
                <w:i w:val="0"/>
                <w:sz w:val="21"/>
              </w:rPr>
              <w:t>同一合同并发登记时提交前二次校验已付金额，被他人覆盖时提示「已被其他登记覆盖，请刷新后重试」并阻止</w:t>
            </w:r>
          </w:p>
        </w:tc>
      </w:tr>
      <w:tr>
        <w:tc>
          <w:tcPr>
            <w:tcW w:type="dxa" w:w="1474"/>
          </w:tcPr>
          <w:p>
            <w:pPr>
              <w:spacing w:before="20" w:after="20" w:line="276" w:lineRule="auto"/>
              <w:ind w:firstLine="0"/>
            </w:pPr>
            <w:r/>
            <w:r>
              <w:rPr>
                <w:rFonts w:ascii="Times New Roman" w:hAnsi="Times New Roman" w:eastAsia="宋体"/>
                <w:b w:val="0"/>
                <w:i w:val="0"/>
                <w:sz w:val="21"/>
              </w:rPr>
              <w:t>保证金调整（三种方式）</w:t>
            </w:r>
          </w:p>
        </w:tc>
        <w:tc>
          <w:tcPr>
            <w:tcW w:type="dxa" w:w="3175"/>
          </w:tcPr>
          <w:p>
            <w:pPr>
              <w:spacing w:before="20" w:after="20" w:line="276" w:lineRule="auto"/>
              <w:ind w:firstLine="0"/>
            </w:pPr>
            <w:r/>
            <w:r>
              <w:rPr>
                <w:rFonts w:ascii="Times New Roman" w:hAnsi="Times New Roman" w:eastAsia="宋体"/>
                <w:b w:val="0"/>
                <w:i w:val="0"/>
                <w:sz w:val="21"/>
              </w:rPr>
              <w:t>按冲抵货款、跨合同转移、保证金退款三种方式发起调整</w:t>
            </w:r>
          </w:p>
        </w:tc>
        <w:tc>
          <w:tcPr>
            <w:tcW w:type="dxa" w:w="4422"/>
          </w:tcPr>
          <w:p>
            <w:pPr>
              <w:spacing w:before="20" w:after="20" w:line="276" w:lineRule="auto"/>
              <w:ind w:firstLine="0"/>
            </w:pPr>
            <w:r/>
            <w:r>
              <w:rPr>
                <w:rFonts w:ascii="Times New Roman" w:hAnsi="Times New Roman" w:eastAsia="宋体"/>
                <w:b w:val="0"/>
                <w:i w:val="0"/>
                <w:sz w:val="21"/>
              </w:rPr>
              <w:t>调整金额必填，情况说明选填，附件非必填；冲抵货款金额与转移金额均不得超过当前保证金；转移目标合同仅限执行中或待上传双签合同，否则提示「请选择执行中或待上传双签合同」；保证金退款需填写收款账号名称（含账号与开户行）与退款日期；合同已作废时提示「合同已作废，无法调整」并阻止</w:t>
            </w:r>
          </w:p>
        </w:tc>
      </w:tr>
      <w:tr>
        <w:tc>
          <w:tcPr>
            <w:tcW w:type="dxa" w:w="1474"/>
          </w:tcPr>
          <w:p>
            <w:pPr>
              <w:spacing w:before="20" w:after="20" w:line="276" w:lineRule="auto"/>
              <w:ind w:firstLine="0"/>
            </w:pPr>
            <w:r/>
            <w:r>
              <w:rPr>
                <w:rFonts w:ascii="Times New Roman" w:hAnsi="Times New Roman" w:eastAsia="宋体"/>
                <w:b w:val="0"/>
                <w:i w:val="0"/>
                <w:sz w:val="21"/>
              </w:rPr>
              <w:t>等比例冲抵货款配置</w:t>
            </w:r>
          </w:p>
        </w:tc>
        <w:tc>
          <w:tcPr>
            <w:tcW w:type="dxa" w:w="3175"/>
          </w:tcPr>
          <w:p>
            <w:pPr>
              <w:spacing w:before="20" w:after="20" w:line="276" w:lineRule="auto"/>
              <w:ind w:firstLine="0"/>
            </w:pPr>
            <w:r/>
            <w:r>
              <w:rPr>
                <w:rFonts w:ascii="Times New Roman" w:hAnsi="Times New Roman" w:eastAsia="宋体"/>
                <w:b w:val="0"/>
                <w:i w:val="0"/>
                <w:sz w:val="21"/>
              </w:rPr>
              <w:t>在保证金池行上开启等比例冲抵货款并维护冲抵比例</w:t>
            </w:r>
          </w:p>
        </w:tc>
        <w:tc>
          <w:tcPr>
            <w:tcW w:type="dxa" w:w="4422"/>
          </w:tcPr>
          <w:p>
            <w:pPr>
              <w:spacing w:before="20" w:after="20" w:line="276" w:lineRule="auto"/>
              <w:ind w:firstLine="0"/>
            </w:pPr>
            <w:r/>
            <w:r>
              <w:rPr>
                <w:rFonts w:ascii="Times New Roman" w:hAnsi="Times New Roman" w:eastAsia="宋体"/>
                <w:b w:val="0"/>
                <w:i w:val="0"/>
                <w:sz w:val="21"/>
              </w:rPr>
              <w:t>仅当该合同已付金额不低于应付总额时允许开启，未足额时开关禁用并显示红字「未足额」徽标与具体差额提示；修改冲抵比例需二次确认，未来笔按新比例计算、已完成不回溯，变更记录最多保留 10 条；配置入口统一在保证金池页，登记页与详情页只读回显</w:t>
            </w:r>
          </w:p>
        </w:tc>
      </w:tr>
      <w:tr>
        <w:tc>
          <w:tcPr>
            <w:tcW w:type="dxa" w:w="1474"/>
          </w:tcPr>
          <w:p>
            <w:pPr>
              <w:spacing w:before="20" w:after="20" w:line="276" w:lineRule="auto"/>
              <w:ind w:firstLine="0"/>
            </w:pPr>
            <w:r/>
            <w:r>
              <w:rPr>
                <w:rFonts w:ascii="Times New Roman" w:hAnsi="Times New Roman" w:eastAsia="宋体"/>
                <w:b w:val="0"/>
                <w:i w:val="0"/>
                <w:sz w:val="21"/>
              </w:rPr>
              <w:t>调整记录与流水追溯</w:t>
            </w:r>
          </w:p>
        </w:tc>
        <w:tc>
          <w:tcPr>
            <w:tcW w:type="dxa" w:w="3175"/>
          </w:tcPr>
          <w:p>
            <w:pPr>
              <w:spacing w:before="20" w:after="20" w:line="276" w:lineRule="auto"/>
              <w:ind w:firstLine="0"/>
            </w:pPr>
            <w:r/>
            <w:r>
              <w:rPr>
                <w:rFonts w:ascii="Times New Roman" w:hAnsi="Times New Roman" w:eastAsia="宋体"/>
                <w:b w:val="0"/>
                <w:i w:val="0"/>
                <w:sz w:val="21"/>
              </w:rPr>
              <w:t>沉淀保证金变动的全过程记录</w:t>
            </w:r>
          </w:p>
        </w:tc>
        <w:tc>
          <w:tcPr>
            <w:tcW w:type="dxa" w:w="4422"/>
          </w:tcPr>
          <w:p>
            <w:pPr>
              <w:spacing w:before="20" w:after="20" w:line="276" w:lineRule="auto"/>
              <w:ind w:firstLine="0"/>
            </w:pPr>
            <w:r/>
            <w:r>
              <w:rPr>
                <w:rFonts w:ascii="Times New Roman" w:hAnsi="Times New Roman" w:eastAsia="宋体"/>
                <w:b w:val="0"/>
                <w:i w:val="0"/>
                <w:sz w:val="21"/>
              </w:rPr>
              <w:t>调整记录覆盖登记记录、修改记录、划账记录、配置比例记录四类；每次登记或调整生成一条流水记录，记录类型枚举值与分类法的对应关系待确认</w:t>
            </w:r>
          </w:p>
        </w:tc>
      </w:tr>
      <w:tr>
        <w:tc>
          <w:tcPr>
            <w:tcW w:type="dxa" w:w="1474"/>
          </w:tcPr>
          <w:p>
            <w:pPr>
              <w:spacing w:before="20" w:after="20" w:line="276" w:lineRule="auto"/>
              <w:ind w:firstLine="0"/>
            </w:pPr>
            <w:r/>
            <w:r>
              <w:rPr>
                <w:rFonts w:ascii="Times New Roman" w:hAnsi="Times New Roman" w:eastAsia="宋体"/>
                <w:b w:val="0"/>
                <w:i w:val="0"/>
                <w:sz w:val="21"/>
              </w:rPr>
              <w:t>余额预警与追保函联动</w:t>
            </w:r>
          </w:p>
        </w:tc>
        <w:tc>
          <w:tcPr>
            <w:tcW w:type="dxa" w:w="3175"/>
          </w:tcPr>
          <w:p>
            <w:pPr>
              <w:spacing w:before="20" w:after="20" w:line="276" w:lineRule="auto"/>
              <w:ind w:firstLine="0"/>
            </w:pPr>
            <w:r/>
            <w:r>
              <w:rPr>
                <w:rFonts w:ascii="Times New Roman" w:hAnsi="Times New Roman" w:eastAsia="宋体"/>
                <w:b w:val="0"/>
                <w:i w:val="0"/>
                <w:sz w:val="21"/>
              </w:rPr>
              <w:t>保证金余额跌破阈值时按线别产生动作</w:t>
            </w:r>
          </w:p>
        </w:tc>
        <w:tc>
          <w:tcPr>
            <w:tcW w:type="dxa" w:w="4422"/>
          </w:tcPr>
          <w:p>
            <w:pPr>
              <w:spacing w:before="20" w:after="20" w:line="276" w:lineRule="auto"/>
              <w:ind w:firstLine="0"/>
            </w:pPr>
            <w:r/>
            <w:r>
              <w:rPr>
                <w:rFonts w:ascii="Times New Roman" w:hAnsi="Times New Roman" w:eastAsia="宋体"/>
                <w:b w:val="0"/>
                <w:i w:val="0"/>
                <w:sz w:val="21"/>
              </w:rPr>
              <w:t>余额跌破预警线提示「客户 X 保证金余额跌破预警线」为黄灯提醒；余额跌破红线提示「客户 X 保证金余额跌破红线」并触发追保函；客户已被冻结提示「客户 X 已被冻结，不能调整保证金」，客户已作废提示「客户 X 已作废，不能调整保证金」，两种情况均阻止调整</w:t>
            </w:r>
          </w:p>
        </w:tc>
      </w:tr>
      <w:tr>
        <w:tc>
          <w:tcPr>
            <w:tcW w:type="dxa" w:w="1474"/>
          </w:tcPr>
          <w:p>
            <w:pPr>
              <w:spacing w:before="20" w:after="20" w:line="276" w:lineRule="auto"/>
              <w:ind w:firstLine="0"/>
            </w:pPr>
            <w:r/>
            <w:r>
              <w:rPr>
                <w:rFonts w:ascii="Times New Roman" w:hAnsi="Times New Roman" w:eastAsia="宋体"/>
                <w:b w:val="0"/>
                <w:i w:val="0"/>
                <w:sz w:val="21"/>
              </w:rPr>
              <w:t>金额上限与余额口径校验</w:t>
            </w:r>
          </w:p>
        </w:tc>
        <w:tc>
          <w:tcPr>
            <w:tcW w:type="dxa" w:w="3175"/>
          </w:tcPr>
          <w:p>
            <w:pPr>
              <w:spacing w:before="20" w:after="20" w:line="276" w:lineRule="auto"/>
              <w:ind w:firstLine="0"/>
            </w:pPr>
            <w:r/>
            <w:r>
              <w:rPr>
                <w:rFonts w:ascii="Times New Roman" w:hAnsi="Times New Roman" w:eastAsia="宋体"/>
                <w:b w:val="0"/>
                <w:i w:val="0"/>
                <w:sz w:val="21"/>
              </w:rPr>
              <w:t>约束调整金额与余额计算口径</w:t>
            </w:r>
          </w:p>
        </w:tc>
        <w:tc>
          <w:tcPr>
            <w:tcW w:type="dxa" w:w="4422"/>
          </w:tcPr>
          <w:p>
            <w:pPr>
              <w:spacing w:before="20" w:after="20" w:line="276" w:lineRule="auto"/>
              <w:ind w:firstLine="0"/>
            </w:pPr>
            <w:r/>
            <w:r>
              <w:rPr>
                <w:rFonts w:ascii="Times New Roman" w:hAnsi="Times New Roman" w:eastAsia="宋体"/>
                <w:b w:val="0"/>
                <w:i w:val="0"/>
                <w:sz w:val="21"/>
              </w:rPr>
              <w:t>扣减金额不得超过可用余额，否则提示「扣减金额 X 超过可用余额 Y」并阻止；冲抵金额不得超过订单未付金额，否则提示「冲抵金额 X 超过订单未付金额 Y」并阻止；可用余额等于总余额减已占用余额</w:t>
            </w:r>
          </w:p>
        </w:tc>
      </w:tr>
      <w:tr>
        <w:tc>
          <w:tcPr>
            <w:tcW w:type="dxa" w:w="1474"/>
          </w:tcPr>
          <w:p>
            <w:pPr>
              <w:spacing w:before="20" w:after="20" w:line="276" w:lineRule="auto"/>
              <w:ind w:firstLine="0"/>
            </w:pPr>
            <w:r/>
            <w:r>
              <w:rPr>
                <w:rFonts w:ascii="Times New Roman" w:hAnsi="Times New Roman" w:eastAsia="宋体"/>
                <w:b w:val="0"/>
                <w:i w:val="0"/>
                <w:sz w:val="21"/>
              </w:rPr>
              <w:t>OA 审批与 NC 回传</w:t>
            </w:r>
          </w:p>
        </w:tc>
        <w:tc>
          <w:tcPr>
            <w:tcW w:type="dxa" w:w="3175"/>
          </w:tcPr>
          <w:p>
            <w:pPr>
              <w:spacing w:before="20" w:after="20" w:line="276" w:lineRule="auto"/>
              <w:ind w:firstLine="0"/>
            </w:pPr>
            <w:r/>
            <w:r>
              <w:rPr>
                <w:rFonts w:ascii="Times New Roman" w:hAnsi="Times New Roman" w:eastAsia="宋体"/>
                <w:b w:val="0"/>
                <w:i w:val="0"/>
                <w:sz w:val="21"/>
              </w:rPr>
              <w:t>调整单走外部 OA 审批，退款方式在 NC 完成打款后回传实际金额</w:t>
            </w:r>
          </w:p>
        </w:tc>
        <w:tc>
          <w:tcPr>
            <w:tcW w:type="dxa" w:w="4422"/>
          </w:tcPr>
          <w:p>
            <w:pPr>
              <w:spacing w:before="20" w:after="20" w:line="276" w:lineRule="auto"/>
              <w:ind w:firstLine="0"/>
            </w:pPr>
            <w:r/>
            <w:r>
              <w:rPr>
                <w:rFonts w:ascii="Times New Roman" w:hAnsi="Times New Roman" w:eastAsia="宋体"/>
                <w:b w:val="0"/>
                <w:i w:val="0"/>
                <w:sz w:val="21"/>
              </w:rPr>
              <w:t>仅保证金退款走 OA 与 NC，回款本身不直接走 OA；OA 审核通过后更新保证金池余额并生成流水记录，审核驳回后在调整详情页支持调整后重提；NC 完成打款后回传实际金额，详情页操作记录页签自动回显，差额自动调整</w:t>
            </w:r>
          </w:p>
        </w:tc>
      </w:tr>
    </w:tbl>
    <w:p>
      <w:pPr>
        <w:spacing w:before="0" w:after="0" w:line="240" w:lineRule="auto"/>
      </w:pP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tblGrid>
      <w:tr>
        <w:trPr>
          <w:tblHeader w:val="true"/>
        </w:trPr>
        <w:tc>
          <w:tcPr>
            <w:tcW w:type="dxa" w:w="1247"/>
            <w:shd w:val="clear" w:color="auto" w:fill="DCE6F1"/>
          </w:tcPr>
          <w:p>
            <w:pPr>
              <w:spacing w:before="40" w:after="40" w:line="276" w:lineRule="auto"/>
              <w:jc w:val="center"/>
            </w:pPr>
            <w:r/>
            <w:r>
              <w:rPr>
                <w:rFonts w:ascii="Times New Roman" w:hAnsi="Times New Roman" w:eastAsia="黑体"/>
                <w:b/>
                <w:i w:val="0"/>
                <w:sz w:val="19"/>
              </w:rPr>
              <w:t>页面</w:t>
            </w:r>
          </w:p>
        </w:tc>
        <w:tc>
          <w:tcPr>
            <w:tcW w:type="dxa" w:w="1474"/>
            <w:shd w:val="clear" w:color="auto" w:fill="DCE6F1"/>
          </w:tcPr>
          <w:p>
            <w:pPr>
              <w:spacing w:before="40" w:after="40" w:line="276" w:lineRule="auto"/>
              <w:jc w:val="center"/>
            </w:pPr>
            <w:r/>
            <w:r>
              <w:rPr>
                <w:rFonts w:ascii="Times New Roman" w:hAnsi="Times New Roman" w:eastAsia="黑体"/>
                <w:b/>
                <w:i w:val="0"/>
                <w:sz w:val="19"/>
              </w:rPr>
              <w:t>文件</w:t>
            </w:r>
          </w:p>
        </w:tc>
        <w:tc>
          <w:tcPr>
            <w:tcW w:type="dxa" w:w="1134"/>
            <w:shd w:val="clear" w:color="auto" w:fill="DCE6F1"/>
          </w:tcPr>
          <w:p>
            <w:pPr>
              <w:spacing w:before="40" w:after="40" w:line="276" w:lineRule="auto"/>
              <w:jc w:val="center"/>
            </w:pPr>
            <w:r/>
            <w:r>
              <w:rPr>
                <w:rFonts w:ascii="Times New Roman" w:hAnsi="Times New Roman" w:eastAsia="黑体"/>
                <w:b/>
                <w:i w:val="0"/>
                <w:sz w:val="19"/>
              </w:rPr>
              <w:t>入口</w:t>
            </w:r>
          </w:p>
        </w:tc>
        <w:tc>
          <w:tcPr>
            <w:tcW w:type="dxa" w:w="2041"/>
            <w:shd w:val="clear" w:color="auto" w:fill="DCE6F1"/>
          </w:tcPr>
          <w:p>
            <w:pPr>
              <w:spacing w:before="40" w:after="40" w:line="276" w:lineRule="auto"/>
              <w:jc w:val="center"/>
            </w:pPr>
            <w:r/>
            <w:r>
              <w:rPr>
                <w:rFonts w:ascii="Times New Roman" w:hAnsi="Times New Roman" w:eastAsia="黑体"/>
                <w:b/>
                <w:i w:val="0"/>
                <w:sz w:val="19"/>
              </w:rPr>
              <w:t>主要区块</w:t>
            </w:r>
          </w:p>
        </w:tc>
        <w:tc>
          <w:tcPr>
            <w:tcW w:type="dxa" w:w="1701"/>
            <w:shd w:val="clear" w:color="auto" w:fill="DCE6F1"/>
          </w:tcPr>
          <w:p>
            <w:pPr>
              <w:spacing w:before="40" w:after="40" w:line="276" w:lineRule="auto"/>
              <w:jc w:val="center"/>
            </w:pPr>
            <w:r/>
            <w:r>
              <w:rPr>
                <w:rFonts w:ascii="Times New Roman" w:hAnsi="Times New Roman" w:eastAsia="黑体"/>
                <w:b/>
                <w:i w:val="0"/>
                <w:sz w:val="19"/>
              </w:rPr>
              <w:t>主要操作</w:t>
            </w:r>
          </w:p>
        </w:tc>
        <w:tc>
          <w:tcPr>
            <w:tcW w:type="dxa" w:w="1474"/>
            <w:shd w:val="clear" w:color="auto" w:fill="DCE6F1"/>
          </w:tcPr>
          <w:p>
            <w:pPr>
              <w:spacing w:before="40" w:after="40" w:line="276" w:lineRule="auto"/>
              <w:jc w:val="center"/>
            </w:pPr>
            <w:r/>
            <w:r>
              <w:rPr>
                <w:rFonts w:ascii="Times New Roman" w:hAnsi="Times New Roman" w:eastAsia="黑体"/>
                <w:b/>
                <w:i w:val="0"/>
                <w:sz w:val="19"/>
              </w:rPr>
              <w:t>跳转</w:t>
            </w:r>
          </w:p>
        </w:tc>
      </w:tr>
      <w:tr>
        <w:tc>
          <w:tcPr>
            <w:tcW w:type="dxa" w:w="1247"/>
          </w:tcPr>
          <w:p>
            <w:pPr>
              <w:spacing w:before="20" w:after="20" w:line="276" w:lineRule="auto"/>
              <w:ind w:firstLine="0"/>
            </w:pPr>
            <w:r/>
            <w:r>
              <w:rPr>
                <w:rFonts w:ascii="Times New Roman" w:hAnsi="Times New Roman" w:eastAsia="宋体"/>
                <w:b w:val="0"/>
                <w:i w:val="0"/>
                <w:sz w:val="19"/>
              </w:rPr>
              <w:t>保证金管理（保证金池列表）</w:t>
            </w:r>
          </w:p>
        </w:tc>
        <w:tc>
          <w:tcPr>
            <w:tcW w:type="dxa" w:w="1474"/>
          </w:tcPr>
          <w:p>
            <w:pPr>
              <w:spacing w:before="20" w:after="20" w:line="276" w:lineRule="auto"/>
              <w:ind w:firstLine="0"/>
            </w:pPr>
            <w:r/>
            <w:r>
              <w:rPr>
                <w:rFonts w:ascii="Times New Roman" w:hAnsi="Times New Roman" w:eastAsia="宋体"/>
                <w:b w:val="0"/>
                <w:i w:val="0"/>
                <w:sz w:val="19"/>
              </w:rPr>
              <w:t>margin-pool.html</w:t>
            </w:r>
          </w:p>
        </w:tc>
        <w:tc>
          <w:tcPr>
            <w:tcW w:type="dxa" w:w="1134"/>
          </w:tcPr>
          <w:p>
            <w:pPr>
              <w:spacing w:before="20" w:after="20" w:line="276" w:lineRule="auto"/>
              <w:ind w:firstLine="0"/>
            </w:pPr>
            <w:r/>
            <w:r>
              <w:rPr>
                <w:rFonts w:ascii="Times New Roman" w:hAnsi="Times New Roman" w:eastAsia="宋体"/>
                <w:b w:val="0"/>
                <w:i w:val="0"/>
                <w:sz w:val="19"/>
              </w:rPr>
              <w:t>数字供应链 / 资金管理 / 保证金管理</w:t>
            </w:r>
          </w:p>
        </w:tc>
        <w:tc>
          <w:tcPr>
            <w:tcW w:type="dxa" w:w="2041"/>
          </w:tcPr>
          <w:p>
            <w:pPr>
              <w:spacing w:before="20" w:after="20" w:line="276" w:lineRule="auto"/>
              <w:ind w:firstLine="0"/>
            </w:pPr>
            <w:r/>
            <w:r>
              <w:rPr>
                <w:rFonts w:ascii="Times New Roman" w:hAnsi="Times New Roman" w:eastAsia="宋体"/>
                <w:b w:val="0"/>
                <w:i w:val="0"/>
                <w:sz w:val="19"/>
              </w:rPr>
              <w:t>6 张统计卡片 + 业务线筛选下拉 + 13 列表格（销售订单或单批次合同编号、买方企业、品名、合同数量、当前比例与合同应缴比例、应付保证金金额、已付保证金金额、已回款总金额、敞口金额、保证金金额、合同签订日期、等比例冲抵货款、操作）</w:t>
            </w:r>
          </w:p>
        </w:tc>
        <w:tc>
          <w:tcPr>
            <w:tcW w:type="dxa" w:w="1701"/>
          </w:tcPr>
          <w:p>
            <w:pPr>
              <w:spacing w:before="20" w:after="20" w:line="276" w:lineRule="auto"/>
              <w:ind w:firstLine="0"/>
            </w:pPr>
            <w:r/>
            <w:r>
              <w:rPr>
                <w:rFonts w:ascii="Times New Roman" w:hAnsi="Times New Roman" w:eastAsia="宋体"/>
                <w:b w:val="0"/>
                <w:i w:val="0"/>
                <w:sz w:val="19"/>
              </w:rPr>
              <w:t>查询 / 重置 / 确定 / 取消 / 行内登记保证金 / 详情 / 调整 / 等比例冲抵货款开关与调整比例 / 变更记录</w:t>
            </w:r>
          </w:p>
        </w:tc>
        <w:tc>
          <w:tcPr>
            <w:tcW w:type="dxa" w:w="1474"/>
          </w:tcPr>
          <w:p>
            <w:pPr>
              <w:spacing w:before="20" w:after="20" w:line="276" w:lineRule="auto"/>
              <w:ind w:firstLine="0"/>
            </w:pPr>
            <w:r/>
            <w:r>
              <w:rPr>
                <w:rFonts w:ascii="Times New Roman" w:hAnsi="Times New Roman" w:eastAsia="宋体"/>
                <w:b w:val="0"/>
                <w:i w:val="0"/>
                <w:sz w:val="19"/>
              </w:rPr>
              <w:t>行内登记保证金跳转到保证金登记页 margin-register.html；行内调整跳转到保证金调整页 margin-adjust.html；行内详情跳转到保证金调整记录详情页 margin-adjust-detail.html</w:t>
            </w:r>
          </w:p>
        </w:tc>
      </w:tr>
      <w:tr>
        <w:tc>
          <w:tcPr>
            <w:tcW w:type="dxa" w:w="1247"/>
          </w:tcPr>
          <w:p>
            <w:pPr>
              <w:spacing w:before="20" w:after="20" w:line="276" w:lineRule="auto"/>
              <w:ind w:firstLine="0"/>
            </w:pPr>
            <w:r/>
            <w:r>
              <w:rPr>
                <w:rFonts w:ascii="Times New Roman" w:hAnsi="Times New Roman" w:eastAsia="宋体"/>
                <w:b w:val="0"/>
                <w:i w:val="0"/>
                <w:sz w:val="19"/>
              </w:rPr>
              <w:t>保证金登记</w:t>
            </w:r>
          </w:p>
        </w:tc>
        <w:tc>
          <w:tcPr>
            <w:tcW w:type="dxa" w:w="1474"/>
          </w:tcPr>
          <w:p>
            <w:pPr>
              <w:spacing w:before="20" w:after="20" w:line="276" w:lineRule="auto"/>
              <w:ind w:firstLine="0"/>
            </w:pPr>
            <w:r/>
            <w:r>
              <w:rPr>
                <w:rFonts w:ascii="Times New Roman" w:hAnsi="Times New Roman" w:eastAsia="宋体"/>
                <w:b w:val="0"/>
                <w:i w:val="0"/>
                <w:sz w:val="19"/>
              </w:rPr>
              <w:t>margin-register.html</w:t>
            </w:r>
          </w:p>
        </w:tc>
        <w:tc>
          <w:tcPr>
            <w:tcW w:type="dxa" w:w="1134"/>
          </w:tcPr>
          <w:p>
            <w:pPr>
              <w:spacing w:before="20" w:after="20" w:line="276" w:lineRule="auto"/>
              <w:ind w:firstLine="0"/>
            </w:pPr>
            <w:r/>
            <w:r>
              <w:rPr>
                <w:rFonts w:ascii="Times New Roman" w:hAnsi="Times New Roman" w:eastAsia="宋体"/>
                <w:b w:val="0"/>
                <w:i w:val="0"/>
                <w:sz w:val="19"/>
              </w:rPr>
              <w:t>保证金池列表行内「登记保证金」（无独立一级菜单入口）</w:t>
            </w:r>
          </w:p>
        </w:tc>
        <w:tc>
          <w:tcPr>
            <w:tcW w:type="dxa" w:w="2041"/>
          </w:tcPr>
          <w:p>
            <w:pPr>
              <w:spacing w:before="20" w:after="20" w:line="276" w:lineRule="auto"/>
              <w:ind w:firstLine="0"/>
            </w:pPr>
            <w:r/>
            <w:r>
              <w:rPr>
                <w:rFonts w:ascii="Times New Roman" w:hAnsi="Times New Roman" w:eastAsia="宋体"/>
                <w:b w:val="0"/>
                <w:i w:val="0"/>
                <w:sz w:val="19"/>
              </w:rPr>
              <w:t>销售合同信息 + 登记信息（应付保证金金额、合同设置比例、已付保证金金额、本次登记保证金金额）+ 附件 + 等比例冲抵配置只读回显</w:t>
            </w:r>
          </w:p>
        </w:tc>
        <w:tc>
          <w:tcPr>
            <w:tcW w:type="dxa" w:w="1701"/>
          </w:tcPr>
          <w:p>
            <w:pPr>
              <w:spacing w:before="20" w:after="20" w:line="276" w:lineRule="auto"/>
              <w:ind w:firstLine="0"/>
            </w:pPr>
            <w:r/>
            <w:r>
              <w:rPr>
                <w:rFonts w:ascii="Times New Roman" w:hAnsi="Times New Roman" w:eastAsia="宋体"/>
                <w:b w:val="0"/>
                <w:i w:val="0"/>
                <w:sz w:val="19"/>
              </w:rPr>
              <w:t>上传 / 提交 / 取消 / 确定</w:t>
            </w:r>
          </w:p>
        </w:tc>
        <w:tc>
          <w:tcPr>
            <w:tcW w:type="dxa" w:w="1474"/>
          </w:tcPr>
          <w:p>
            <w:pPr>
              <w:spacing w:before="20" w:after="20" w:line="276" w:lineRule="auto"/>
              <w:ind w:firstLine="0"/>
            </w:pPr>
            <w:r/>
            <w:r>
              <w:rPr>
                <w:rFonts w:ascii="Times New Roman" w:hAnsi="Times New Roman" w:eastAsia="宋体"/>
                <w:b w:val="0"/>
                <w:i w:val="0"/>
                <w:sz w:val="19"/>
              </w:rPr>
              <w:t>提交成功后回到保证金池列表，余额更新并生成一条流水记录</w:t>
            </w:r>
          </w:p>
        </w:tc>
      </w:tr>
      <w:tr>
        <w:tc>
          <w:tcPr>
            <w:tcW w:type="dxa" w:w="1247"/>
          </w:tcPr>
          <w:p>
            <w:pPr>
              <w:spacing w:before="20" w:after="20" w:line="276" w:lineRule="auto"/>
              <w:ind w:firstLine="0"/>
            </w:pPr>
            <w:r/>
            <w:r>
              <w:rPr>
                <w:rFonts w:ascii="Times New Roman" w:hAnsi="Times New Roman" w:eastAsia="宋体"/>
                <w:b w:val="0"/>
                <w:i w:val="0"/>
                <w:sz w:val="19"/>
              </w:rPr>
              <w:t>保证金调整</w:t>
            </w:r>
          </w:p>
        </w:tc>
        <w:tc>
          <w:tcPr>
            <w:tcW w:type="dxa" w:w="1474"/>
          </w:tcPr>
          <w:p>
            <w:pPr>
              <w:spacing w:before="20" w:after="20" w:line="276" w:lineRule="auto"/>
              <w:ind w:firstLine="0"/>
            </w:pPr>
            <w:r/>
            <w:r>
              <w:rPr>
                <w:rFonts w:ascii="Times New Roman" w:hAnsi="Times New Roman" w:eastAsia="宋体"/>
                <w:b w:val="0"/>
                <w:i w:val="0"/>
                <w:sz w:val="19"/>
              </w:rPr>
              <w:t>margin-adjust.html</w:t>
            </w:r>
          </w:p>
        </w:tc>
        <w:tc>
          <w:tcPr>
            <w:tcW w:type="dxa" w:w="1134"/>
          </w:tcPr>
          <w:p>
            <w:pPr>
              <w:spacing w:before="20" w:after="20" w:line="276" w:lineRule="auto"/>
              <w:ind w:firstLine="0"/>
            </w:pPr>
            <w:r/>
            <w:r>
              <w:rPr>
                <w:rFonts w:ascii="Times New Roman" w:hAnsi="Times New Roman" w:eastAsia="宋体"/>
                <w:b w:val="0"/>
                <w:i w:val="0"/>
                <w:sz w:val="19"/>
              </w:rPr>
              <w:t>保证金池列表行内「调整」</w:t>
            </w:r>
          </w:p>
        </w:tc>
        <w:tc>
          <w:tcPr>
            <w:tcW w:type="dxa" w:w="2041"/>
          </w:tcPr>
          <w:p>
            <w:pPr>
              <w:spacing w:before="20" w:after="20" w:line="276" w:lineRule="auto"/>
              <w:ind w:firstLine="0"/>
            </w:pPr>
            <w:r/>
            <w:r>
              <w:rPr>
                <w:rFonts w:ascii="Times New Roman" w:hAnsi="Times New Roman" w:eastAsia="宋体"/>
                <w:b w:val="0"/>
                <w:i w:val="0"/>
                <w:sz w:val="19"/>
              </w:rPr>
              <w:t>调整方式选择 + 选择销售订单合同 + 冲抵或退款明细 + 附件区 + 调整列表</w:t>
            </w:r>
          </w:p>
        </w:tc>
        <w:tc>
          <w:tcPr>
            <w:tcW w:type="dxa" w:w="1701"/>
          </w:tcPr>
          <w:p>
            <w:pPr>
              <w:spacing w:before="20" w:after="20" w:line="276" w:lineRule="auto"/>
              <w:ind w:firstLine="0"/>
            </w:pPr>
            <w:r/>
            <w:r>
              <w:rPr>
                <w:rFonts w:ascii="Times New Roman" w:hAnsi="Times New Roman" w:eastAsia="宋体"/>
                <w:b w:val="0"/>
                <w:i w:val="0"/>
                <w:sz w:val="19"/>
              </w:rPr>
              <w:t>选择销售订单合同 / 上传 / 查询 / 确定 / 重置 / 提交 / 取消</w:t>
            </w:r>
          </w:p>
        </w:tc>
        <w:tc>
          <w:tcPr>
            <w:tcW w:type="dxa" w:w="1474"/>
          </w:tcPr>
          <w:p>
            <w:pPr>
              <w:spacing w:before="20" w:after="20" w:line="276" w:lineRule="auto"/>
              <w:ind w:firstLine="0"/>
            </w:pPr>
            <w:r/>
            <w:r>
              <w:rPr>
                <w:rFonts w:ascii="Times New Roman" w:hAnsi="Times New Roman" w:eastAsia="宋体"/>
                <w:b w:val="0"/>
                <w:i w:val="0"/>
                <w:sz w:val="19"/>
              </w:rPr>
              <w:t>提交后进入 OA 审核，审核结果回流保证金调整记录详情页 margin-adjust-detail.html</w:t>
            </w:r>
          </w:p>
        </w:tc>
      </w:tr>
      <w:tr>
        <w:tc>
          <w:tcPr>
            <w:tcW w:type="dxa" w:w="1247"/>
          </w:tcPr>
          <w:p>
            <w:pPr>
              <w:spacing w:before="20" w:after="20" w:line="276" w:lineRule="auto"/>
              <w:ind w:firstLine="0"/>
            </w:pPr>
            <w:r/>
            <w:r>
              <w:rPr>
                <w:rFonts w:ascii="Times New Roman" w:hAnsi="Times New Roman" w:eastAsia="宋体"/>
                <w:b w:val="0"/>
                <w:i w:val="0"/>
                <w:sz w:val="19"/>
              </w:rPr>
              <w:t>保证金调整记录详情</w:t>
            </w:r>
          </w:p>
        </w:tc>
        <w:tc>
          <w:tcPr>
            <w:tcW w:type="dxa" w:w="1474"/>
          </w:tcPr>
          <w:p>
            <w:pPr>
              <w:spacing w:before="20" w:after="20" w:line="276" w:lineRule="auto"/>
              <w:ind w:firstLine="0"/>
            </w:pPr>
            <w:r/>
            <w:r>
              <w:rPr>
                <w:rFonts w:ascii="Times New Roman" w:hAnsi="Times New Roman" w:eastAsia="宋体"/>
                <w:b w:val="0"/>
                <w:i w:val="0"/>
                <w:sz w:val="19"/>
              </w:rPr>
              <w:t>margin-adjust-detail.html</w:t>
            </w:r>
          </w:p>
        </w:tc>
        <w:tc>
          <w:tcPr>
            <w:tcW w:type="dxa" w:w="1134"/>
          </w:tcPr>
          <w:p>
            <w:pPr>
              <w:spacing w:before="20" w:after="20" w:line="276" w:lineRule="auto"/>
              <w:ind w:firstLine="0"/>
            </w:pPr>
            <w:r/>
            <w:r>
              <w:rPr>
                <w:rFonts w:ascii="Times New Roman" w:hAnsi="Times New Roman" w:eastAsia="宋体"/>
                <w:b w:val="0"/>
                <w:i w:val="0"/>
                <w:sz w:val="19"/>
              </w:rPr>
              <w:t>保证金池行内详情、保证金调整提交后跳转</w:t>
            </w:r>
          </w:p>
        </w:tc>
        <w:tc>
          <w:tcPr>
            <w:tcW w:type="dxa" w:w="2041"/>
          </w:tcPr>
          <w:p>
            <w:pPr>
              <w:spacing w:before="20" w:after="20" w:line="276" w:lineRule="auto"/>
              <w:ind w:firstLine="0"/>
            </w:pPr>
            <w:r/>
            <w:r>
              <w:rPr>
                <w:rFonts w:ascii="Times New Roman" w:hAnsi="Times New Roman" w:eastAsia="宋体"/>
                <w:b w:val="0"/>
                <w:i w:val="0"/>
                <w:sz w:val="19"/>
              </w:rPr>
              <w:t>销售订单或单批次合同信息 + 调整详情 + 操作记录页签</w:t>
            </w:r>
          </w:p>
        </w:tc>
        <w:tc>
          <w:tcPr>
            <w:tcW w:type="dxa" w:w="1701"/>
          </w:tcPr>
          <w:p>
            <w:pPr>
              <w:spacing w:before="20" w:after="20" w:line="276" w:lineRule="auto"/>
              <w:ind w:firstLine="0"/>
            </w:pPr>
            <w:r/>
            <w:r>
              <w:rPr>
                <w:rFonts w:ascii="Times New Roman" w:hAnsi="Times New Roman" w:eastAsia="宋体"/>
                <w:b w:val="0"/>
                <w:i w:val="0"/>
                <w:sz w:val="19"/>
              </w:rPr>
              <w:t>保存 / 取消 / 返回 / 设置等比例冲抵货款比例</w:t>
            </w:r>
          </w:p>
        </w:tc>
        <w:tc>
          <w:tcPr>
            <w:tcW w:type="dxa" w:w="1474"/>
          </w:tcPr>
          <w:p>
            <w:pPr>
              <w:spacing w:before="20" w:after="20" w:line="276" w:lineRule="auto"/>
              <w:ind w:firstLine="0"/>
            </w:pPr>
            <w:r/>
            <w:r>
              <w:rPr>
                <w:rFonts w:ascii="Times New Roman" w:hAnsi="Times New Roman" w:eastAsia="宋体"/>
                <w:b w:val="0"/>
                <w:i w:val="0"/>
                <w:sz w:val="19"/>
              </w:rPr>
              <w:t>可跳回保证金池列表与相关合同、追保函</w:t>
            </w:r>
          </w:p>
        </w:tc>
      </w:tr>
      <w:tr>
        <w:tc>
          <w:tcPr>
            <w:tcW w:type="dxa" w:w="1247"/>
          </w:tcPr>
          <w:p>
            <w:pPr>
              <w:spacing w:before="20" w:after="20" w:line="276" w:lineRule="auto"/>
              <w:ind w:firstLine="0"/>
            </w:pPr>
            <w:r/>
            <w:r>
              <w:rPr>
                <w:rFonts w:ascii="Times New Roman" w:hAnsi="Times New Roman" w:eastAsia="宋体"/>
                <w:b w:val="0"/>
                <w:i w:val="0"/>
                <w:sz w:val="19"/>
              </w:rPr>
              <w:t>保证金调整记录（历史流水页，已停用）</w:t>
            </w:r>
          </w:p>
        </w:tc>
        <w:tc>
          <w:tcPr>
            <w:tcW w:type="dxa" w:w="1474"/>
          </w:tcPr>
          <w:p>
            <w:pPr>
              <w:spacing w:before="20" w:after="20" w:line="276" w:lineRule="auto"/>
              <w:ind w:firstLine="0"/>
            </w:pPr>
            <w:r/>
            <w:r>
              <w:rPr>
                <w:rFonts w:ascii="Times New Roman" w:hAnsi="Times New Roman" w:eastAsia="宋体"/>
                <w:b w:val="0"/>
                <w:i w:val="0"/>
                <w:sz w:val="19"/>
              </w:rPr>
              <w:t>margin-record.html</w:t>
            </w:r>
          </w:p>
        </w:tc>
        <w:tc>
          <w:tcPr>
            <w:tcW w:type="dxa" w:w="1134"/>
          </w:tcPr>
          <w:p>
            <w:pPr>
              <w:spacing w:before="20" w:after="20" w:line="276" w:lineRule="auto"/>
              <w:ind w:firstLine="0"/>
            </w:pPr>
            <w:r/>
            <w:r>
              <w:rPr>
                <w:rFonts w:ascii="Times New Roman" w:hAnsi="Times New Roman" w:eastAsia="宋体"/>
                <w:b w:val="0"/>
                <w:i w:val="0"/>
                <w:sz w:val="19"/>
              </w:rPr>
              <w:t>历史入口，v1.7.99.196 起停用，由保证金调整记录详情页取代</w:t>
            </w:r>
          </w:p>
        </w:tc>
        <w:tc>
          <w:tcPr>
            <w:tcW w:type="dxa" w:w="2041"/>
          </w:tcPr>
          <w:p>
            <w:pPr>
              <w:spacing w:before="20" w:after="20" w:line="276" w:lineRule="auto"/>
              <w:ind w:firstLine="0"/>
            </w:pPr>
            <w:r/>
            <w:r>
              <w:rPr>
                <w:rFonts w:ascii="Times New Roman" w:hAnsi="Times New Roman" w:eastAsia="宋体"/>
                <w:b w:val="0"/>
                <w:i w:val="0"/>
                <w:sz w:val="19"/>
              </w:rPr>
              <w:t>3 个页签（全部、已生效、已驳回）+ 流水明细表格</w:t>
            </w:r>
          </w:p>
        </w:tc>
        <w:tc>
          <w:tcPr>
            <w:tcW w:type="dxa" w:w="1701"/>
          </w:tcPr>
          <w:p>
            <w:pPr>
              <w:spacing w:before="20" w:after="20" w:line="276" w:lineRule="auto"/>
              <w:ind w:firstLine="0"/>
            </w:pPr>
            <w:r/>
            <w:r>
              <w:rPr>
                <w:rFonts w:ascii="Times New Roman" w:hAnsi="Times New Roman" w:eastAsia="宋体"/>
                <w:b w:val="0"/>
                <w:i w:val="0"/>
                <w:sz w:val="19"/>
              </w:rPr>
              <w:t>查询 / 重置</w:t>
            </w:r>
          </w:p>
        </w:tc>
        <w:tc>
          <w:tcPr>
            <w:tcW w:type="dxa" w:w="1474"/>
          </w:tcPr>
          <w:p>
            <w:pPr>
              <w:spacing w:before="20" w:after="20" w:line="276" w:lineRule="auto"/>
              <w:ind w:firstLine="0"/>
            </w:pPr>
            <w:r/>
            <w:r>
              <w:rPr>
                <w:rFonts w:ascii="Times New Roman" w:hAnsi="Times New Roman" w:eastAsia="宋体"/>
                <w:b w:val="0"/>
                <w:i w:val="0"/>
                <w:sz w:val="19"/>
              </w:rPr>
              <w:t>停用页，保留用于历史数据追溯</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4.14.5　数据关系</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474"/>
            <w:shd w:val="clear" w:color="auto" w:fill="DCE6F1"/>
          </w:tcPr>
          <w:p>
            <w:pPr>
              <w:spacing w:before="40" w:after="40" w:line="276" w:lineRule="auto"/>
              <w:jc w:val="center"/>
            </w:pPr>
            <w:r/>
            <w:r>
              <w:rPr>
                <w:rFonts w:ascii="Times New Roman" w:hAnsi="Times New Roman" w:eastAsia="黑体"/>
                <w:b/>
                <w:i w:val="0"/>
                <w:sz w:val="21"/>
              </w:rPr>
              <w:t>业务对象</w:t>
            </w:r>
          </w:p>
        </w:tc>
        <w:tc>
          <w:tcPr>
            <w:tcW w:type="dxa" w:w="4195"/>
            <w:shd w:val="clear" w:color="auto" w:fill="DCE6F1"/>
          </w:tcPr>
          <w:p>
            <w:pPr>
              <w:spacing w:before="40" w:after="40" w:line="276" w:lineRule="auto"/>
              <w:jc w:val="center"/>
            </w:pPr>
            <w:r/>
            <w:r>
              <w:rPr>
                <w:rFonts w:ascii="Times New Roman" w:hAnsi="Times New Roman" w:eastAsia="黑体"/>
                <w:b/>
                <w:i w:val="0"/>
                <w:sz w:val="21"/>
              </w:rPr>
              <w:t>关键字段与口径</w:t>
            </w:r>
          </w:p>
        </w:tc>
        <w:tc>
          <w:tcPr>
            <w:tcW w:type="dxa" w:w="3402"/>
            <w:shd w:val="clear" w:color="auto" w:fill="DCE6F1"/>
          </w:tcPr>
          <w:p>
            <w:pPr>
              <w:spacing w:before="40" w:after="40" w:line="276" w:lineRule="auto"/>
              <w:jc w:val="center"/>
            </w:pPr>
            <w:r/>
            <w:r>
              <w:rPr>
                <w:rFonts w:ascii="Times New Roman" w:hAnsi="Times New Roman" w:eastAsia="黑体"/>
                <w:b/>
                <w:i w:val="0"/>
                <w:sz w:val="21"/>
              </w:rPr>
              <w:t>与其他对象的关系</w:t>
            </w:r>
          </w:p>
        </w:tc>
      </w:tr>
      <w:tr>
        <w:tc>
          <w:tcPr>
            <w:tcW w:type="dxa" w:w="1474"/>
          </w:tcPr>
          <w:p>
            <w:pPr>
              <w:spacing w:before="20" w:after="20" w:line="276" w:lineRule="auto"/>
              <w:ind w:firstLine="0"/>
            </w:pPr>
            <w:r/>
            <w:r>
              <w:rPr>
                <w:rFonts w:ascii="Times New Roman" w:hAnsi="Times New Roman" w:eastAsia="宋体"/>
                <w:b w:val="0"/>
                <w:i w:val="0"/>
                <w:sz w:val="21"/>
              </w:rPr>
              <w:t>保证金池</w:t>
            </w:r>
          </w:p>
        </w:tc>
        <w:tc>
          <w:tcPr>
            <w:tcW w:type="dxa" w:w="4195"/>
          </w:tcPr>
          <w:p>
            <w:pPr>
              <w:spacing w:before="20" w:after="20" w:line="276" w:lineRule="auto"/>
              <w:ind w:firstLine="0"/>
            </w:pPr>
            <w:r/>
            <w:r>
              <w:rPr>
                <w:rFonts w:ascii="Times New Roman" w:hAnsi="Times New Roman" w:eastAsia="宋体"/>
                <w:b w:val="0"/>
                <w:i w:val="0"/>
                <w:sz w:val="21"/>
              </w:rPr>
              <w:t>客户名称：varchar(128)</w:t>
            </w:r>
            <w:r>
              <w:br/>
            </w:r>
            <w:r>
              <w:rPr>
                <w:rFonts w:ascii="Times New Roman" w:hAnsi="Times New Roman" w:eastAsia="宋体"/>
                <w:b w:val="0"/>
                <w:i w:val="0"/>
                <w:sz w:val="21"/>
              </w:rPr>
              <w:t>总余额</w:t>
            </w:r>
            <w:r>
              <w:br/>
            </w:r>
            <w:r>
              <w:rPr>
                <w:rFonts w:ascii="Times New Roman" w:hAnsi="Times New Roman" w:eastAsia="宋体"/>
                <w:b w:val="0"/>
                <w:i w:val="0"/>
                <w:sz w:val="21"/>
              </w:rPr>
              <w:t>已占用余额</w:t>
            </w:r>
            <w:r>
              <w:br/>
            </w:r>
            <w:r>
              <w:rPr>
                <w:rFonts w:ascii="Times New Roman" w:hAnsi="Times New Roman" w:eastAsia="宋体"/>
                <w:b w:val="0"/>
                <w:i w:val="0"/>
                <w:sz w:val="21"/>
              </w:rPr>
              <w:t>可用余额：等于总余额减已占用余额</w:t>
            </w:r>
            <w:r>
              <w:br/>
            </w:r>
            <w:r>
              <w:rPr>
                <w:rFonts w:ascii="Times New Roman" w:hAnsi="Times New Roman" w:eastAsia="宋体"/>
                <w:b w:val="0"/>
                <w:i w:val="0"/>
                <w:sz w:val="21"/>
              </w:rPr>
              <w:t>状态：正常 / 冻结 / 关闭</w:t>
            </w:r>
            <w:r>
              <w:br/>
            </w:r>
            <w:r>
              <w:rPr>
                <w:rFonts w:ascii="Times New Roman" w:hAnsi="Times New Roman" w:eastAsia="宋体"/>
                <w:b w:val="0"/>
                <w:i w:val="0"/>
                <w:sz w:val="21"/>
              </w:rPr>
              <w:t>待追保：追保函未生效时的状态，无对应枚举值</w:t>
            </w:r>
            <w:r>
              <w:br/>
            </w:r>
            <w:r>
              <w:rPr>
                <w:rFonts w:ascii="Times New Roman" w:hAnsi="Times New Roman" w:eastAsia="宋体"/>
                <w:b w:val="0"/>
                <w:i w:val="0"/>
                <w:sz w:val="21"/>
              </w:rPr>
              <w:t>保证金比例（合同设置比例）：创建销售合同时填写</w:t>
            </w:r>
          </w:p>
        </w:tc>
        <w:tc>
          <w:tcPr>
            <w:tcW w:type="dxa" w:w="3402"/>
          </w:tcPr>
          <w:p>
            <w:pPr>
              <w:spacing w:before="20" w:after="20" w:line="276" w:lineRule="auto"/>
              <w:ind w:firstLine="0"/>
            </w:pPr>
            <w:r/>
            <w:r>
              <w:rPr>
                <w:rFonts w:ascii="Times New Roman" w:hAnsi="Times New Roman" w:eastAsia="宋体"/>
                <w:b w:val="0"/>
                <w:i w:val="0"/>
                <w:sz w:val="21"/>
              </w:rPr>
              <w:t>由客户从项目立项沉淀时自动创建，初始余额为 0；列表按销售订单或单批次合同维度组织</w:t>
            </w:r>
          </w:p>
        </w:tc>
      </w:tr>
      <w:tr>
        <w:tc>
          <w:tcPr>
            <w:tcW w:type="dxa" w:w="1474"/>
          </w:tcPr>
          <w:p>
            <w:pPr>
              <w:spacing w:before="20" w:after="20" w:line="276" w:lineRule="auto"/>
              <w:ind w:firstLine="0"/>
            </w:pPr>
            <w:r/>
            <w:r>
              <w:rPr>
                <w:rFonts w:ascii="Times New Roman" w:hAnsi="Times New Roman" w:eastAsia="宋体"/>
                <w:b w:val="0"/>
                <w:i w:val="0"/>
                <w:sz w:val="21"/>
              </w:rPr>
              <w:t>保证金登记单</w:t>
            </w:r>
          </w:p>
        </w:tc>
        <w:tc>
          <w:tcPr>
            <w:tcW w:type="dxa" w:w="4195"/>
          </w:tcPr>
          <w:p>
            <w:pPr>
              <w:spacing w:before="20" w:after="20" w:line="276" w:lineRule="auto"/>
              <w:ind w:firstLine="0"/>
            </w:pPr>
            <w:r/>
            <w:r>
              <w:rPr>
                <w:rFonts w:ascii="Times New Roman" w:hAnsi="Times New Roman" w:eastAsia="宋体"/>
                <w:b w:val="0"/>
                <w:i w:val="0"/>
                <w:sz w:val="21"/>
              </w:rPr>
              <w:t>应付保证金金额：等于合同约定的保证金比例对应金额，可调整</w:t>
            </w:r>
            <w:r>
              <w:br/>
            </w:r>
            <w:r>
              <w:rPr>
                <w:rFonts w:ascii="Times New Roman" w:hAnsi="Times New Roman" w:eastAsia="宋体"/>
                <w:b w:val="0"/>
                <w:i w:val="0"/>
                <w:sz w:val="21"/>
              </w:rPr>
              <w:t>合同设置比例：默认回显合同设置值，可调整</w:t>
            </w:r>
            <w:r>
              <w:br/>
            </w:r>
            <w:r>
              <w:rPr>
                <w:rFonts w:ascii="Times New Roman" w:hAnsi="Times New Roman" w:eastAsia="宋体"/>
                <w:b w:val="0"/>
                <w:i w:val="0"/>
                <w:sz w:val="21"/>
              </w:rPr>
              <w:t>已付保证金金额：等于实际登记为保证金的凭证总金额，仅回显</w:t>
            </w:r>
            <w:r>
              <w:br/>
            </w:r>
            <w:r>
              <w:rPr>
                <w:rFonts w:ascii="Times New Roman" w:hAnsi="Times New Roman" w:eastAsia="宋体"/>
                <w:b w:val="0"/>
                <w:i w:val="0"/>
                <w:sz w:val="21"/>
              </w:rPr>
              <w:t>本次登记保证金金额：录入项</w:t>
            </w:r>
            <w:r>
              <w:br/>
            </w:r>
            <w:r>
              <w:rPr>
                <w:rFonts w:ascii="Times New Roman" w:hAnsi="Times New Roman" w:eastAsia="宋体"/>
                <w:b w:val="0"/>
                <w:i w:val="0"/>
                <w:sz w:val="21"/>
              </w:rPr>
              <w:t>附件：保证金相应单据</w:t>
            </w:r>
          </w:p>
        </w:tc>
        <w:tc>
          <w:tcPr>
            <w:tcW w:type="dxa" w:w="3402"/>
          </w:tcPr>
          <w:p>
            <w:pPr>
              <w:spacing w:before="20" w:after="20" w:line="276" w:lineRule="auto"/>
              <w:ind w:firstLine="0"/>
            </w:pPr>
            <w:r/>
            <w:r>
              <w:rPr>
                <w:rFonts w:ascii="Times New Roman" w:hAnsi="Times New Roman" w:eastAsia="宋体"/>
                <w:b w:val="0"/>
                <w:i w:val="0"/>
                <w:sz w:val="21"/>
              </w:rPr>
              <w:t>关联销售合同（单批次或订单）；登记完成后更新保证金池余额并生成流水记录</w:t>
            </w:r>
          </w:p>
        </w:tc>
      </w:tr>
      <w:tr>
        <w:tc>
          <w:tcPr>
            <w:tcW w:type="dxa" w:w="1474"/>
          </w:tcPr>
          <w:p>
            <w:pPr>
              <w:spacing w:before="20" w:after="20" w:line="276" w:lineRule="auto"/>
              <w:ind w:firstLine="0"/>
            </w:pPr>
            <w:r/>
            <w:r>
              <w:rPr>
                <w:rFonts w:ascii="Times New Roman" w:hAnsi="Times New Roman" w:eastAsia="宋体"/>
                <w:b w:val="0"/>
                <w:i w:val="0"/>
                <w:sz w:val="21"/>
              </w:rPr>
              <w:t>保证金调整单</w:t>
            </w:r>
          </w:p>
        </w:tc>
        <w:tc>
          <w:tcPr>
            <w:tcW w:type="dxa" w:w="4195"/>
          </w:tcPr>
          <w:p>
            <w:pPr>
              <w:spacing w:before="20" w:after="20" w:line="276" w:lineRule="auto"/>
              <w:ind w:firstLine="0"/>
            </w:pPr>
            <w:r/>
            <w:r>
              <w:rPr>
                <w:rFonts w:ascii="Times New Roman" w:hAnsi="Times New Roman" w:eastAsia="宋体"/>
                <w:b w:val="0"/>
                <w:i w:val="0"/>
                <w:sz w:val="21"/>
              </w:rPr>
              <w:t>调整方式：冲抵最后一笔货款 / 转移为另一笔业务的保证金 / 保证金退款</w:t>
            </w:r>
            <w:r>
              <w:br/>
            </w:r>
            <w:r>
              <w:rPr>
                <w:rFonts w:ascii="Times New Roman" w:hAnsi="Times New Roman" w:eastAsia="宋体"/>
                <w:b w:val="0"/>
                <w:i w:val="0"/>
                <w:sz w:val="21"/>
              </w:rPr>
              <w:t>调整金额：必填，不得超过当前保证金</w:t>
            </w:r>
            <w:r>
              <w:br/>
            </w:r>
            <w:r>
              <w:rPr>
                <w:rFonts w:ascii="Times New Roman" w:hAnsi="Times New Roman" w:eastAsia="宋体"/>
                <w:b w:val="0"/>
                <w:i w:val="0"/>
                <w:sz w:val="21"/>
              </w:rPr>
              <w:t>情况说明：选填</w:t>
            </w:r>
            <w:r>
              <w:br/>
            </w:r>
            <w:r>
              <w:rPr>
                <w:rFonts w:ascii="Times New Roman" w:hAnsi="Times New Roman" w:eastAsia="宋体"/>
                <w:b w:val="0"/>
                <w:i w:val="0"/>
                <w:sz w:val="21"/>
              </w:rPr>
              <w:t>附件：非必填</w:t>
            </w:r>
            <w:r>
              <w:br/>
            </w:r>
            <w:r>
              <w:rPr>
                <w:rFonts w:ascii="Times New Roman" w:hAnsi="Times New Roman" w:eastAsia="宋体"/>
                <w:b w:val="0"/>
                <w:i w:val="0"/>
                <w:sz w:val="21"/>
              </w:rPr>
              <w:t>收款账号名称（含账号与开户行）：退款方式必填</w:t>
            </w:r>
            <w:r>
              <w:br/>
            </w:r>
            <w:r>
              <w:rPr>
                <w:rFonts w:ascii="Times New Roman" w:hAnsi="Times New Roman" w:eastAsia="宋体"/>
                <w:b w:val="0"/>
                <w:i w:val="0"/>
                <w:sz w:val="21"/>
              </w:rPr>
              <w:t>退款日期：退款方式必填</w:t>
            </w:r>
            <w:r>
              <w:br/>
            </w:r>
            <w:r>
              <w:rPr>
                <w:rFonts w:ascii="Times New Roman" w:hAnsi="Times New Roman" w:eastAsia="宋体"/>
                <w:b w:val="0"/>
                <w:i w:val="0"/>
                <w:sz w:val="21"/>
              </w:rPr>
              <w:t>关联追保函</w:t>
            </w:r>
            <w:r>
              <w:br/>
            </w:r>
            <w:r>
              <w:rPr>
                <w:rFonts w:ascii="Times New Roman" w:hAnsi="Times New Roman" w:eastAsia="宋体"/>
                <w:b w:val="0"/>
                <w:i w:val="0"/>
                <w:sz w:val="21"/>
              </w:rPr>
              <w:t>变更类型：追加 / 扣减 / 冲抵货款 / 追保函，与三方式分类法的映射未确认</w:t>
            </w:r>
          </w:p>
        </w:tc>
        <w:tc>
          <w:tcPr>
            <w:tcW w:type="dxa" w:w="3402"/>
          </w:tcPr>
          <w:p>
            <w:pPr>
              <w:spacing w:before="20" w:after="20" w:line="276" w:lineRule="auto"/>
              <w:ind w:firstLine="0"/>
            </w:pPr>
            <w:r/>
            <w:r>
              <w:rPr>
                <w:rFonts w:ascii="Times New Roman" w:hAnsi="Times New Roman" w:eastAsia="宋体"/>
                <w:b w:val="0"/>
                <w:i w:val="0"/>
                <w:sz w:val="21"/>
              </w:rPr>
              <w:t>关联保证金池与相关合同；审核通过后更新余额并生成流水记录</w:t>
            </w:r>
          </w:p>
        </w:tc>
      </w:tr>
      <w:tr>
        <w:tc>
          <w:tcPr>
            <w:tcW w:type="dxa" w:w="1474"/>
          </w:tcPr>
          <w:p>
            <w:pPr>
              <w:spacing w:before="20" w:after="20" w:line="276" w:lineRule="auto"/>
              <w:ind w:firstLine="0"/>
            </w:pPr>
            <w:r/>
            <w:r>
              <w:rPr>
                <w:rFonts w:ascii="Times New Roman" w:hAnsi="Times New Roman" w:eastAsia="宋体"/>
                <w:b w:val="0"/>
                <w:i w:val="0"/>
                <w:sz w:val="21"/>
              </w:rPr>
              <w:t>保证金流水记录</w:t>
            </w:r>
          </w:p>
        </w:tc>
        <w:tc>
          <w:tcPr>
            <w:tcW w:type="dxa" w:w="4195"/>
          </w:tcPr>
          <w:p>
            <w:pPr>
              <w:spacing w:before="20" w:after="20" w:line="276" w:lineRule="auto"/>
              <w:ind w:firstLine="0"/>
            </w:pPr>
            <w:r/>
            <w:r>
              <w:rPr>
                <w:rFonts w:ascii="Times New Roman" w:hAnsi="Times New Roman" w:eastAsia="宋体"/>
                <w:b w:val="0"/>
                <w:i w:val="0"/>
                <w:sz w:val="21"/>
              </w:rPr>
              <w:t>记录类型：登记记录 / 修改记录 / 划账记录 / 配置比例记录</w:t>
            </w:r>
            <w:r>
              <w:br/>
            </w:r>
            <w:r>
              <w:rPr>
                <w:rFonts w:ascii="Times New Roman" w:hAnsi="Times New Roman" w:eastAsia="宋体"/>
                <w:b w:val="0"/>
                <w:i w:val="0"/>
                <w:sz w:val="21"/>
              </w:rPr>
              <w:t>变更金额：正数为追加，负数为扣减</w:t>
            </w:r>
            <w:r>
              <w:br/>
            </w:r>
            <w:r>
              <w:rPr>
                <w:rFonts w:ascii="Times New Roman" w:hAnsi="Times New Roman" w:eastAsia="宋体"/>
                <w:b w:val="0"/>
                <w:i w:val="0"/>
                <w:sz w:val="21"/>
              </w:rPr>
              <w:t>操作人</w:t>
            </w:r>
            <w:r>
              <w:br/>
            </w:r>
            <w:r>
              <w:rPr>
                <w:rFonts w:ascii="Times New Roman" w:hAnsi="Times New Roman" w:eastAsia="宋体"/>
                <w:b w:val="0"/>
                <w:i w:val="0"/>
                <w:sz w:val="21"/>
              </w:rPr>
              <w:t>操作时间</w:t>
            </w:r>
          </w:p>
        </w:tc>
        <w:tc>
          <w:tcPr>
            <w:tcW w:type="dxa" w:w="3402"/>
          </w:tcPr>
          <w:p>
            <w:pPr>
              <w:spacing w:before="20" w:after="20" w:line="276" w:lineRule="auto"/>
              <w:ind w:firstLine="0"/>
            </w:pPr>
            <w:r/>
            <w:r>
              <w:rPr>
                <w:rFonts w:ascii="Times New Roman" w:hAnsi="Times New Roman" w:eastAsia="宋体"/>
                <w:b w:val="0"/>
                <w:i w:val="0"/>
                <w:sz w:val="21"/>
              </w:rPr>
              <w:t>每次登记或调整生成一条，挂靠在保证金池与对应合同上</w:t>
            </w:r>
          </w:p>
        </w:tc>
      </w:tr>
      <w:tr>
        <w:tc>
          <w:tcPr>
            <w:tcW w:type="dxa" w:w="1474"/>
          </w:tcPr>
          <w:p>
            <w:pPr>
              <w:spacing w:before="20" w:after="20" w:line="276" w:lineRule="auto"/>
              <w:ind w:firstLine="0"/>
            </w:pPr>
            <w:r/>
            <w:r>
              <w:rPr>
                <w:rFonts w:ascii="Times New Roman" w:hAnsi="Times New Roman" w:eastAsia="宋体"/>
                <w:b w:val="0"/>
                <w:i w:val="0"/>
                <w:sz w:val="21"/>
              </w:rPr>
              <w:t>等比例冲抵配置</w:t>
            </w:r>
          </w:p>
        </w:tc>
        <w:tc>
          <w:tcPr>
            <w:tcW w:type="dxa" w:w="4195"/>
          </w:tcPr>
          <w:p>
            <w:pPr>
              <w:spacing w:before="20" w:after="20" w:line="276" w:lineRule="auto"/>
              <w:ind w:firstLine="0"/>
            </w:pPr>
            <w:r/>
            <w:r>
              <w:rPr>
                <w:rFonts w:ascii="Times New Roman" w:hAnsi="Times New Roman" w:eastAsia="宋体"/>
                <w:b w:val="0"/>
                <w:i w:val="0"/>
                <w:sz w:val="21"/>
              </w:rPr>
              <w:t>冲抵比例：作用于未来每笔付款</w:t>
            </w:r>
            <w:r>
              <w:br/>
            </w:r>
            <w:r>
              <w:rPr>
                <w:rFonts w:ascii="Times New Roman" w:hAnsi="Times New Roman" w:eastAsia="宋体"/>
                <w:b w:val="0"/>
                <w:i w:val="0"/>
                <w:sz w:val="21"/>
              </w:rPr>
              <w:t>启用状态：未足额时禁用</w:t>
            </w:r>
            <w:r>
              <w:br/>
            </w:r>
            <w:r>
              <w:rPr>
                <w:rFonts w:ascii="Times New Roman" w:hAnsi="Times New Roman" w:eastAsia="宋体"/>
                <w:b w:val="0"/>
                <w:i w:val="0"/>
                <w:sz w:val="21"/>
              </w:rPr>
              <w:t>变更记录：最多 10 条</w:t>
            </w:r>
          </w:p>
        </w:tc>
        <w:tc>
          <w:tcPr>
            <w:tcW w:type="dxa" w:w="3402"/>
          </w:tcPr>
          <w:p>
            <w:pPr>
              <w:spacing w:before="20" w:after="20" w:line="276" w:lineRule="auto"/>
              <w:ind w:firstLine="0"/>
            </w:pPr>
            <w:r/>
            <w:r>
              <w:rPr>
                <w:rFonts w:ascii="Times New Roman" w:hAnsi="Times New Roman" w:eastAsia="宋体"/>
                <w:b w:val="0"/>
                <w:i w:val="0"/>
                <w:sz w:val="21"/>
              </w:rPr>
              <w:t>配置在保证金池行上，回款认领页与付款环节只读回显保证金冲抵金额</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4.14.6　角色权限与数据权限</w:t>
      </w:r>
    </w:p>
    <w:p>
      <w:pPr>
        <w:spacing w:before="0" w:after="120" w:line="360" w:lineRule="auto"/>
      </w:pPr>
      <w:r>
        <w:rPr>
          <w:rFonts w:ascii="Times New Roman" w:hAnsi="Times New Roman" w:eastAsia="宋体"/>
          <w:b w:val="0"/>
          <w:i w:val="0"/>
          <w:sz w:val="24"/>
        </w:rPr>
        <w:t>本期为系统全量权限（业务方裁决 D17）；下表角色为典型使用角色，非权限分级。保证金管理是资金管理的子模块，不独立一级菜单，页面入口挂在资金管理菜单下（业务方裁决 D7）；审核人角色、是否与发起人互斥、以及新增操作的角色可见条件源文档均未定义。</w:t>
      </w:r>
    </w:p>
    <w:p>
      <w:pPr>
        <w:spacing w:before="0" w:after="80" w:line="360" w:lineRule="auto"/>
      </w:pPr>
      <w:r>
        <w:rPr>
          <w:rFonts w:ascii="Times New Roman" w:hAnsi="Times New Roman" w:eastAsia="宋体"/>
          <w:b w:val="0"/>
          <w:i w:val="0"/>
          <w:sz w:val="24"/>
        </w:rPr>
        <w:t>数据可见性：按单据归属与业务筛选查看；手机号、统一社会信用代码等敏感字段默认打码，手动点击查看完整值且查看行为留痕。</w:t>
      </w:r>
    </w:p>
    <w:p>
      <w:pPr>
        <w:pStyle w:val="Heading3"/>
        <w:keepNext/>
        <w:spacing w:before="160" w:after="80" w:line="312" w:lineRule="auto"/>
        <w:ind w:firstLine="0"/>
      </w:pPr>
      <w:r>
        <w:rPr>
          <w:rFonts w:ascii="Times New Roman" w:hAnsi="Times New Roman" w:eastAsia="黑体"/>
          <w:b/>
          <w:i w:val="0"/>
          <w:sz w:val="24"/>
        </w:rPr>
        <w:t>4.14.7　业务流程与页面</w:t>
      </w:r>
    </w:p>
    <w:p>
      <w:pPr>
        <w:spacing w:before="120" w:after="60"/>
        <w:ind w:firstLine="0"/>
        <w:jc w:val="center"/>
      </w:pPr>
      <w:r>
        <w:drawing>
          <wp:inline xmlns:a="http://schemas.openxmlformats.org/drawingml/2006/main" xmlns:pic="http://schemas.openxmlformats.org/drawingml/2006/picture">
            <wp:extent cx="5616000" cy="2049517"/>
            <wp:docPr id="27" name="Picture 27"/>
            <wp:cNvGraphicFramePr>
              <a:graphicFrameLocks noChangeAspect="1"/>
            </wp:cNvGraphicFramePr>
            <a:graphic>
              <a:graphicData uri="http://schemas.openxmlformats.org/drawingml/2006/picture">
                <pic:pic>
                  <pic:nvPicPr>
                    <pic:cNvPr id="0" name="mermaid-margin.png"/>
                    <pic:cNvPicPr/>
                  </pic:nvPicPr>
                  <pic:blipFill>
                    <a:blip r:embed="rId37"/>
                    <a:stretch>
                      <a:fillRect/>
                    </a:stretch>
                  </pic:blipFill>
                  <pic:spPr>
                    <a:xfrm>
                      <a:off x="0" y="0"/>
                      <a:ext cx="5616000" cy="2049517"/>
                    </a:xfrm>
                    <a:prstGeom prst="rect"/>
                  </pic:spPr>
                </pic:pic>
              </a:graphicData>
            </a:graphic>
          </wp:inline>
        </w:drawing>
      </w:r>
    </w:p>
    <w:p>
      <w:pPr>
        <w:spacing w:before="0" w:after="200" w:line="240" w:lineRule="auto"/>
        <w:ind w:firstLine="0"/>
        <w:jc w:val="center"/>
      </w:pPr>
      <w:r>
        <w:rPr>
          <w:rFonts w:ascii="Times New Roman" w:hAnsi="Times New Roman" w:eastAsia="宋体"/>
          <w:b w:val="0"/>
          <w:i w:val="0"/>
          <w:sz w:val="21"/>
        </w:rPr>
        <w:t>图 4-14-1　保证金管理 主业务流程</w:t>
      </w:r>
    </w:p>
    <w:p>
      <w:pPr>
        <w:spacing w:before="0" w:after="60" w:line="360" w:lineRule="auto"/>
      </w:pPr>
      <w:r>
        <w:rPr>
          <w:rFonts w:ascii="Times New Roman" w:hAnsi="Times New Roman" w:eastAsia="宋体"/>
          <w:b/>
          <w:i w:val="0"/>
          <w:sz w:val="24"/>
        </w:rPr>
        <w:t>主流程步骤：</w:t>
      </w:r>
    </w:p>
    <w:p>
      <w:pPr>
        <w:spacing w:before="0" w:after="60" w:line="336" w:lineRule="auto"/>
        <w:ind w:left="510" w:hanging="510"/>
      </w:pPr>
      <w:r>
        <w:rPr>
          <w:rFonts w:ascii="Times New Roman" w:hAnsi="Times New Roman" w:eastAsia="宋体"/>
          <w:b w:val="0"/>
          <w:i w:val="0"/>
          <w:sz w:val="24"/>
        </w:rPr>
        <w:t>1. 客户从项目立项沉淀进入客户管理，系统自动为其创建保证金池，初始余额为 0</w:t>
      </w:r>
    </w:p>
    <w:p>
      <w:pPr>
        <w:spacing w:before="0" w:after="60" w:line="336" w:lineRule="auto"/>
        <w:ind w:left="510" w:hanging="510"/>
      </w:pPr>
      <w:r>
        <w:rPr>
          <w:rFonts w:ascii="Times New Roman" w:hAnsi="Times New Roman" w:eastAsia="宋体"/>
          <w:b w:val="0"/>
          <w:i w:val="0"/>
          <w:sz w:val="24"/>
        </w:rPr>
        <w:t>2. 创建销售合同时填写保证金比例，系统自动生成一条待缴保证金记录，保证金池列表按业务线汇总</w:t>
      </w:r>
    </w:p>
    <w:p>
      <w:pPr>
        <w:spacing w:before="0" w:after="60" w:line="336" w:lineRule="auto"/>
        <w:ind w:left="510" w:hanging="510"/>
      </w:pPr>
      <w:r>
        <w:rPr>
          <w:rFonts w:ascii="Times New Roman" w:hAnsi="Times New Roman" w:eastAsia="宋体"/>
          <w:b w:val="0"/>
          <w:i w:val="0"/>
          <w:sz w:val="24"/>
        </w:rPr>
        <w:t>3. 客户在平台外按合同约定比例完成缴存，系统不执行任何收款或扣款动作</w:t>
      </w:r>
    </w:p>
    <w:p>
      <w:pPr>
        <w:spacing w:before="0" w:after="60" w:line="336" w:lineRule="auto"/>
        <w:ind w:left="510" w:hanging="510"/>
      </w:pPr>
      <w:r>
        <w:rPr>
          <w:rFonts w:ascii="Times New Roman" w:hAnsi="Times New Roman" w:eastAsia="宋体"/>
          <w:b w:val="0"/>
          <w:i w:val="0"/>
          <w:sz w:val="24"/>
        </w:rPr>
        <w:t>4. 业务员在保证金登记页选择对应销售合同（单批次或订单），录入本次登记保证金金额并上传保证金单据附件</w:t>
      </w:r>
    </w:p>
    <w:p>
      <w:pPr>
        <w:spacing w:before="0" w:after="60" w:line="336" w:lineRule="auto"/>
        <w:ind w:left="510" w:hanging="510"/>
      </w:pPr>
      <w:r>
        <w:rPr>
          <w:rFonts w:ascii="Times New Roman" w:hAnsi="Times New Roman" w:eastAsia="宋体"/>
          <w:b w:val="0"/>
          <w:i w:val="0"/>
          <w:sz w:val="24"/>
        </w:rPr>
        <w:t>5. 登记提交时校验同合同已付金额，超额时给出橙色提示但允许提交，并发冲突时阻止提交</w:t>
      </w:r>
    </w:p>
    <w:p>
      <w:pPr>
        <w:spacing w:before="0" w:after="60" w:line="336" w:lineRule="auto"/>
        <w:ind w:left="510" w:hanging="510"/>
      </w:pPr>
      <w:r>
        <w:rPr>
          <w:rFonts w:ascii="Times New Roman" w:hAnsi="Times New Roman" w:eastAsia="宋体"/>
          <w:b w:val="0"/>
          <w:i w:val="0"/>
          <w:sz w:val="24"/>
        </w:rPr>
        <w:t>6. 需要动用保证金时，业务员在保证金调整页选择冲抵最后一笔货款、转移为另一笔业务的保证金或保证金退款三种方式之一，录入调整金额与情况说明</w:t>
      </w:r>
    </w:p>
    <w:p>
      <w:pPr>
        <w:spacing w:before="0" w:after="60" w:line="336" w:lineRule="auto"/>
        <w:ind w:left="510" w:hanging="510"/>
      </w:pPr>
      <w:r>
        <w:rPr>
          <w:rFonts w:ascii="Times New Roman" w:hAnsi="Times New Roman" w:eastAsia="宋体"/>
          <w:b w:val="0"/>
          <w:i w:val="0"/>
          <w:sz w:val="24"/>
        </w:rPr>
        <w:t>7. 调整单提交 OA 审核，审核通过后更新保证金池余额并生成一条流水记录，审核驳回的在调整详情页调整后重提</w:t>
      </w:r>
    </w:p>
    <w:p>
      <w:pPr>
        <w:spacing w:before="0" w:after="60" w:line="336" w:lineRule="auto"/>
        <w:ind w:left="510" w:hanging="510"/>
      </w:pPr>
      <w:r>
        <w:rPr>
          <w:rFonts w:ascii="Times New Roman" w:hAnsi="Times New Roman" w:eastAsia="宋体"/>
          <w:b w:val="0"/>
          <w:i w:val="0"/>
          <w:sz w:val="24"/>
        </w:rPr>
        <w:t>8. 保证金退款方式在 NC 完成打款后回传实际金额，详情页操作记录页签自动回显，差额自动调整</w:t>
      </w:r>
    </w:p>
    <w:p>
      <w:pPr>
        <w:spacing w:before="0" w:after="60" w:line="336" w:lineRule="auto"/>
        <w:ind w:left="510" w:hanging="510"/>
      </w:pPr>
      <w:r>
        <w:rPr>
          <w:rFonts w:ascii="Times New Roman" w:hAnsi="Times New Roman" w:eastAsia="宋体"/>
          <w:b w:val="0"/>
          <w:i w:val="0"/>
          <w:sz w:val="24"/>
        </w:rPr>
        <w:t>9. 余额跌破预警线时给出提醒，跌破红线时触发追保函，等比例冲抵货款开关按足额规则控制启用</w:t>
      </w:r>
    </w:p>
    <w:p>
      <w:pPr>
        <w:spacing w:before="120" w:after="60" w:line="360" w:lineRule="auto"/>
      </w:pPr>
      <w:r>
        <w:rPr>
          <w:rFonts w:ascii="Times New Roman" w:hAnsi="Times New Roman" w:eastAsia="宋体"/>
          <w:b/>
          <w:i w:val="0"/>
          <w:sz w:val="24"/>
        </w:rPr>
        <w:t>异常分支：</w:t>
      </w:r>
    </w:p>
    <w:tbl>
      <w:tblPr>
        <w:tblStyle w:val="TableGrid"/>
        <w:tblW w:type="auto" w:w="0"/>
        <w:jc w:val="center"/>
        <w:tblLayout w:type="fixed"/>
        <w:tblLook w:firstColumn="1" w:firstRow="1" w:lastColumn="0" w:lastRow="0" w:noHBand="0" w:noVBand="1" w:val="04A0"/>
      </w:tblPr>
      <w:tblGrid>
        <w:gridCol w:w="4479"/>
        <w:gridCol w:w="4479"/>
      </w:tblGrid>
      <w:tr>
        <w:trPr>
          <w:tblHeader w:val="true"/>
        </w:trPr>
        <w:tc>
          <w:tcPr>
            <w:tcW w:type="dxa" w:w="2835"/>
            <w:shd w:val="clear" w:color="auto" w:fill="DCE6F1"/>
          </w:tcPr>
          <w:p>
            <w:pPr>
              <w:spacing w:before="40" w:after="40" w:line="276" w:lineRule="auto"/>
              <w:jc w:val="center"/>
            </w:pPr>
            <w:r/>
            <w:r>
              <w:rPr>
                <w:rFonts w:ascii="Times New Roman" w:hAnsi="Times New Roman" w:eastAsia="黑体"/>
                <w:b/>
                <w:i w:val="0"/>
                <w:sz w:val="21"/>
              </w:rPr>
              <w:t>异常场景</w:t>
            </w:r>
          </w:p>
        </w:tc>
        <w:tc>
          <w:tcPr>
            <w:tcW w:type="dxa" w:w="6236"/>
            <w:shd w:val="clear" w:color="auto" w:fill="DCE6F1"/>
          </w:tcPr>
          <w:p>
            <w:pPr>
              <w:spacing w:before="40" w:after="40" w:line="276" w:lineRule="auto"/>
              <w:jc w:val="center"/>
            </w:pPr>
            <w:r/>
            <w:r>
              <w:rPr>
                <w:rFonts w:ascii="Times New Roman" w:hAnsi="Times New Roman" w:eastAsia="黑体"/>
                <w:b/>
                <w:i w:val="0"/>
                <w:sz w:val="21"/>
              </w:rPr>
              <w:t>系统处理</w:t>
            </w:r>
          </w:p>
        </w:tc>
      </w:tr>
      <w:tr>
        <w:tc>
          <w:tcPr>
            <w:tcW w:type="dxa" w:w="2835"/>
          </w:tcPr>
          <w:p>
            <w:pPr>
              <w:spacing w:before="20" w:after="20" w:line="276" w:lineRule="auto"/>
              <w:ind w:firstLine="0"/>
            </w:pPr>
            <w:r/>
            <w:r>
              <w:rPr>
                <w:rFonts w:ascii="Times New Roman" w:hAnsi="Times New Roman" w:eastAsia="宋体"/>
                <w:b w:val="0"/>
                <w:i w:val="0"/>
                <w:sz w:val="21"/>
              </w:rPr>
              <w:t>登记保证金超过合同应付保证金</w:t>
            </w:r>
          </w:p>
        </w:tc>
        <w:tc>
          <w:tcPr>
            <w:tcW w:type="dxa" w:w="6236"/>
          </w:tcPr>
          <w:p>
            <w:pPr>
              <w:spacing w:before="20" w:after="20" w:line="276" w:lineRule="auto"/>
              <w:ind w:firstLine="0"/>
            </w:pPr>
            <w:r/>
            <w:r>
              <w:rPr>
                <w:rFonts w:ascii="Times New Roman" w:hAnsi="Times New Roman" w:eastAsia="宋体"/>
                <w:b w:val="0"/>
                <w:i w:val="0"/>
                <w:sz w:val="21"/>
              </w:rPr>
              <w:t>页面顶部橙色提示「该合同保证金已足额，登记会超额」并提供「查看保证金池」链接，允许提交但需业务方确认是否保留</w:t>
            </w:r>
          </w:p>
        </w:tc>
      </w:tr>
      <w:tr>
        <w:tc>
          <w:tcPr>
            <w:tcW w:type="dxa" w:w="2835"/>
          </w:tcPr>
          <w:p>
            <w:pPr>
              <w:spacing w:before="20" w:after="20" w:line="276" w:lineRule="auto"/>
              <w:ind w:firstLine="0"/>
            </w:pPr>
            <w:r/>
            <w:r>
              <w:rPr>
                <w:rFonts w:ascii="Times New Roman" w:hAnsi="Times New Roman" w:eastAsia="宋体"/>
                <w:b w:val="0"/>
                <w:i w:val="0"/>
                <w:sz w:val="21"/>
              </w:rPr>
              <w:t>同一合同并发登记保证金</w:t>
            </w:r>
          </w:p>
        </w:tc>
        <w:tc>
          <w:tcPr>
            <w:tcW w:type="dxa" w:w="6236"/>
          </w:tcPr>
          <w:p>
            <w:pPr>
              <w:spacing w:before="20" w:after="20" w:line="276" w:lineRule="auto"/>
              <w:ind w:firstLine="0"/>
            </w:pPr>
            <w:r/>
            <w:r>
              <w:rPr>
                <w:rFonts w:ascii="Times New Roman" w:hAnsi="Times New Roman" w:eastAsia="宋体"/>
                <w:b w:val="0"/>
                <w:i w:val="0"/>
                <w:sz w:val="21"/>
              </w:rPr>
              <w:t>提交时二次校验已付金额，被覆盖时提示「已被其他登记覆盖，请刷新后重试」并阻止提交</w:t>
            </w:r>
          </w:p>
        </w:tc>
      </w:tr>
      <w:tr>
        <w:tc>
          <w:tcPr>
            <w:tcW w:type="dxa" w:w="2835"/>
          </w:tcPr>
          <w:p>
            <w:pPr>
              <w:spacing w:before="20" w:after="20" w:line="276" w:lineRule="auto"/>
              <w:ind w:firstLine="0"/>
            </w:pPr>
            <w:r/>
            <w:r>
              <w:rPr>
                <w:rFonts w:ascii="Times New Roman" w:hAnsi="Times New Roman" w:eastAsia="宋体"/>
                <w:b w:val="0"/>
                <w:i w:val="0"/>
                <w:sz w:val="21"/>
              </w:rPr>
              <w:t>客户已被冻结或已作废</w:t>
            </w:r>
          </w:p>
        </w:tc>
        <w:tc>
          <w:tcPr>
            <w:tcW w:type="dxa" w:w="6236"/>
          </w:tcPr>
          <w:p>
            <w:pPr>
              <w:spacing w:before="20" w:after="20" w:line="276" w:lineRule="auto"/>
              <w:ind w:firstLine="0"/>
            </w:pPr>
            <w:r/>
            <w:r>
              <w:rPr>
                <w:rFonts w:ascii="Times New Roman" w:hAnsi="Times New Roman" w:eastAsia="宋体"/>
                <w:b w:val="0"/>
                <w:i w:val="0"/>
                <w:sz w:val="21"/>
              </w:rPr>
              <w:t>提示「客户 X 已被冻结，不能调整保证金」「客户 X 已作废，不能调整保证金」，阻止发起调整</w:t>
            </w:r>
          </w:p>
        </w:tc>
      </w:tr>
      <w:tr>
        <w:tc>
          <w:tcPr>
            <w:tcW w:type="dxa" w:w="2835"/>
          </w:tcPr>
          <w:p>
            <w:pPr>
              <w:spacing w:before="20" w:after="20" w:line="276" w:lineRule="auto"/>
              <w:ind w:firstLine="0"/>
            </w:pPr>
            <w:r/>
            <w:r>
              <w:rPr>
                <w:rFonts w:ascii="Times New Roman" w:hAnsi="Times New Roman" w:eastAsia="宋体"/>
                <w:b w:val="0"/>
                <w:i w:val="0"/>
                <w:sz w:val="21"/>
              </w:rPr>
              <w:t>调整金额或冲抵金额超出上限</w:t>
            </w:r>
          </w:p>
        </w:tc>
        <w:tc>
          <w:tcPr>
            <w:tcW w:type="dxa" w:w="6236"/>
          </w:tcPr>
          <w:p>
            <w:pPr>
              <w:spacing w:before="20" w:after="20" w:line="276" w:lineRule="auto"/>
              <w:ind w:firstLine="0"/>
            </w:pPr>
            <w:r/>
            <w:r>
              <w:rPr>
                <w:rFonts w:ascii="Times New Roman" w:hAnsi="Times New Roman" w:eastAsia="宋体"/>
                <w:b w:val="0"/>
                <w:i w:val="0"/>
                <w:sz w:val="21"/>
              </w:rPr>
              <w:t>扣减金额超过可用余额提示「扣减金额 X 超过可用余额 Y」，冲抵金额超过订单未付金额提示「冲抵金额 X 超过订单未付金额 Y」，均阻止提交</w:t>
            </w:r>
          </w:p>
        </w:tc>
      </w:tr>
      <w:tr>
        <w:tc>
          <w:tcPr>
            <w:tcW w:type="dxa" w:w="2835"/>
          </w:tcPr>
          <w:p>
            <w:pPr>
              <w:spacing w:before="20" w:after="20" w:line="276" w:lineRule="auto"/>
              <w:ind w:firstLine="0"/>
            </w:pPr>
            <w:r/>
            <w:r>
              <w:rPr>
                <w:rFonts w:ascii="Times New Roman" w:hAnsi="Times New Roman" w:eastAsia="宋体"/>
                <w:b w:val="0"/>
                <w:i w:val="0"/>
                <w:sz w:val="21"/>
              </w:rPr>
              <w:t>未足额即尝试开启等比例冲抵货款</w:t>
            </w:r>
          </w:p>
        </w:tc>
        <w:tc>
          <w:tcPr>
            <w:tcW w:type="dxa" w:w="6236"/>
          </w:tcPr>
          <w:p>
            <w:pPr>
              <w:spacing w:before="20" w:after="20" w:line="276" w:lineRule="auto"/>
              <w:ind w:firstLine="0"/>
            </w:pPr>
            <w:r/>
            <w:r>
              <w:rPr>
                <w:rFonts w:ascii="Times New Roman" w:hAnsi="Times New Roman" w:eastAsia="宋体"/>
                <w:b w:val="0"/>
                <w:i w:val="0"/>
                <w:sz w:val="21"/>
              </w:rPr>
              <w:t>开关禁用并显示红字「未足额」徽标与具体差额提示，不允许开启</w:t>
            </w:r>
          </w:p>
        </w:tc>
      </w:tr>
      <w:tr>
        <w:tc>
          <w:tcPr>
            <w:tcW w:type="dxa" w:w="2835"/>
          </w:tcPr>
          <w:p>
            <w:pPr>
              <w:spacing w:before="20" w:after="20" w:line="276" w:lineRule="auto"/>
              <w:ind w:firstLine="0"/>
            </w:pPr>
            <w:r/>
            <w:r>
              <w:rPr>
                <w:rFonts w:ascii="Times New Roman" w:hAnsi="Times New Roman" w:eastAsia="宋体"/>
                <w:b w:val="0"/>
                <w:i w:val="0"/>
                <w:sz w:val="21"/>
              </w:rPr>
              <w:t>转移目标合同状态不符或合同已作废</w:t>
            </w:r>
          </w:p>
        </w:tc>
        <w:tc>
          <w:tcPr>
            <w:tcW w:type="dxa" w:w="6236"/>
          </w:tcPr>
          <w:p>
            <w:pPr>
              <w:spacing w:before="20" w:after="20" w:line="276" w:lineRule="auto"/>
              <w:ind w:firstLine="0"/>
            </w:pPr>
            <w:r/>
            <w:r>
              <w:rPr>
                <w:rFonts w:ascii="Times New Roman" w:hAnsi="Times New Roman" w:eastAsia="宋体"/>
                <w:b w:val="0"/>
                <w:i w:val="0"/>
                <w:sz w:val="21"/>
              </w:rPr>
              <w:t>提示「请选择执行中或待上传双签合同」或「合同已作废，无法调整」，阻止提交</w:t>
            </w:r>
          </w:p>
        </w:tc>
      </w:tr>
    </w:tbl>
    <w:p>
      <w:pPr>
        <w:spacing w:before="0" w:after="0" w:line="240" w:lineRule="auto"/>
      </w:pPr>
    </w:p>
    <w:p>
      <w:pPr>
        <w:spacing w:before="120" w:after="60"/>
        <w:ind w:firstLine="0"/>
        <w:jc w:val="center"/>
      </w:pPr>
      <w:r>
        <w:drawing>
          <wp:inline xmlns:a="http://schemas.openxmlformats.org/drawingml/2006/main" xmlns:pic="http://schemas.openxmlformats.org/drawingml/2006/picture">
            <wp:extent cx="5616000" cy="3334500"/>
            <wp:docPr id="28" name="Picture 28"/>
            <wp:cNvGraphicFramePr>
              <a:graphicFrameLocks noChangeAspect="1"/>
            </wp:cNvGraphicFramePr>
            <a:graphic>
              <a:graphicData uri="http://schemas.openxmlformats.org/drawingml/2006/picture">
                <pic:pic>
                  <pic:nvPicPr>
                    <pic:cNvPr id="0" name="margin.png"/>
                    <pic:cNvPicPr/>
                  </pic:nvPicPr>
                  <pic:blipFill>
                    <a:blip r:embed="rId38"/>
                    <a:stretch>
                      <a:fillRect/>
                    </a:stretch>
                  </pic:blipFill>
                  <pic:spPr>
                    <a:xfrm>
                      <a:off x="0" y="0"/>
                      <a:ext cx="5616000" cy="3334500"/>
                    </a:xfrm>
                    <a:prstGeom prst="rect"/>
                  </pic:spPr>
                </pic:pic>
              </a:graphicData>
            </a:graphic>
          </wp:inline>
        </w:drawing>
      </w:r>
    </w:p>
    <w:p>
      <w:pPr>
        <w:spacing w:before="0" w:after="200" w:line="240" w:lineRule="auto"/>
        <w:ind w:firstLine="0"/>
        <w:jc w:val="center"/>
      </w:pPr>
      <w:r>
        <w:rPr>
          <w:rFonts w:ascii="Times New Roman" w:hAnsi="Times New Roman" w:eastAsia="宋体"/>
          <w:b w:val="0"/>
          <w:i w:val="0"/>
          <w:sz w:val="21"/>
        </w:rPr>
        <w:t>图 4-14-2　保证金管理 原型页面</w:t>
      </w:r>
    </w:p>
    <w:p>
      <w:pPr>
        <w:spacing w:before="80" w:after="60" w:line="360" w:lineRule="auto"/>
      </w:pPr>
      <w:r>
        <w:rPr>
          <w:rFonts w:ascii="Times New Roman" w:hAnsi="Times New Roman" w:eastAsia="宋体"/>
          <w:b/>
          <w:i w:val="0"/>
          <w:sz w:val="24"/>
        </w:rPr>
        <w:t>页面级说明：</w:t>
      </w: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tblGrid>
      <w:tr>
        <w:trPr>
          <w:tblHeader w:val="true"/>
        </w:trPr>
        <w:tc>
          <w:tcPr>
            <w:tcW w:type="dxa" w:w="1178"/>
            <w:shd w:val="clear" w:color="auto" w:fill="DCE6F1"/>
          </w:tcPr>
          <w:p>
            <w:pPr>
              <w:spacing w:before="40" w:after="40" w:line="276" w:lineRule="auto"/>
              <w:jc w:val="center"/>
            </w:pPr>
            <w:r/>
            <w:r>
              <w:rPr>
                <w:rFonts w:ascii="Times New Roman" w:hAnsi="Times New Roman" w:eastAsia="黑体"/>
                <w:b/>
                <w:i w:val="0"/>
                <w:sz w:val="19"/>
              </w:rPr>
              <w:t>页面</w:t>
            </w:r>
          </w:p>
        </w:tc>
        <w:tc>
          <w:tcPr>
            <w:tcW w:type="dxa" w:w="1531"/>
            <w:shd w:val="clear" w:color="auto" w:fill="DCE6F1"/>
          </w:tcPr>
          <w:p>
            <w:pPr>
              <w:spacing w:before="40" w:after="40" w:line="276" w:lineRule="auto"/>
              <w:jc w:val="center"/>
            </w:pPr>
            <w:r/>
            <w:r>
              <w:rPr>
                <w:rFonts w:ascii="Times New Roman" w:hAnsi="Times New Roman" w:eastAsia="黑体"/>
                <w:b/>
                <w:i w:val="0"/>
                <w:sz w:val="19"/>
              </w:rPr>
              <w:t>原型文件</w:t>
            </w:r>
          </w:p>
        </w:tc>
        <w:tc>
          <w:tcPr>
            <w:tcW w:type="dxa" w:w="1119"/>
            <w:shd w:val="clear" w:color="auto" w:fill="DCE6F1"/>
          </w:tcPr>
          <w:p>
            <w:pPr>
              <w:spacing w:before="40" w:after="40" w:line="276" w:lineRule="auto"/>
              <w:jc w:val="center"/>
            </w:pPr>
            <w:r/>
            <w:r>
              <w:rPr>
                <w:rFonts w:ascii="Times New Roman" w:hAnsi="Times New Roman" w:eastAsia="黑体"/>
                <w:b/>
                <w:i w:val="0"/>
                <w:sz w:val="19"/>
              </w:rPr>
              <w:t>进入方式</w:t>
            </w:r>
          </w:p>
        </w:tc>
        <w:tc>
          <w:tcPr>
            <w:tcW w:type="dxa" w:w="2062"/>
            <w:shd w:val="clear" w:color="auto" w:fill="DCE6F1"/>
          </w:tcPr>
          <w:p>
            <w:pPr>
              <w:spacing w:before="40" w:after="40" w:line="276" w:lineRule="auto"/>
              <w:jc w:val="center"/>
            </w:pPr>
            <w:r/>
            <w:r>
              <w:rPr>
                <w:rFonts w:ascii="Times New Roman" w:hAnsi="Times New Roman" w:eastAsia="黑体"/>
                <w:b/>
                <w:i w:val="0"/>
                <w:sz w:val="19"/>
              </w:rPr>
              <w:t>关键区块</w:t>
            </w:r>
          </w:p>
        </w:tc>
        <w:tc>
          <w:tcPr>
            <w:tcW w:type="dxa" w:w="1767"/>
            <w:shd w:val="clear" w:color="auto" w:fill="DCE6F1"/>
          </w:tcPr>
          <w:p>
            <w:pPr>
              <w:spacing w:before="40" w:after="40" w:line="276" w:lineRule="auto"/>
              <w:jc w:val="center"/>
            </w:pPr>
            <w:r/>
            <w:r>
              <w:rPr>
                <w:rFonts w:ascii="Times New Roman" w:hAnsi="Times New Roman" w:eastAsia="黑体"/>
                <w:b/>
                <w:i w:val="0"/>
                <w:sz w:val="19"/>
              </w:rPr>
              <w:t>主要按钮与行为</w:t>
            </w:r>
          </w:p>
        </w:tc>
        <w:tc>
          <w:tcPr>
            <w:tcW w:type="dxa" w:w="1414"/>
            <w:shd w:val="clear" w:color="auto" w:fill="DCE6F1"/>
          </w:tcPr>
          <w:p>
            <w:pPr>
              <w:spacing w:before="40" w:after="40" w:line="276" w:lineRule="auto"/>
              <w:jc w:val="center"/>
            </w:pPr>
            <w:r/>
            <w:r>
              <w:rPr>
                <w:rFonts w:ascii="Times New Roman" w:hAnsi="Times New Roman" w:eastAsia="黑体"/>
                <w:b/>
                <w:i w:val="0"/>
                <w:sz w:val="19"/>
              </w:rPr>
              <w:t>跳转去向</w:t>
            </w:r>
          </w:p>
        </w:tc>
      </w:tr>
      <w:tr>
        <w:tc>
          <w:tcPr>
            <w:tcW w:type="dxa" w:w="1178"/>
          </w:tcPr>
          <w:p>
            <w:pPr>
              <w:spacing w:before="20" w:after="20" w:line="276" w:lineRule="auto"/>
              <w:ind w:firstLine="0"/>
            </w:pPr>
            <w:r/>
            <w:r>
              <w:rPr>
                <w:rFonts w:ascii="Times New Roman" w:hAnsi="Times New Roman" w:eastAsia="宋体"/>
                <w:b w:val="0"/>
                <w:i w:val="0"/>
                <w:sz w:val="19"/>
              </w:rPr>
              <w:t>保证金管理（保证金池列表）</w:t>
            </w:r>
          </w:p>
        </w:tc>
        <w:tc>
          <w:tcPr>
            <w:tcW w:type="dxa" w:w="1531"/>
          </w:tcPr>
          <w:p>
            <w:pPr>
              <w:spacing w:before="20" w:after="20" w:line="276" w:lineRule="auto"/>
              <w:ind w:firstLine="0"/>
            </w:pPr>
            <w:r/>
            <w:r>
              <w:rPr>
                <w:rFonts w:ascii="Times New Roman" w:hAnsi="Times New Roman" w:eastAsia="宋体"/>
                <w:b w:val="0"/>
                <w:i w:val="0"/>
                <w:sz w:val="19"/>
              </w:rPr>
              <w:t>margin-pool.html</w:t>
            </w:r>
          </w:p>
        </w:tc>
        <w:tc>
          <w:tcPr>
            <w:tcW w:type="dxa" w:w="1119"/>
          </w:tcPr>
          <w:p>
            <w:pPr>
              <w:spacing w:before="20" w:after="20" w:line="276" w:lineRule="auto"/>
              <w:ind w:firstLine="0"/>
            </w:pPr>
            <w:r/>
            <w:r>
              <w:rPr>
                <w:rFonts w:ascii="Times New Roman" w:hAnsi="Times New Roman" w:eastAsia="宋体"/>
                <w:b w:val="0"/>
                <w:i w:val="0"/>
                <w:sz w:val="19"/>
              </w:rPr>
              <w:t>数字供应链 / 资金管理 / 保证金管理</w:t>
            </w:r>
          </w:p>
        </w:tc>
        <w:tc>
          <w:tcPr>
            <w:tcW w:type="dxa" w:w="2062"/>
          </w:tcPr>
          <w:p>
            <w:pPr>
              <w:spacing w:before="20" w:after="20" w:line="276" w:lineRule="auto"/>
              <w:ind w:firstLine="0"/>
            </w:pPr>
            <w:r/>
            <w:r>
              <w:rPr>
                <w:rFonts w:ascii="Times New Roman" w:hAnsi="Times New Roman" w:eastAsia="宋体"/>
                <w:b w:val="0"/>
                <w:i w:val="0"/>
                <w:sz w:val="19"/>
              </w:rPr>
              <w:t>6 张统计卡片 + 业务线筛选下拉 + 13 列表格（销售订单或单批次合同编号、买方企业、品名、合同数量、当前比例与合同应缴比例、应付保证金金额、已付保证金金额、已回款总金额、敞口金额、保证金金额、合同签订日期、等比例冲抵货款、操作）</w:t>
            </w:r>
          </w:p>
        </w:tc>
        <w:tc>
          <w:tcPr>
            <w:tcW w:type="dxa" w:w="1767"/>
          </w:tcPr>
          <w:p>
            <w:pPr>
              <w:spacing w:before="20" w:after="20" w:line="276" w:lineRule="auto"/>
              <w:ind w:firstLine="0"/>
            </w:pPr>
            <w:r/>
            <w:r>
              <w:rPr>
                <w:rFonts w:ascii="Times New Roman" w:hAnsi="Times New Roman" w:eastAsia="宋体"/>
                <w:b w:val="0"/>
                <w:i w:val="0"/>
                <w:sz w:val="19"/>
              </w:rPr>
              <w:t>查询 / 重置 / 确定 / 取消 / 行内登记保证金 / 详情 / 调整 / 等比例冲抵货款开关与调整比例 / 变更记录</w:t>
            </w:r>
          </w:p>
        </w:tc>
        <w:tc>
          <w:tcPr>
            <w:tcW w:type="dxa" w:w="1414"/>
          </w:tcPr>
          <w:p>
            <w:pPr>
              <w:spacing w:before="20" w:after="20" w:line="276" w:lineRule="auto"/>
              <w:ind w:firstLine="0"/>
            </w:pPr>
            <w:r/>
            <w:r>
              <w:rPr>
                <w:rFonts w:ascii="Times New Roman" w:hAnsi="Times New Roman" w:eastAsia="宋体"/>
                <w:b w:val="0"/>
                <w:i w:val="0"/>
                <w:sz w:val="19"/>
              </w:rPr>
              <w:t>行内登记保证金跳转到保证金登记页 margin-register.html；行内调整跳转到保证金调整页 margin-adjust.html；行内详情跳转到保证金调整记录详情页 margin-adjust-detail.html</w:t>
            </w:r>
          </w:p>
        </w:tc>
      </w:tr>
      <w:tr>
        <w:tc>
          <w:tcPr>
            <w:tcW w:type="dxa" w:w="1178"/>
          </w:tcPr>
          <w:p>
            <w:pPr>
              <w:spacing w:before="20" w:after="20" w:line="276" w:lineRule="auto"/>
              <w:ind w:firstLine="0"/>
            </w:pPr>
            <w:r/>
            <w:r>
              <w:rPr>
                <w:rFonts w:ascii="Times New Roman" w:hAnsi="Times New Roman" w:eastAsia="宋体"/>
                <w:b w:val="0"/>
                <w:i w:val="0"/>
                <w:sz w:val="19"/>
              </w:rPr>
              <w:t>保证金登记</w:t>
            </w:r>
          </w:p>
        </w:tc>
        <w:tc>
          <w:tcPr>
            <w:tcW w:type="dxa" w:w="1531"/>
          </w:tcPr>
          <w:p>
            <w:pPr>
              <w:spacing w:before="20" w:after="20" w:line="276" w:lineRule="auto"/>
              <w:ind w:firstLine="0"/>
            </w:pPr>
            <w:r/>
            <w:r>
              <w:rPr>
                <w:rFonts w:ascii="Times New Roman" w:hAnsi="Times New Roman" w:eastAsia="宋体"/>
                <w:b w:val="0"/>
                <w:i w:val="0"/>
                <w:sz w:val="19"/>
              </w:rPr>
              <w:t>margin-register.html</w:t>
            </w:r>
          </w:p>
        </w:tc>
        <w:tc>
          <w:tcPr>
            <w:tcW w:type="dxa" w:w="1119"/>
          </w:tcPr>
          <w:p>
            <w:pPr>
              <w:spacing w:before="20" w:after="20" w:line="276" w:lineRule="auto"/>
              <w:ind w:firstLine="0"/>
            </w:pPr>
            <w:r/>
            <w:r>
              <w:rPr>
                <w:rFonts w:ascii="Times New Roman" w:hAnsi="Times New Roman" w:eastAsia="宋体"/>
                <w:b w:val="0"/>
                <w:i w:val="0"/>
                <w:sz w:val="19"/>
              </w:rPr>
              <w:t>保证金池列表行内「登记保证金」（无独立一级菜单入口）</w:t>
            </w:r>
          </w:p>
        </w:tc>
        <w:tc>
          <w:tcPr>
            <w:tcW w:type="dxa" w:w="2062"/>
          </w:tcPr>
          <w:p>
            <w:pPr>
              <w:spacing w:before="20" w:after="20" w:line="276" w:lineRule="auto"/>
              <w:ind w:firstLine="0"/>
            </w:pPr>
            <w:r/>
            <w:r>
              <w:rPr>
                <w:rFonts w:ascii="Times New Roman" w:hAnsi="Times New Roman" w:eastAsia="宋体"/>
                <w:b w:val="0"/>
                <w:i w:val="0"/>
                <w:sz w:val="19"/>
              </w:rPr>
              <w:t>销售合同信息 + 登记信息（应付保证金金额、合同设置比例、已付保证金金额、本次登记保证金金额）+ 附件 + 等比例冲抵配置只读回显</w:t>
            </w:r>
          </w:p>
        </w:tc>
        <w:tc>
          <w:tcPr>
            <w:tcW w:type="dxa" w:w="1767"/>
          </w:tcPr>
          <w:p>
            <w:pPr>
              <w:spacing w:before="20" w:after="20" w:line="276" w:lineRule="auto"/>
              <w:ind w:firstLine="0"/>
            </w:pPr>
            <w:r/>
            <w:r>
              <w:rPr>
                <w:rFonts w:ascii="Times New Roman" w:hAnsi="Times New Roman" w:eastAsia="宋体"/>
                <w:b w:val="0"/>
                <w:i w:val="0"/>
                <w:sz w:val="19"/>
              </w:rPr>
              <w:t>上传 / 提交 / 取消 / 确定</w:t>
            </w:r>
          </w:p>
        </w:tc>
        <w:tc>
          <w:tcPr>
            <w:tcW w:type="dxa" w:w="1414"/>
          </w:tcPr>
          <w:p>
            <w:pPr>
              <w:spacing w:before="20" w:after="20" w:line="276" w:lineRule="auto"/>
              <w:ind w:firstLine="0"/>
            </w:pPr>
            <w:r/>
            <w:r>
              <w:rPr>
                <w:rFonts w:ascii="Times New Roman" w:hAnsi="Times New Roman" w:eastAsia="宋体"/>
                <w:b w:val="0"/>
                <w:i w:val="0"/>
                <w:sz w:val="19"/>
              </w:rPr>
              <w:t>提交成功后回到保证金池列表，余额更新并生成一条流水记录</w:t>
            </w:r>
          </w:p>
        </w:tc>
      </w:tr>
      <w:tr>
        <w:tc>
          <w:tcPr>
            <w:tcW w:type="dxa" w:w="1178"/>
          </w:tcPr>
          <w:p>
            <w:pPr>
              <w:spacing w:before="20" w:after="20" w:line="276" w:lineRule="auto"/>
              <w:ind w:firstLine="0"/>
            </w:pPr>
            <w:r/>
            <w:r>
              <w:rPr>
                <w:rFonts w:ascii="Times New Roman" w:hAnsi="Times New Roman" w:eastAsia="宋体"/>
                <w:b w:val="0"/>
                <w:i w:val="0"/>
                <w:sz w:val="19"/>
              </w:rPr>
              <w:t>保证金调整</w:t>
            </w:r>
          </w:p>
        </w:tc>
        <w:tc>
          <w:tcPr>
            <w:tcW w:type="dxa" w:w="1531"/>
          </w:tcPr>
          <w:p>
            <w:pPr>
              <w:spacing w:before="20" w:after="20" w:line="276" w:lineRule="auto"/>
              <w:ind w:firstLine="0"/>
            </w:pPr>
            <w:r/>
            <w:r>
              <w:rPr>
                <w:rFonts w:ascii="Times New Roman" w:hAnsi="Times New Roman" w:eastAsia="宋体"/>
                <w:b w:val="0"/>
                <w:i w:val="0"/>
                <w:sz w:val="19"/>
              </w:rPr>
              <w:t>margin-adjust.html</w:t>
            </w:r>
          </w:p>
        </w:tc>
        <w:tc>
          <w:tcPr>
            <w:tcW w:type="dxa" w:w="1119"/>
          </w:tcPr>
          <w:p>
            <w:pPr>
              <w:spacing w:before="20" w:after="20" w:line="276" w:lineRule="auto"/>
              <w:ind w:firstLine="0"/>
            </w:pPr>
            <w:r/>
            <w:r>
              <w:rPr>
                <w:rFonts w:ascii="Times New Roman" w:hAnsi="Times New Roman" w:eastAsia="宋体"/>
                <w:b w:val="0"/>
                <w:i w:val="0"/>
                <w:sz w:val="19"/>
              </w:rPr>
              <w:t>保证金池列表行内「调整」</w:t>
            </w:r>
          </w:p>
        </w:tc>
        <w:tc>
          <w:tcPr>
            <w:tcW w:type="dxa" w:w="2062"/>
          </w:tcPr>
          <w:p>
            <w:pPr>
              <w:spacing w:before="20" w:after="20" w:line="276" w:lineRule="auto"/>
              <w:ind w:firstLine="0"/>
            </w:pPr>
            <w:r/>
            <w:r>
              <w:rPr>
                <w:rFonts w:ascii="Times New Roman" w:hAnsi="Times New Roman" w:eastAsia="宋体"/>
                <w:b w:val="0"/>
                <w:i w:val="0"/>
                <w:sz w:val="19"/>
              </w:rPr>
              <w:t>调整方式选择 + 选择销售订单合同 + 冲抵或退款明细 + 附件区 + 调整列表</w:t>
            </w:r>
          </w:p>
        </w:tc>
        <w:tc>
          <w:tcPr>
            <w:tcW w:type="dxa" w:w="1767"/>
          </w:tcPr>
          <w:p>
            <w:pPr>
              <w:spacing w:before="20" w:after="20" w:line="276" w:lineRule="auto"/>
              <w:ind w:firstLine="0"/>
            </w:pPr>
            <w:r/>
            <w:r>
              <w:rPr>
                <w:rFonts w:ascii="Times New Roman" w:hAnsi="Times New Roman" w:eastAsia="宋体"/>
                <w:b w:val="0"/>
                <w:i w:val="0"/>
                <w:sz w:val="19"/>
              </w:rPr>
              <w:t>选择销售订单合同 / 上传 / 查询 / 确定 / 重置 / 提交 / 取消</w:t>
            </w:r>
          </w:p>
        </w:tc>
        <w:tc>
          <w:tcPr>
            <w:tcW w:type="dxa" w:w="1414"/>
          </w:tcPr>
          <w:p>
            <w:pPr>
              <w:spacing w:before="20" w:after="20" w:line="276" w:lineRule="auto"/>
              <w:ind w:firstLine="0"/>
            </w:pPr>
            <w:r/>
            <w:r>
              <w:rPr>
                <w:rFonts w:ascii="Times New Roman" w:hAnsi="Times New Roman" w:eastAsia="宋体"/>
                <w:b w:val="0"/>
                <w:i w:val="0"/>
                <w:sz w:val="19"/>
              </w:rPr>
              <w:t>提交后进入 OA 审核，审核结果回流保证金调整记录详情页 margin-adjust-detail.html</w:t>
            </w:r>
          </w:p>
        </w:tc>
      </w:tr>
      <w:tr>
        <w:tc>
          <w:tcPr>
            <w:tcW w:type="dxa" w:w="1178"/>
          </w:tcPr>
          <w:p>
            <w:pPr>
              <w:spacing w:before="20" w:after="20" w:line="276" w:lineRule="auto"/>
              <w:ind w:firstLine="0"/>
            </w:pPr>
            <w:r/>
            <w:r>
              <w:rPr>
                <w:rFonts w:ascii="Times New Roman" w:hAnsi="Times New Roman" w:eastAsia="宋体"/>
                <w:b w:val="0"/>
                <w:i w:val="0"/>
                <w:sz w:val="19"/>
              </w:rPr>
              <w:t>保证金调整记录详情</w:t>
            </w:r>
          </w:p>
        </w:tc>
        <w:tc>
          <w:tcPr>
            <w:tcW w:type="dxa" w:w="1531"/>
          </w:tcPr>
          <w:p>
            <w:pPr>
              <w:spacing w:before="20" w:after="20" w:line="276" w:lineRule="auto"/>
              <w:ind w:firstLine="0"/>
            </w:pPr>
            <w:r/>
            <w:r>
              <w:rPr>
                <w:rFonts w:ascii="Times New Roman" w:hAnsi="Times New Roman" w:eastAsia="宋体"/>
                <w:b w:val="0"/>
                <w:i w:val="0"/>
                <w:sz w:val="19"/>
              </w:rPr>
              <w:t>margin-adjust-detail.html</w:t>
            </w:r>
          </w:p>
        </w:tc>
        <w:tc>
          <w:tcPr>
            <w:tcW w:type="dxa" w:w="1119"/>
          </w:tcPr>
          <w:p>
            <w:pPr>
              <w:spacing w:before="20" w:after="20" w:line="276" w:lineRule="auto"/>
              <w:ind w:firstLine="0"/>
            </w:pPr>
            <w:r/>
            <w:r>
              <w:rPr>
                <w:rFonts w:ascii="Times New Roman" w:hAnsi="Times New Roman" w:eastAsia="宋体"/>
                <w:b w:val="0"/>
                <w:i w:val="0"/>
                <w:sz w:val="19"/>
              </w:rPr>
              <w:t>保证金池行内详情、保证金调整提交后跳转</w:t>
            </w:r>
          </w:p>
        </w:tc>
        <w:tc>
          <w:tcPr>
            <w:tcW w:type="dxa" w:w="2062"/>
          </w:tcPr>
          <w:p>
            <w:pPr>
              <w:spacing w:before="20" w:after="20" w:line="276" w:lineRule="auto"/>
              <w:ind w:firstLine="0"/>
            </w:pPr>
            <w:r/>
            <w:r>
              <w:rPr>
                <w:rFonts w:ascii="Times New Roman" w:hAnsi="Times New Roman" w:eastAsia="宋体"/>
                <w:b w:val="0"/>
                <w:i w:val="0"/>
                <w:sz w:val="19"/>
              </w:rPr>
              <w:t>销售订单或单批次合同信息 + 调整详情 + 操作记录页签</w:t>
            </w:r>
          </w:p>
        </w:tc>
        <w:tc>
          <w:tcPr>
            <w:tcW w:type="dxa" w:w="1767"/>
          </w:tcPr>
          <w:p>
            <w:pPr>
              <w:spacing w:before="20" w:after="20" w:line="276" w:lineRule="auto"/>
              <w:ind w:firstLine="0"/>
            </w:pPr>
            <w:r/>
            <w:r>
              <w:rPr>
                <w:rFonts w:ascii="Times New Roman" w:hAnsi="Times New Roman" w:eastAsia="宋体"/>
                <w:b w:val="0"/>
                <w:i w:val="0"/>
                <w:sz w:val="19"/>
              </w:rPr>
              <w:t>保存 / 取消 / 返回 / 设置等比例冲抵货款比例</w:t>
            </w:r>
          </w:p>
        </w:tc>
        <w:tc>
          <w:tcPr>
            <w:tcW w:type="dxa" w:w="1414"/>
          </w:tcPr>
          <w:p>
            <w:pPr>
              <w:spacing w:before="20" w:after="20" w:line="276" w:lineRule="auto"/>
              <w:ind w:firstLine="0"/>
            </w:pPr>
            <w:r/>
            <w:r>
              <w:rPr>
                <w:rFonts w:ascii="Times New Roman" w:hAnsi="Times New Roman" w:eastAsia="宋体"/>
                <w:b w:val="0"/>
                <w:i w:val="0"/>
                <w:sz w:val="19"/>
              </w:rPr>
              <w:t>可跳回保证金池列表与相关合同、追保函</w:t>
            </w:r>
          </w:p>
        </w:tc>
      </w:tr>
      <w:tr>
        <w:tc>
          <w:tcPr>
            <w:tcW w:type="dxa" w:w="1178"/>
          </w:tcPr>
          <w:p>
            <w:pPr>
              <w:spacing w:before="20" w:after="20" w:line="276" w:lineRule="auto"/>
              <w:ind w:firstLine="0"/>
            </w:pPr>
            <w:r/>
            <w:r>
              <w:rPr>
                <w:rFonts w:ascii="Times New Roman" w:hAnsi="Times New Roman" w:eastAsia="宋体"/>
                <w:b w:val="0"/>
                <w:i w:val="0"/>
                <w:sz w:val="19"/>
              </w:rPr>
              <w:t>保证金调整记录（历史流水页，已停用）</w:t>
            </w:r>
          </w:p>
        </w:tc>
        <w:tc>
          <w:tcPr>
            <w:tcW w:type="dxa" w:w="1531"/>
          </w:tcPr>
          <w:p>
            <w:pPr>
              <w:spacing w:before="20" w:after="20" w:line="276" w:lineRule="auto"/>
              <w:ind w:firstLine="0"/>
            </w:pPr>
            <w:r/>
            <w:r>
              <w:rPr>
                <w:rFonts w:ascii="Times New Roman" w:hAnsi="Times New Roman" w:eastAsia="宋体"/>
                <w:b w:val="0"/>
                <w:i w:val="0"/>
                <w:sz w:val="19"/>
              </w:rPr>
              <w:t>margin-record.html</w:t>
            </w:r>
          </w:p>
        </w:tc>
        <w:tc>
          <w:tcPr>
            <w:tcW w:type="dxa" w:w="1119"/>
          </w:tcPr>
          <w:p>
            <w:pPr>
              <w:spacing w:before="20" w:after="20" w:line="276" w:lineRule="auto"/>
              <w:ind w:firstLine="0"/>
            </w:pPr>
            <w:r/>
            <w:r>
              <w:rPr>
                <w:rFonts w:ascii="Times New Roman" w:hAnsi="Times New Roman" w:eastAsia="宋体"/>
                <w:b w:val="0"/>
                <w:i w:val="0"/>
                <w:sz w:val="19"/>
              </w:rPr>
              <w:t>历史入口，v1.7.99.196 起停用，由保证金调整记录详情页取代</w:t>
            </w:r>
          </w:p>
        </w:tc>
        <w:tc>
          <w:tcPr>
            <w:tcW w:type="dxa" w:w="2062"/>
          </w:tcPr>
          <w:p>
            <w:pPr>
              <w:spacing w:before="20" w:after="20" w:line="276" w:lineRule="auto"/>
              <w:ind w:firstLine="0"/>
            </w:pPr>
            <w:r/>
            <w:r>
              <w:rPr>
                <w:rFonts w:ascii="Times New Roman" w:hAnsi="Times New Roman" w:eastAsia="宋体"/>
                <w:b w:val="0"/>
                <w:i w:val="0"/>
                <w:sz w:val="19"/>
              </w:rPr>
              <w:t>3 个页签（全部、已生效、已驳回）+ 流水明细表格</w:t>
            </w:r>
          </w:p>
        </w:tc>
        <w:tc>
          <w:tcPr>
            <w:tcW w:type="dxa" w:w="1767"/>
          </w:tcPr>
          <w:p>
            <w:pPr>
              <w:spacing w:before="20" w:after="20" w:line="276" w:lineRule="auto"/>
              <w:ind w:firstLine="0"/>
            </w:pPr>
            <w:r/>
            <w:r>
              <w:rPr>
                <w:rFonts w:ascii="Times New Roman" w:hAnsi="Times New Roman" w:eastAsia="宋体"/>
                <w:b w:val="0"/>
                <w:i w:val="0"/>
                <w:sz w:val="19"/>
              </w:rPr>
              <w:t>查询 / 重置</w:t>
            </w:r>
          </w:p>
        </w:tc>
        <w:tc>
          <w:tcPr>
            <w:tcW w:type="dxa" w:w="1414"/>
          </w:tcPr>
          <w:p>
            <w:pPr>
              <w:spacing w:before="20" w:after="20" w:line="276" w:lineRule="auto"/>
              <w:ind w:firstLine="0"/>
            </w:pPr>
            <w:r/>
            <w:r>
              <w:rPr>
                <w:rFonts w:ascii="Times New Roman" w:hAnsi="Times New Roman" w:eastAsia="宋体"/>
                <w:b w:val="0"/>
                <w:i w:val="0"/>
                <w:sz w:val="19"/>
              </w:rPr>
              <w:t>停用页，保留用于历史数据追溯</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4.14.8　验收标准与待确认项</w:t>
      </w:r>
    </w:p>
    <w:tbl>
      <w:tblPr>
        <w:tblStyle w:val="TableGrid"/>
        <w:tblW w:type="auto" w:w="0"/>
        <w:jc w:val="center"/>
        <w:tblLayout w:type="fixed"/>
        <w:tblLook w:firstColumn="1" w:firstRow="1" w:lastColumn="0" w:lastRow="0" w:noHBand="0" w:noVBand="1" w:val="04A0"/>
      </w:tblPr>
      <w:tblGrid>
        <w:gridCol w:w="4479"/>
        <w:gridCol w:w="4479"/>
      </w:tblGrid>
      <w:tr>
        <w:trPr>
          <w:tblHeader w:val="true"/>
        </w:trPr>
        <w:tc>
          <w:tcPr>
            <w:tcW w:type="dxa" w:w="1701"/>
            <w:shd w:val="clear" w:color="auto" w:fill="DCE6F1"/>
          </w:tcPr>
          <w:p>
            <w:pPr>
              <w:spacing w:before="40" w:after="40" w:line="276" w:lineRule="auto"/>
              <w:jc w:val="center"/>
            </w:pPr>
            <w:r/>
            <w:r>
              <w:rPr>
                <w:rFonts w:ascii="Times New Roman" w:hAnsi="Times New Roman" w:eastAsia="黑体"/>
                <w:b/>
                <w:i w:val="0"/>
                <w:sz w:val="21"/>
              </w:rPr>
              <w:t>功能</w:t>
            </w:r>
          </w:p>
        </w:tc>
        <w:tc>
          <w:tcPr>
            <w:tcW w:type="dxa" w:w="7370"/>
            <w:shd w:val="clear" w:color="auto" w:fill="DCE6F1"/>
          </w:tcPr>
          <w:p>
            <w:pPr>
              <w:spacing w:before="40" w:after="40" w:line="276" w:lineRule="auto"/>
              <w:jc w:val="center"/>
            </w:pPr>
            <w:r/>
            <w:r>
              <w:rPr>
                <w:rFonts w:ascii="Times New Roman" w:hAnsi="Times New Roman" w:eastAsia="黑体"/>
                <w:b/>
                <w:i w:val="0"/>
                <w:sz w:val="21"/>
              </w:rPr>
              <w:t>验收要点（由关键规则转写）</w:t>
            </w:r>
          </w:p>
        </w:tc>
      </w:tr>
      <w:tr>
        <w:tc>
          <w:tcPr>
            <w:tcW w:type="dxa" w:w="1701"/>
          </w:tcPr>
          <w:p>
            <w:pPr>
              <w:spacing w:before="20" w:after="20" w:line="276" w:lineRule="auto"/>
              <w:ind w:firstLine="0"/>
            </w:pPr>
            <w:r/>
            <w:r>
              <w:rPr>
                <w:rFonts w:ascii="Times New Roman" w:hAnsi="Times New Roman" w:eastAsia="宋体"/>
                <w:b w:val="0"/>
                <w:i w:val="0"/>
                <w:sz w:val="21"/>
              </w:rPr>
              <w:t>保证金池列表与 KPI 汇总</w:t>
            </w:r>
          </w:p>
        </w:tc>
        <w:tc>
          <w:tcPr>
            <w:tcW w:type="dxa" w:w="7370"/>
          </w:tcPr>
          <w:p>
            <w:pPr>
              <w:spacing w:before="20" w:after="20" w:line="276" w:lineRule="auto"/>
              <w:ind w:firstLine="0"/>
            </w:pPr>
            <w:r/>
            <w:r>
              <w:rPr>
                <w:rFonts w:ascii="Times New Roman" w:hAnsi="Times New Roman" w:eastAsia="宋体"/>
                <w:b w:val="0"/>
                <w:i w:val="0"/>
                <w:sz w:val="21"/>
              </w:rPr>
              <w:t>统计卡片为应付保证金金额、已付保证金金额、已回款总金额、敞口金额、当前保证金金额、当前保证金比例；KPI 口径为付款总金额等于平台中所有采购合同的付款金额总和，已回款总金额等于平台中所有销售合同回款金额总和，敞口金额等于付款总金额减已回款总金额（不可颠倒），当前保证金金额等于已回款总金额乘保证金百分比，当前保证金比例等于当前保证金金额除以敞口金额乘百分之百并四舍五入保留两位小数；列表字段中的付款金额与已回款总金额取业务线上游与下游合同口径</w:t>
            </w:r>
          </w:p>
        </w:tc>
      </w:tr>
      <w:tr>
        <w:tc>
          <w:tcPr>
            <w:tcW w:type="dxa" w:w="1701"/>
          </w:tcPr>
          <w:p>
            <w:pPr>
              <w:spacing w:before="20" w:after="20" w:line="276" w:lineRule="auto"/>
              <w:ind w:firstLine="0"/>
            </w:pPr>
            <w:r/>
            <w:r>
              <w:rPr>
                <w:rFonts w:ascii="Times New Roman" w:hAnsi="Times New Roman" w:eastAsia="宋体"/>
                <w:b w:val="0"/>
                <w:i w:val="0"/>
                <w:sz w:val="21"/>
              </w:rPr>
              <w:t>待缴保证金记录自动生成</w:t>
            </w:r>
          </w:p>
        </w:tc>
        <w:tc>
          <w:tcPr>
            <w:tcW w:type="dxa" w:w="7370"/>
          </w:tcPr>
          <w:p>
            <w:pPr>
              <w:spacing w:before="20" w:after="20" w:line="276" w:lineRule="auto"/>
              <w:ind w:firstLine="0"/>
            </w:pPr>
            <w:r/>
            <w:r>
              <w:rPr>
                <w:rFonts w:ascii="Times New Roman" w:hAnsi="Times New Roman" w:eastAsia="宋体"/>
                <w:b w:val="0"/>
                <w:i w:val="0"/>
                <w:sz w:val="21"/>
              </w:rPr>
              <w:t>创建销售合同时填写保证金比例即自动生成一条待缴保证金记录，保证金池列表按业务线汇总；保证金比例挂在合同上（合同设置比例），登记时用户可按实际应付调整</w:t>
            </w:r>
          </w:p>
        </w:tc>
      </w:tr>
      <w:tr>
        <w:tc>
          <w:tcPr>
            <w:tcW w:type="dxa" w:w="1701"/>
          </w:tcPr>
          <w:p>
            <w:pPr>
              <w:spacing w:before="20" w:after="20" w:line="276" w:lineRule="auto"/>
              <w:ind w:firstLine="0"/>
            </w:pPr>
            <w:r/>
            <w:r>
              <w:rPr>
                <w:rFonts w:ascii="Times New Roman" w:hAnsi="Times New Roman" w:eastAsia="宋体"/>
                <w:b w:val="0"/>
                <w:i w:val="0"/>
                <w:sz w:val="21"/>
              </w:rPr>
              <w:t>保证金登记</w:t>
            </w:r>
          </w:p>
        </w:tc>
        <w:tc>
          <w:tcPr>
            <w:tcW w:type="dxa" w:w="7370"/>
          </w:tcPr>
          <w:p>
            <w:pPr>
              <w:spacing w:before="20" w:after="20" w:line="276" w:lineRule="auto"/>
              <w:ind w:firstLine="0"/>
            </w:pPr>
            <w:r/>
            <w:r>
              <w:rPr>
                <w:rFonts w:ascii="Times New Roman" w:hAnsi="Times New Roman" w:eastAsia="宋体"/>
                <w:b w:val="0"/>
                <w:i w:val="0"/>
                <w:sz w:val="21"/>
              </w:rPr>
              <w:t>应付保证金金额默认回显合同实际应付值且可调整；合同设置比例默认回显且可调整；已付保证金金额仅回显不可调整，等于实际登记为保证金的凭证总金额；本次登记保证金金额为录入项；附件为保证金相应单据；登记金额超过应付保证金时顶部橙色提示「该合同保证金已足额，登记会超额」并提供「查看保证金池」链接，允许提交</w:t>
            </w:r>
          </w:p>
        </w:tc>
      </w:tr>
      <w:tr>
        <w:tc>
          <w:tcPr>
            <w:tcW w:type="dxa" w:w="1701"/>
          </w:tcPr>
          <w:p>
            <w:pPr>
              <w:spacing w:before="20" w:after="20" w:line="276" w:lineRule="auto"/>
              <w:ind w:firstLine="0"/>
            </w:pPr>
            <w:r/>
            <w:r>
              <w:rPr>
                <w:rFonts w:ascii="Times New Roman" w:hAnsi="Times New Roman" w:eastAsia="宋体"/>
                <w:b w:val="0"/>
                <w:i w:val="0"/>
                <w:sz w:val="21"/>
              </w:rPr>
              <w:t>保证金并发登记保护</w:t>
            </w:r>
          </w:p>
        </w:tc>
        <w:tc>
          <w:tcPr>
            <w:tcW w:type="dxa" w:w="7370"/>
          </w:tcPr>
          <w:p>
            <w:pPr>
              <w:spacing w:before="20" w:after="20" w:line="276" w:lineRule="auto"/>
              <w:ind w:firstLine="0"/>
            </w:pPr>
            <w:r/>
            <w:r>
              <w:rPr>
                <w:rFonts w:ascii="Times New Roman" w:hAnsi="Times New Roman" w:eastAsia="宋体"/>
                <w:b w:val="0"/>
                <w:i w:val="0"/>
                <w:sz w:val="21"/>
              </w:rPr>
              <w:t>同一合同并发登记时提交前二次校验已付金额，被他人覆盖时提示「已被其他登记覆盖，请刷新后重试」并阻止</w:t>
            </w:r>
          </w:p>
        </w:tc>
      </w:tr>
      <w:tr>
        <w:tc>
          <w:tcPr>
            <w:tcW w:type="dxa" w:w="1701"/>
          </w:tcPr>
          <w:p>
            <w:pPr>
              <w:spacing w:before="20" w:after="20" w:line="276" w:lineRule="auto"/>
              <w:ind w:firstLine="0"/>
            </w:pPr>
            <w:r/>
            <w:r>
              <w:rPr>
                <w:rFonts w:ascii="Times New Roman" w:hAnsi="Times New Roman" w:eastAsia="宋体"/>
                <w:b w:val="0"/>
                <w:i w:val="0"/>
                <w:sz w:val="21"/>
              </w:rPr>
              <w:t>保证金调整（三种方式）</w:t>
            </w:r>
          </w:p>
        </w:tc>
        <w:tc>
          <w:tcPr>
            <w:tcW w:type="dxa" w:w="7370"/>
          </w:tcPr>
          <w:p>
            <w:pPr>
              <w:spacing w:before="20" w:after="20" w:line="276" w:lineRule="auto"/>
              <w:ind w:firstLine="0"/>
            </w:pPr>
            <w:r/>
            <w:r>
              <w:rPr>
                <w:rFonts w:ascii="Times New Roman" w:hAnsi="Times New Roman" w:eastAsia="宋体"/>
                <w:b w:val="0"/>
                <w:i w:val="0"/>
                <w:sz w:val="21"/>
              </w:rPr>
              <w:t>调整金额必填，情况说明选填，附件非必填；冲抵货款金额与转移金额均不得超过当前保证金；转移目标合同仅限执行中或待上传双签合同，否则提示「请选择执行中或待上传双签合同」；保证金退款需填写收款账号名称（含账号与开户行）与退款日期；合同已作废时提示「合同已作废，无法调整」并阻止</w:t>
            </w:r>
          </w:p>
        </w:tc>
      </w:tr>
      <w:tr>
        <w:tc>
          <w:tcPr>
            <w:tcW w:type="dxa" w:w="1701"/>
          </w:tcPr>
          <w:p>
            <w:pPr>
              <w:spacing w:before="20" w:after="20" w:line="276" w:lineRule="auto"/>
              <w:ind w:firstLine="0"/>
            </w:pPr>
            <w:r/>
            <w:r>
              <w:rPr>
                <w:rFonts w:ascii="Times New Roman" w:hAnsi="Times New Roman" w:eastAsia="宋体"/>
                <w:b w:val="0"/>
                <w:i w:val="0"/>
                <w:sz w:val="21"/>
              </w:rPr>
              <w:t>等比例冲抵货款配置</w:t>
            </w:r>
          </w:p>
        </w:tc>
        <w:tc>
          <w:tcPr>
            <w:tcW w:type="dxa" w:w="7370"/>
          </w:tcPr>
          <w:p>
            <w:pPr>
              <w:spacing w:before="20" w:after="20" w:line="276" w:lineRule="auto"/>
              <w:ind w:firstLine="0"/>
            </w:pPr>
            <w:r/>
            <w:r>
              <w:rPr>
                <w:rFonts w:ascii="Times New Roman" w:hAnsi="Times New Roman" w:eastAsia="宋体"/>
                <w:b w:val="0"/>
                <w:i w:val="0"/>
                <w:sz w:val="21"/>
              </w:rPr>
              <w:t>仅当该合同已付金额不低于应付总额时允许开启，未足额时开关禁用并显示红字「未足额」徽标与具体差额提示；修改冲抵比例需二次确认，未来笔按新比例计算、已完成不回溯，变更记录最多保留 10 条；配置入口统一在保证金池页，登记页与详情页只读回显</w:t>
            </w:r>
          </w:p>
        </w:tc>
      </w:tr>
      <w:tr>
        <w:tc>
          <w:tcPr>
            <w:tcW w:type="dxa" w:w="1701"/>
          </w:tcPr>
          <w:p>
            <w:pPr>
              <w:spacing w:before="20" w:after="20" w:line="276" w:lineRule="auto"/>
              <w:ind w:firstLine="0"/>
            </w:pPr>
            <w:r/>
            <w:r>
              <w:rPr>
                <w:rFonts w:ascii="Times New Roman" w:hAnsi="Times New Roman" w:eastAsia="宋体"/>
                <w:b w:val="0"/>
                <w:i w:val="0"/>
                <w:sz w:val="21"/>
              </w:rPr>
              <w:t>调整记录与流水追溯</w:t>
            </w:r>
          </w:p>
        </w:tc>
        <w:tc>
          <w:tcPr>
            <w:tcW w:type="dxa" w:w="7370"/>
          </w:tcPr>
          <w:p>
            <w:pPr>
              <w:spacing w:before="20" w:after="20" w:line="276" w:lineRule="auto"/>
              <w:ind w:firstLine="0"/>
            </w:pPr>
            <w:r/>
            <w:r>
              <w:rPr>
                <w:rFonts w:ascii="Times New Roman" w:hAnsi="Times New Roman" w:eastAsia="宋体"/>
                <w:b w:val="0"/>
                <w:i w:val="0"/>
                <w:sz w:val="21"/>
              </w:rPr>
              <w:t>调整记录覆盖登记记录、修改记录、划账记录、配置比例记录四类；每次登记或调整生成一条流水记录，记录类型枚举值与分类法的对应关系待确认</w:t>
            </w:r>
          </w:p>
        </w:tc>
      </w:tr>
      <w:tr>
        <w:tc>
          <w:tcPr>
            <w:tcW w:type="dxa" w:w="1701"/>
          </w:tcPr>
          <w:p>
            <w:pPr>
              <w:spacing w:before="20" w:after="20" w:line="276" w:lineRule="auto"/>
              <w:ind w:firstLine="0"/>
            </w:pPr>
            <w:r/>
            <w:r>
              <w:rPr>
                <w:rFonts w:ascii="Times New Roman" w:hAnsi="Times New Roman" w:eastAsia="宋体"/>
                <w:b w:val="0"/>
                <w:i w:val="0"/>
                <w:sz w:val="21"/>
              </w:rPr>
              <w:t>余额预警与追保函联动</w:t>
            </w:r>
          </w:p>
        </w:tc>
        <w:tc>
          <w:tcPr>
            <w:tcW w:type="dxa" w:w="7370"/>
          </w:tcPr>
          <w:p>
            <w:pPr>
              <w:spacing w:before="20" w:after="20" w:line="276" w:lineRule="auto"/>
              <w:ind w:firstLine="0"/>
            </w:pPr>
            <w:r/>
            <w:r>
              <w:rPr>
                <w:rFonts w:ascii="Times New Roman" w:hAnsi="Times New Roman" w:eastAsia="宋体"/>
                <w:b w:val="0"/>
                <w:i w:val="0"/>
                <w:sz w:val="21"/>
              </w:rPr>
              <w:t>余额跌破预警线提示「客户 X 保证金余额跌破预警线」为黄灯提醒；余额跌破红线提示「客户 X 保证金余额跌破红线」并触发追保函；客户已被冻结提示「客户 X 已被冻结，不能调整保证金」，客户已作废提示「客户 X 已作废，不能调整保证金」，两种情况均阻止调整</w:t>
            </w:r>
          </w:p>
        </w:tc>
      </w:tr>
      <w:tr>
        <w:tc>
          <w:tcPr>
            <w:tcW w:type="dxa" w:w="1701"/>
          </w:tcPr>
          <w:p>
            <w:pPr>
              <w:spacing w:before="20" w:after="20" w:line="276" w:lineRule="auto"/>
              <w:ind w:firstLine="0"/>
            </w:pPr>
            <w:r/>
            <w:r>
              <w:rPr>
                <w:rFonts w:ascii="Times New Roman" w:hAnsi="Times New Roman" w:eastAsia="宋体"/>
                <w:b w:val="0"/>
                <w:i w:val="0"/>
                <w:sz w:val="21"/>
              </w:rPr>
              <w:t>金额上限与余额口径校验</w:t>
            </w:r>
          </w:p>
        </w:tc>
        <w:tc>
          <w:tcPr>
            <w:tcW w:type="dxa" w:w="7370"/>
          </w:tcPr>
          <w:p>
            <w:pPr>
              <w:spacing w:before="20" w:after="20" w:line="276" w:lineRule="auto"/>
              <w:ind w:firstLine="0"/>
            </w:pPr>
            <w:r/>
            <w:r>
              <w:rPr>
                <w:rFonts w:ascii="Times New Roman" w:hAnsi="Times New Roman" w:eastAsia="宋体"/>
                <w:b w:val="0"/>
                <w:i w:val="0"/>
                <w:sz w:val="21"/>
              </w:rPr>
              <w:t>扣减金额不得超过可用余额，否则提示「扣减金额 X 超过可用余额 Y」并阻止；冲抵金额不得超过订单未付金额，否则提示「冲抵金额 X 超过订单未付金额 Y」并阻止；可用余额等于总余额减已占用余额</w:t>
            </w:r>
          </w:p>
        </w:tc>
      </w:tr>
      <w:tr>
        <w:tc>
          <w:tcPr>
            <w:tcW w:type="dxa" w:w="1701"/>
          </w:tcPr>
          <w:p>
            <w:pPr>
              <w:spacing w:before="20" w:after="20" w:line="276" w:lineRule="auto"/>
              <w:ind w:firstLine="0"/>
            </w:pPr>
            <w:r/>
            <w:r>
              <w:rPr>
                <w:rFonts w:ascii="Times New Roman" w:hAnsi="Times New Roman" w:eastAsia="宋体"/>
                <w:b w:val="0"/>
                <w:i w:val="0"/>
                <w:sz w:val="21"/>
              </w:rPr>
              <w:t>OA 审批与 NC 回传</w:t>
            </w:r>
          </w:p>
        </w:tc>
        <w:tc>
          <w:tcPr>
            <w:tcW w:type="dxa" w:w="7370"/>
          </w:tcPr>
          <w:p>
            <w:pPr>
              <w:spacing w:before="20" w:after="20" w:line="276" w:lineRule="auto"/>
              <w:ind w:firstLine="0"/>
            </w:pPr>
            <w:r/>
            <w:r>
              <w:rPr>
                <w:rFonts w:ascii="Times New Roman" w:hAnsi="Times New Roman" w:eastAsia="宋体"/>
                <w:b w:val="0"/>
                <w:i w:val="0"/>
                <w:sz w:val="21"/>
              </w:rPr>
              <w:t>仅保证金退款走 OA 与 NC，回款本身不直接走 OA；OA 审核通过后更新保证金池余额并生成流水记录，审核驳回后在调整详情页支持调整后重提；NC 完成打款后回传实际金额，详情页操作记录页签自动回显，差额自动调整</w:t>
            </w:r>
          </w:p>
        </w:tc>
      </w:tr>
    </w:tbl>
    <w:p>
      <w:pPr>
        <w:spacing w:before="0" w:after="0" w:line="240" w:lineRule="auto"/>
      </w:pPr>
    </w:p>
    <w:p>
      <w:pPr>
        <w:spacing w:before="120" w:after="60" w:line="360" w:lineRule="auto"/>
      </w:pPr>
      <w:r>
        <w:rPr>
          <w:rFonts w:ascii="Times New Roman" w:hAnsi="Times New Roman" w:eastAsia="宋体"/>
          <w:b/>
          <w:i w:val="0"/>
          <w:sz w:val="24"/>
        </w:rPr>
        <w:t>待业务方确认：</w:t>
      </w:r>
    </w:p>
    <w:p>
      <w:pPr>
        <w:spacing w:before="0" w:after="60" w:line="336" w:lineRule="auto"/>
        <w:ind w:left="340" w:firstLine="0"/>
      </w:pPr>
      <w:r>
        <w:rPr>
          <w:rFonts w:ascii="Times New Roman" w:hAnsi="Times New Roman" w:eastAsia="宋体"/>
          <w:b w:val="0"/>
          <w:i w:val="0"/>
          <w:sz w:val="24"/>
        </w:rPr>
        <w:t>· 待业务方确认：保证金列表的组织维度——源文档 v1.0 口径为按客户维度 6 列，v1.7.99.x 与原型页面为按合同维度 13 列，两套维度需统一。</w:t>
      </w:r>
    </w:p>
    <w:p>
      <w:pPr>
        <w:spacing w:before="0" w:after="60" w:line="336" w:lineRule="auto"/>
        <w:ind w:left="340" w:firstLine="0"/>
      </w:pPr>
      <w:r>
        <w:rPr>
          <w:rFonts w:ascii="Times New Roman" w:hAnsi="Times New Roman" w:eastAsia="宋体"/>
          <w:b w:val="0"/>
          <w:i w:val="0"/>
          <w:sz w:val="24"/>
        </w:rPr>
        <w:t>· 待业务方确认：KPI 统计范围——手册口径为平台中所有采购与销售合同的汇总，列表字段口径为业务线上游与下游合同，且「已回款总金额」在两处同名不同义。</w:t>
      </w:r>
    </w:p>
    <w:p>
      <w:pPr>
        <w:spacing w:before="0" w:after="60" w:line="336" w:lineRule="auto"/>
        <w:ind w:left="340" w:firstLine="0"/>
      </w:pPr>
      <w:r>
        <w:rPr>
          <w:rFonts w:ascii="Times New Roman" w:hAnsi="Times New Roman" w:eastAsia="宋体"/>
          <w:b w:val="0"/>
          <w:i w:val="0"/>
          <w:sz w:val="24"/>
        </w:rPr>
        <w:t>· 待业务方确认：保证金调整单的状态机——源文档存在 4 状态、6 状态、3 个页签与单一「已调整」共四种说法，完整状态枚举、页签结构与状态色需确定。</w:t>
      </w:r>
    </w:p>
    <w:p>
      <w:pPr>
        <w:spacing w:before="0" w:after="60" w:line="336" w:lineRule="auto"/>
        <w:ind w:left="340" w:firstLine="0"/>
      </w:pPr>
      <w:r>
        <w:rPr>
          <w:rFonts w:ascii="Times New Roman" w:hAnsi="Times New Roman" w:eastAsia="宋体"/>
          <w:b w:val="0"/>
          <w:i w:val="0"/>
          <w:sz w:val="24"/>
        </w:rPr>
        <w:t>· 待业务方确认：保证金余额预警线与红线的具体数值、配置入口，以及保证金比例 30%、20%、10% 三档分别对应的颜色与动作。</w:t>
      </w:r>
    </w:p>
    <w:p>
      <w:pPr>
        <w:spacing w:before="0" w:after="60" w:line="336" w:lineRule="auto"/>
        <w:ind w:left="340" w:firstLine="0"/>
      </w:pPr>
      <w:r>
        <w:rPr>
          <w:rFonts w:ascii="Times New Roman" w:hAnsi="Times New Roman" w:eastAsia="宋体"/>
          <w:b w:val="0"/>
          <w:i w:val="0"/>
          <w:sz w:val="24"/>
        </w:rPr>
        <w:t>· 待业务方确认：客户额度是否随保证金余额变化重算——源文档两代口径直接对立。</w:t>
      </w:r>
    </w:p>
    <w:p>
      <w:pPr>
        <w:spacing w:before="0" w:after="60" w:line="336" w:lineRule="auto"/>
        <w:ind w:left="340" w:firstLine="0"/>
      </w:pPr>
      <w:r>
        <w:rPr>
          <w:rFonts w:ascii="Times New Roman" w:hAnsi="Times New Roman" w:eastAsia="宋体"/>
          <w:b w:val="0"/>
          <w:i w:val="0"/>
          <w:sz w:val="24"/>
        </w:rPr>
        <w:t>· 待业务方确认：等比例冲抵比例的修改入口是否唯一在保证金池页，调整详情页是否保留写入能力。</w:t>
      </w:r>
    </w:p>
    <w:p>
      <w:pPr>
        <w:spacing w:before="0" w:after="60" w:line="336" w:lineRule="auto"/>
        <w:ind w:left="340" w:firstLine="0"/>
      </w:pPr>
      <w:r>
        <w:rPr>
          <w:rFonts w:ascii="Times New Roman" w:hAnsi="Times New Roman" w:eastAsia="宋体"/>
          <w:b w:val="0"/>
          <w:i w:val="0"/>
          <w:sz w:val="24"/>
        </w:rPr>
        <w:t>· 待业务方确认：保证金调整单的审核人角色、审批 SLA 与超时动作。</w:t>
      </w:r>
    </w:p>
    <w:p>
      <w:r>
        <w:br w:type="page"/>
      </w:r>
    </w:p>
    <w:p>
      <w:pPr>
        <w:pStyle w:val="Heading2"/>
        <w:keepNext/>
        <w:spacing w:before="240" w:after="120" w:line="312" w:lineRule="auto"/>
        <w:ind w:firstLine="0"/>
      </w:pPr>
      <w:r>
        <w:rPr>
          <w:rFonts w:ascii="Times New Roman" w:hAnsi="Times New Roman" w:eastAsia="黑体"/>
          <w:b/>
          <w:i w:val="0"/>
          <w:sz w:val="28"/>
        </w:rPr>
        <w:t>4.15　结算单管理</w:t>
      </w:r>
    </w:p>
    <w:p>
      <w:pPr>
        <w:spacing w:before="0" w:after="160" w:line="360" w:lineRule="auto"/>
      </w:pPr>
      <w:r>
        <w:rPr>
          <w:rFonts w:ascii="Times New Roman" w:hAnsi="Times New Roman" w:eastAsia="宋体"/>
          <w:b w:val="0"/>
          <w:i w:val="0"/>
          <w:color w:val="595959"/>
          <w:sz w:val="21"/>
        </w:rPr>
        <w:t>菜单路径：数字供应链 / 结算单管理</w:t>
      </w:r>
    </w:p>
    <w:p>
      <w:pPr>
        <w:pStyle w:val="Heading3"/>
        <w:keepNext/>
        <w:spacing w:before="160" w:after="80" w:line="312" w:lineRule="auto"/>
        <w:ind w:firstLine="0"/>
      </w:pPr>
      <w:r>
        <w:rPr>
          <w:rFonts w:ascii="Times New Roman" w:hAnsi="Times New Roman" w:eastAsia="黑体"/>
          <w:b/>
          <w:i w:val="0"/>
          <w:sz w:val="24"/>
        </w:rPr>
        <w:t>4.15.1　一页结论</w:t>
      </w:r>
    </w:p>
    <w:p>
      <w:pPr>
        <w:spacing w:before="0" w:after="120" w:line="360" w:lineRule="auto"/>
      </w:pPr>
      <w:r>
        <w:rPr>
          <w:rFonts w:ascii="Times New Roman" w:hAnsi="Times New Roman" w:eastAsia="宋体"/>
          <w:b w:val="0"/>
          <w:i w:val="0"/>
          <w:sz w:val="24"/>
        </w:rPr>
        <w:t>以采购与销售两条主线完成货款与仓储、装卸、运费结算：自动分摊费用、串行审批、线下盖章上传单据，生效后驱动付款与开票。</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928"/>
            <w:shd w:val="clear" w:color="auto" w:fill="DCE6F1"/>
          </w:tcPr>
          <w:p>
            <w:pPr>
              <w:spacing w:before="40" w:after="40" w:line="276" w:lineRule="auto"/>
              <w:jc w:val="center"/>
            </w:pPr>
            <w:r/>
            <w:r>
              <w:rPr>
                <w:rFonts w:ascii="Times New Roman" w:hAnsi="Times New Roman" w:eastAsia="黑体"/>
                <w:b/>
                <w:i w:val="0"/>
                <w:sz w:val="21"/>
              </w:rPr>
              <w:t>问题</w:t>
            </w:r>
          </w:p>
        </w:tc>
        <w:tc>
          <w:tcPr>
            <w:tcW w:type="dxa" w:w="3572"/>
            <w:shd w:val="clear" w:color="auto" w:fill="DCE6F1"/>
          </w:tcPr>
          <w:p>
            <w:pPr>
              <w:spacing w:before="40" w:after="40" w:line="276" w:lineRule="auto"/>
              <w:jc w:val="center"/>
            </w:pPr>
            <w:r/>
            <w:r>
              <w:rPr>
                <w:rFonts w:ascii="Times New Roman" w:hAnsi="Times New Roman" w:eastAsia="黑体"/>
                <w:b/>
                <w:i w:val="0"/>
                <w:sz w:val="21"/>
              </w:rPr>
              <w:t>当前做法</w:t>
            </w:r>
          </w:p>
        </w:tc>
        <w:tc>
          <w:tcPr>
            <w:tcW w:type="dxa" w:w="3572"/>
            <w:shd w:val="clear" w:color="auto" w:fill="DCE6F1"/>
          </w:tcPr>
          <w:p>
            <w:pPr>
              <w:spacing w:before="40" w:after="40" w:line="276" w:lineRule="auto"/>
              <w:jc w:val="center"/>
            </w:pPr>
            <w:r/>
            <w:r>
              <w:rPr>
                <w:rFonts w:ascii="Times New Roman" w:hAnsi="Times New Roman" w:eastAsia="黑体"/>
                <w:b/>
                <w:i w:val="0"/>
                <w:sz w:val="21"/>
              </w:rPr>
              <w:t>本模块解法</w:t>
            </w:r>
          </w:p>
        </w:tc>
      </w:tr>
      <w:tr>
        <w:tc>
          <w:tcPr>
            <w:tcW w:type="dxa" w:w="1928"/>
          </w:tcPr>
          <w:p>
            <w:pPr>
              <w:spacing w:before="20" w:after="20" w:line="276" w:lineRule="auto"/>
              <w:ind w:firstLine="0"/>
            </w:pPr>
            <w:r/>
            <w:r>
              <w:rPr>
                <w:rFonts w:ascii="Times New Roman" w:hAnsi="Times New Roman" w:eastAsia="宋体"/>
                <w:b w:val="0"/>
                <w:i w:val="0"/>
                <w:sz w:val="21"/>
              </w:rPr>
              <w:t>货款与仓储、装卸、运费分散在不同台账</w:t>
            </w:r>
          </w:p>
        </w:tc>
        <w:tc>
          <w:tcPr>
            <w:tcW w:type="dxa" w:w="3572"/>
          </w:tcPr>
          <w:p>
            <w:pPr>
              <w:spacing w:before="20" w:after="20" w:line="276" w:lineRule="auto"/>
              <w:ind w:firstLine="0"/>
            </w:pPr>
            <w:r/>
            <w:r>
              <w:rPr>
                <w:rFonts w:ascii="Times New Roman" w:hAnsi="Times New Roman" w:eastAsia="宋体"/>
                <w:b w:val="0"/>
                <w:i w:val="0"/>
                <w:sz w:val="21"/>
              </w:rPr>
              <w:t>各项费用人工汇总，结算口径各人一套</w:t>
            </w:r>
          </w:p>
        </w:tc>
        <w:tc>
          <w:tcPr>
            <w:tcW w:type="dxa" w:w="3572"/>
          </w:tcPr>
          <w:p>
            <w:pPr>
              <w:spacing w:before="20" w:after="20" w:line="276" w:lineRule="auto"/>
              <w:ind w:firstLine="0"/>
            </w:pPr>
            <w:r/>
            <w:r>
              <w:rPr>
                <w:rFonts w:ascii="Times New Roman" w:hAnsi="Times New Roman" w:eastAsia="宋体"/>
                <w:b w:val="0"/>
                <w:i w:val="0"/>
                <w:sz w:val="21"/>
              </w:rPr>
              <w:t>创建结算单时系统自动计算货款并按比例分摊仓储、装卸、运费，业务员可在同一张单上调整</w:t>
            </w:r>
          </w:p>
        </w:tc>
      </w:tr>
      <w:tr>
        <w:tc>
          <w:tcPr>
            <w:tcW w:type="dxa" w:w="1928"/>
          </w:tcPr>
          <w:p>
            <w:pPr>
              <w:spacing w:before="20" w:after="20" w:line="276" w:lineRule="auto"/>
              <w:ind w:firstLine="0"/>
            </w:pPr>
            <w:r/>
            <w:r>
              <w:rPr>
                <w:rFonts w:ascii="Times New Roman" w:hAnsi="Times New Roman" w:eastAsia="宋体"/>
                <w:b w:val="0"/>
                <w:i w:val="0"/>
                <w:sz w:val="21"/>
              </w:rPr>
              <w:t>结算与货权流转脱节，结算依据不清晰</w:t>
            </w:r>
          </w:p>
        </w:tc>
        <w:tc>
          <w:tcPr>
            <w:tcW w:type="dxa" w:w="3572"/>
          </w:tcPr>
          <w:p>
            <w:pPr>
              <w:spacing w:before="20" w:after="20" w:line="276" w:lineRule="auto"/>
              <w:ind w:firstLine="0"/>
            </w:pPr>
            <w:r/>
            <w:r>
              <w:rPr>
                <w:rFonts w:ascii="Times New Roman" w:hAnsi="Times New Roman" w:eastAsia="宋体"/>
                <w:b w:val="0"/>
                <w:i w:val="0"/>
                <w:sz w:val="21"/>
              </w:rPr>
              <w:t>结算依据靠人工找发货记录，容易多结或漏结</w:t>
            </w:r>
          </w:p>
        </w:tc>
        <w:tc>
          <w:tcPr>
            <w:tcW w:type="dxa" w:w="3572"/>
          </w:tcPr>
          <w:p>
            <w:pPr>
              <w:spacing w:before="20" w:after="20" w:line="276" w:lineRule="auto"/>
              <w:ind w:firstLine="0"/>
            </w:pPr>
            <w:r/>
            <w:r>
              <w:rPr>
                <w:rFonts w:ascii="Times New Roman" w:hAnsi="Times New Roman" w:eastAsia="宋体"/>
                <w:b w:val="0"/>
                <w:i w:val="0"/>
                <w:sz w:val="21"/>
              </w:rPr>
              <w:t>销售结算只允许勾选已生效且未关联结算单的货转记录，并把货转编号写进结算单</w:t>
            </w:r>
          </w:p>
        </w:tc>
      </w:tr>
      <w:tr>
        <w:tc>
          <w:tcPr>
            <w:tcW w:type="dxa" w:w="1928"/>
          </w:tcPr>
          <w:p>
            <w:pPr>
              <w:spacing w:before="20" w:after="20" w:line="276" w:lineRule="auto"/>
              <w:ind w:firstLine="0"/>
            </w:pPr>
            <w:r/>
            <w:r>
              <w:rPr>
                <w:rFonts w:ascii="Times New Roman" w:hAnsi="Times New Roman" w:eastAsia="宋体"/>
                <w:b w:val="0"/>
                <w:i w:val="0"/>
                <w:sz w:val="21"/>
              </w:rPr>
              <w:t>签章与审批路径不清晰</w:t>
            </w:r>
          </w:p>
        </w:tc>
        <w:tc>
          <w:tcPr>
            <w:tcW w:type="dxa" w:w="3572"/>
          </w:tcPr>
          <w:p>
            <w:pPr>
              <w:spacing w:before="20" w:after="20" w:line="276" w:lineRule="auto"/>
              <w:ind w:firstLine="0"/>
            </w:pPr>
            <w:r/>
            <w:r>
              <w:rPr>
                <w:rFonts w:ascii="Times New Roman" w:hAnsi="Times New Roman" w:eastAsia="宋体"/>
                <w:b w:val="0"/>
                <w:i w:val="0"/>
                <w:sz w:val="21"/>
              </w:rPr>
              <w:t>盖章件与双签件走同一套流程，业务反复问</w:t>
            </w:r>
          </w:p>
        </w:tc>
        <w:tc>
          <w:tcPr>
            <w:tcW w:type="dxa" w:w="3572"/>
          </w:tcPr>
          <w:p>
            <w:pPr>
              <w:spacing w:before="20" w:after="20" w:line="276" w:lineRule="auto"/>
              <w:ind w:firstLine="0"/>
            </w:pPr>
            <w:r/>
            <w:r>
              <w:rPr>
                <w:rFonts w:ascii="Times New Roman" w:hAnsi="Times New Roman" w:eastAsia="宋体"/>
                <w:b w:val="0"/>
                <w:i w:val="0"/>
                <w:sz w:val="21"/>
              </w:rPr>
              <w:t>签章状态为待盖章时触发内部串行审批，已双签时直接跳过审批提交即生效</w:t>
            </w:r>
          </w:p>
        </w:tc>
      </w:tr>
      <w:tr>
        <w:tc>
          <w:tcPr>
            <w:tcW w:type="dxa" w:w="1928"/>
          </w:tcPr>
          <w:p>
            <w:pPr>
              <w:spacing w:before="20" w:after="20" w:line="276" w:lineRule="auto"/>
              <w:ind w:firstLine="0"/>
            </w:pPr>
            <w:r/>
            <w:r>
              <w:rPr>
                <w:rFonts w:ascii="Times New Roman" w:hAnsi="Times New Roman" w:eastAsia="宋体"/>
                <w:b w:val="0"/>
                <w:i w:val="0"/>
                <w:sz w:val="21"/>
              </w:rPr>
              <w:t>结算结果不能驱动付款与开票</w:t>
            </w:r>
          </w:p>
        </w:tc>
        <w:tc>
          <w:tcPr>
            <w:tcW w:type="dxa" w:w="3572"/>
          </w:tcPr>
          <w:p>
            <w:pPr>
              <w:spacing w:before="20" w:after="20" w:line="276" w:lineRule="auto"/>
              <w:ind w:firstLine="0"/>
            </w:pPr>
            <w:r/>
            <w:r>
              <w:rPr>
                <w:rFonts w:ascii="Times New Roman" w:hAnsi="Times New Roman" w:eastAsia="宋体"/>
                <w:b w:val="0"/>
                <w:i w:val="0"/>
                <w:sz w:val="21"/>
              </w:rPr>
              <w:t>结算完成后还要人工通知付款与开票，容易漏</w:t>
            </w:r>
          </w:p>
        </w:tc>
        <w:tc>
          <w:tcPr>
            <w:tcW w:type="dxa" w:w="3572"/>
          </w:tcPr>
          <w:p>
            <w:pPr>
              <w:spacing w:before="20" w:after="20" w:line="276" w:lineRule="auto"/>
              <w:ind w:firstLine="0"/>
            </w:pPr>
            <w:r/>
            <w:r>
              <w:rPr>
                <w:rFonts w:ascii="Times New Roman" w:hAnsi="Times New Roman" w:eastAsia="宋体"/>
                <w:b w:val="0"/>
                <w:i w:val="0"/>
                <w:sz w:val="21"/>
              </w:rPr>
              <w:t>结算单生效后触发付款申请与发票登记，并回写合同已结算金额与业务线结算进度</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4.15.2　背景与目标</w:t>
      </w:r>
    </w:p>
    <w:tbl>
      <w:tblPr>
        <w:tblStyle w:val="TableGrid"/>
        <w:tblW w:type="auto" w:w="0"/>
        <w:jc w:val="center"/>
        <w:tblLayout w:type="fixed"/>
        <w:tblLook w:firstColumn="1" w:firstRow="1" w:lastColumn="0" w:lastRow="0" w:noHBand="0" w:noVBand="1" w:val="04A0"/>
      </w:tblPr>
      <w:tblGrid>
        <w:gridCol w:w="8958"/>
      </w:tblGrid>
      <w:tr>
        <w:trPr>
          <w:tblHeader w:val="true"/>
        </w:trPr>
        <w:tc>
          <w:tcPr>
            <w:tcW w:type="dxa" w:w="9071"/>
            <w:shd w:val="clear" w:color="auto" w:fill="DCE6F1"/>
          </w:tcPr>
          <w:p>
            <w:pPr>
              <w:spacing w:before="40" w:after="40" w:line="276" w:lineRule="auto"/>
              <w:jc w:val="center"/>
            </w:pPr>
            <w:r/>
            <w:r>
              <w:rPr>
                <w:rFonts w:ascii="Times New Roman" w:hAnsi="Times New Roman" w:eastAsia="黑体"/>
                <w:b/>
                <w:i w:val="0"/>
                <w:sz w:val="21"/>
              </w:rPr>
              <w:t>目标 / 衡量口径</w:t>
            </w:r>
          </w:p>
        </w:tc>
      </w:tr>
      <w:tr>
        <w:tc>
          <w:tcPr>
            <w:tcW w:type="dxa" w:w="9071"/>
          </w:tcPr>
          <w:p>
            <w:pPr>
              <w:spacing w:before="20" w:after="20" w:line="276" w:lineRule="auto"/>
              <w:ind w:firstLine="0"/>
            </w:pPr>
            <w:r/>
            <w:r>
              <w:rPr>
                <w:rFonts w:ascii="Times New Roman" w:hAnsi="Times New Roman" w:eastAsia="宋体"/>
                <w:b w:val="0"/>
                <w:i w:val="0"/>
                <w:sz w:val="21"/>
              </w:rPr>
              <w:t>采购与销售两条结算主线的结算金额、费用分摊、签章与附件在系统内可追溯</w:t>
            </w:r>
          </w:p>
        </w:tc>
      </w:tr>
      <w:tr>
        <w:tc>
          <w:tcPr>
            <w:tcW w:type="dxa" w:w="9071"/>
          </w:tcPr>
          <w:p>
            <w:pPr>
              <w:spacing w:before="20" w:after="20" w:line="276" w:lineRule="auto"/>
              <w:ind w:firstLine="0"/>
            </w:pPr>
            <w:r/>
            <w:r>
              <w:rPr>
                <w:rFonts w:ascii="Times New Roman" w:hAnsi="Times New Roman" w:eastAsia="宋体"/>
                <w:b w:val="0"/>
                <w:i w:val="0"/>
                <w:sz w:val="21"/>
              </w:rPr>
              <w:t>签章状态决定审批路径：待盖章进入内部串行审批，已双签直接生效，路径清晰可预期</w:t>
            </w:r>
          </w:p>
        </w:tc>
      </w:tr>
      <w:tr>
        <w:tc>
          <w:tcPr>
            <w:tcW w:type="dxa" w:w="9071"/>
          </w:tcPr>
          <w:p>
            <w:pPr>
              <w:spacing w:before="20" w:after="20" w:line="276" w:lineRule="auto"/>
              <w:ind w:firstLine="0"/>
            </w:pPr>
            <w:r/>
            <w:r>
              <w:rPr>
                <w:rFonts w:ascii="Times New Roman" w:hAnsi="Times New Roman" w:eastAsia="宋体"/>
                <w:b w:val="0"/>
                <w:i w:val="0"/>
                <w:sz w:val="21"/>
              </w:rPr>
              <w:t>结算金额不超过合同剩余金额、供货周期不大于当前日期等边界在提交前拦截</w:t>
            </w:r>
          </w:p>
        </w:tc>
      </w:tr>
      <w:tr>
        <w:tc>
          <w:tcPr>
            <w:tcW w:type="dxa" w:w="9071"/>
          </w:tcPr>
          <w:p>
            <w:pPr>
              <w:spacing w:before="20" w:after="20" w:line="276" w:lineRule="auto"/>
              <w:ind w:firstLine="0"/>
            </w:pPr>
            <w:r/>
            <w:r>
              <w:rPr>
                <w:rFonts w:ascii="Times New Roman" w:hAnsi="Times New Roman" w:eastAsia="宋体"/>
                <w:b w:val="0"/>
                <w:i w:val="0"/>
                <w:sz w:val="21"/>
              </w:rPr>
              <w:t>结算单生效后自动衔接付款与发票环节并更新合同与业务线进度（运行数据以系统运行报表为准）</w:t>
            </w:r>
          </w:p>
        </w:tc>
      </w:tr>
    </w:tbl>
    <w:p>
      <w:pPr>
        <w:spacing w:before="0" w:after="0" w:line="240" w:lineRule="auto"/>
      </w:pPr>
    </w:p>
    <w:p>
      <w:pPr>
        <w:spacing w:before="80" w:after="120" w:line="360" w:lineRule="auto"/>
      </w:pPr>
      <w:r>
        <w:rPr>
          <w:rFonts w:ascii="Times New Roman" w:hAnsi="Times New Roman" w:eastAsia="宋体"/>
          <w:b w:val="0"/>
          <w:i w:val="0"/>
          <w:color w:val="595959"/>
          <w:sz w:val="21"/>
        </w:rPr>
        <w:t>说明：文中口径以业务方已确认结论为准；未确认项集中列于本章末与第 5 章。</w:t>
      </w:r>
    </w:p>
    <w:p>
      <w:pPr>
        <w:pStyle w:val="Heading3"/>
        <w:keepNext/>
        <w:spacing w:before="160" w:after="80" w:line="312" w:lineRule="auto"/>
        <w:ind w:firstLine="0"/>
      </w:pPr>
      <w:r>
        <w:rPr>
          <w:rFonts w:ascii="Times New Roman" w:hAnsi="Times New Roman" w:eastAsia="黑体"/>
          <w:b/>
          <w:i w:val="0"/>
          <w:sz w:val="24"/>
        </w:rPr>
        <w:t>4.15.3　角色与用户需求</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361"/>
            <w:shd w:val="clear" w:color="auto" w:fill="DCE6F1"/>
          </w:tcPr>
          <w:p>
            <w:pPr>
              <w:spacing w:before="40" w:after="40" w:line="276" w:lineRule="auto"/>
              <w:jc w:val="center"/>
            </w:pPr>
            <w:r/>
            <w:r>
              <w:rPr>
                <w:rFonts w:ascii="Times New Roman" w:hAnsi="Times New Roman" w:eastAsia="黑体"/>
                <w:b/>
                <w:i w:val="0"/>
                <w:sz w:val="21"/>
              </w:rPr>
              <w:t>角色</w:t>
            </w:r>
          </w:p>
        </w:tc>
        <w:tc>
          <w:tcPr>
            <w:tcW w:type="dxa" w:w="1247"/>
            <w:shd w:val="clear" w:color="auto" w:fill="DCE6F1"/>
          </w:tcPr>
          <w:p>
            <w:pPr>
              <w:spacing w:before="40" w:after="40" w:line="276" w:lineRule="auto"/>
              <w:jc w:val="center"/>
            </w:pPr>
            <w:r/>
            <w:r>
              <w:rPr>
                <w:rFonts w:ascii="Times New Roman" w:hAnsi="Times New Roman" w:eastAsia="黑体"/>
                <w:b/>
                <w:i w:val="0"/>
                <w:sz w:val="21"/>
              </w:rPr>
              <w:t>所属部门</w:t>
            </w:r>
          </w:p>
        </w:tc>
        <w:tc>
          <w:tcPr>
            <w:tcW w:type="dxa" w:w="6463"/>
            <w:shd w:val="clear" w:color="auto" w:fill="DCE6F1"/>
          </w:tcPr>
          <w:p>
            <w:pPr>
              <w:spacing w:before="40" w:after="40" w:line="276" w:lineRule="auto"/>
              <w:jc w:val="center"/>
            </w:pPr>
            <w:r/>
            <w:r>
              <w:rPr>
                <w:rFonts w:ascii="Times New Roman" w:hAnsi="Times New Roman" w:eastAsia="黑体"/>
                <w:b/>
                <w:i w:val="0"/>
                <w:sz w:val="21"/>
              </w:rPr>
              <w:t>用户需求（我要…以便…）</w:t>
            </w:r>
          </w:p>
        </w:tc>
      </w:tr>
      <w:tr>
        <w:tc>
          <w:tcPr>
            <w:tcW w:type="dxa" w:w="1361"/>
          </w:tcPr>
          <w:p>
            <w:pPr>
              <w:spacing w:before="20" w:after="20" w:line="276" w:lineRule="auto"/>
              <w:ind w:firstLine="0"/>
            </w:pPr>
            <w:r/>
            <w:r>
              <w:rPr>
                <w:rFonts w:ascii="Times New Roman" w:hAnsi="Times New Roman" w:eastAsia="宋体"/>
                <w:b w:val="0"/>
                <w:i w:val="0"/>
                <w:sz w:val="21"/>
              </w:rPr>
              <w:t>业务员</w:t>
            </w:r>
          </w:p>
        </w:tc>
        <w:tc>
          <w:tcPr>
            <w:tcW w:type="dxa" w:w="1247"/>
          </w:tcPr>
          <w:p>
            <w:pPr>
              <w:spacing w:before="20" w:after="20" w:line="276" w:lineRule="auto"/>
              <w:ind w:firstLine="0"/>
            </w:pPr>
            <w:r/>
            <w:r>
              <w:rPr>
                <w:rFonts w:ascii="Times New Roman" w:hAnsi="Times New Roman" w:eastAsia="宋体"/>
                <w:b w:val="0"/>
                <w:i w:val="0"/>
                <w:sz w:val="21"/>
              </w:rPr>
              <w:t>业务部</w:t>
            </w:r>
          </w:p>
        </w:tc>
        <w:tc>
          <w:tcPr>
            <w:tcW w:type="dxa" w:w="6463"/>
          </w:tcPr>
          <w:p>
            <w:pPr>
              <w:spacing w:before="20" w:after="20" w:line="276" w:lineRule="auto"/>
              <w:ind w:firstLine="0"/>
            </w:pPr>
            <w:r/>
            <w:r>
              <w:rPr>
                <w:rFonts w:ascii="Times New Roman" w:hAnsi="Times New Roman" w:eastAsia="宋体"/>
                <w:b w:val="0"/>
                <w:i w:val="0"/>
                <w:sz w:val="21"/>
              </w:rPr>
              <w:t>我要创建采购或销售结算单并核对自动分摊的费用，以便结算金额有据可依</w:t>
            </w:r>
          </w:p>
        </w:tc>
      </w:tr>
      <w:tr>
        <w:tc>
          <w:tcPr>
            <w:tcW w:type="dxa" w:w="1361"/>
          </w:tcPr>
          <w:p>
            <w:pPr>
              <w:spacing w:before="20" w:after="20" w:line="276" w:lineRule="auto"/>
              <w:ind w:firstLine="0"/>
            </w:pPr>
            <w:r/>
            <w:r>
              <w:rPr>
                <w:rFonts w:ascii="Times New Roman" w:hAnsi="Times New Roman" w:eastAsia="宋体"/>
                <w:b w:val="0"/>
                <w:i w:val="0"/>
                <w:sz w:val="21"/>
              </w:rPr>
              <w:t>业务部审批人</w:t>
            </w:r>
          </w:p>
        </w:tc>
        <w:tc>
          <w:tcPr>
            <w:tcW w:type="dxa" w:w="1247"/>
          </w:tcPr>
          <w:p>
            <w:pPr>
              <w:spacing w:before="20" w:after="20" w:line="276" w:lineRule="auto"/>
              <w:ind w:firstLine="0"/>
            </w:pPr>
            <w:r/>
            <w:r>
              <w:rPr>
                <w:rFonts w:ascii="Times New Roman" w:hAnsi="Times New Roman" w:eastAsia="宋体"/>
                <w:b w:val="0"/>
                <w:i w:val="0"/>
                <w:sz w:val="21"/>
              </w:rPr>
              <w:t>业务部</w:t>
            </w:r>
          </w:p>
        </w:tc>
        <w:tc>
          <w:tcPr>
            <w:tcW w:type="dxa" w:w="6463"/>
          </w:tcPr>
          <w:p>
            <w:pPr>
              <w:spacing w:before="20" w:after="20" w:line="276" w:lineRule="auto"/>
              <w:ind w:firstLine="0"/>
            </w:pPr>
            <w:r/>
            <w:r>
              <w:rPr>
                <w:rFonts w:ascii="Times New Roman" w:hAnsi="Times New Roman" w:eastAsia="宋体"/>
                <w:b w:val="0"/>
                <w:i w:val="0"/>
                <w:sz w:val="21"/>
              </w:rPr>
              <w:t>我要在第一节点复核结算单内容，以便未核对的金额不进入下一环节</w:t>
            </w:r>
          </w:p>
        </w:tc>
      </w:tr>
      <w:tr>
        <w:tc>
          <w:tcPr>
            <w:tcW w:type="dxa" w:w="1361"/>
          </w:tcPr>
          <w:p>
            <w:pPr>
              <w:spacing w:before="20" w:after="20" w:line="276" w:lineRule="auto"/>
              <w:ind w:firstLine="0"/>
            </w:pPr>
            <w:r/>
            <w:r>
              <w:rPr>
                <w:rFonts w:ascii="Times New Roman" w:hAnsi="Times New Roman" w:eastAsia="宋体"/>
                <w:b w:val="0"/>
                <w:i w:val="0"/>
                <w:sz w:val="21"/>
              </w:rPr>
              <w:t>风控部</w:t>
            </w:r>
          </w:p>
        </w:tc>
        <w:tc>
          <w:tcPr>
            <w:tcW w:type="dxa" w:w="1247"/>
          </w:tcPr>
          <w:p>
            <w:pPr>
              <w:spacing w:before="20" w:after="20" w:line="276" w:lineRule="auto"/>
              <w:ind w:firstLine="0"/>
            </w:pPr>
            <w:r/>
            <w:r>
              <w:rPr>
                <w:rFonts w:ascii="Times New Roman" w:hAnsi="Times New Roman" w:eastAsia="宋体"/>
                <w:b w:val="0"/>
                <w:i w:val="0"/>
                <w:sz w:val="21"/>
              </w:rPr>
              <w:t>风控部</w:t>
            </w:r>
          </w:p>
        </w:tc>
        <w:tc>
          <w:tcPr>
            <w:tcW w:type="dxa" w:w="6463"/>
          </w:tcPr>
          <w:p>
            <w:pPr>
              <w:spacing w:before="20" w:after="20" w:line="276" w:lineRule="auto"/>
              <w:ind w:firstLine="0"/>
            </w:pPr>
            <w:r/>
            <w:r>
              <w:rPr>
                <w:rFonts w:ascii="Times New Roman" w:hAnsi="Times New Roman" w:eastAsia="宋体"/>
                <w:b w:val="0"/>
                <w:i w:val="0"/>
                <w:sz w:val="21"/>
              </w:rPr>
              <w:t>我要校验结算金额与合同剩余金额的边界，以便不发生超合同结算</w:t>
            </w:r>
          </w:p>
        </w:tc>
      </w:tr>
      <w:tr>
        <w:tc>
          <w:tcPr>
            <w:tcW w:type="dxa" w:w="1361"/>
          </w:tcPr>
          <w:p>
            <w:pPr>
              <w:spacing w:before="20" w:after="20" w:line="276" w:lineRule="auto"/>
              <w:ind w:firstLine="0"/>
            </w:pPr>
            <w:r/>
            <w:r>
              <w:rPr>
                <w:rFonts w:ascii="Times New Roman" w:hAnsi="Times New Roman" w:eastAsia="宋体"/>
                <w:b w:val="0"/>
                <w:i w:val="0"/>
                <w:sz w:val="21"/>
              </w:rPr>
              <w:t>财务部</w:t>
            </w:r>
          </w:p>
        </w:tc>
        <w:tc>
          <w:tcPr>
            <w:tcW w:type="dxa" w:w="1247"/>
          </w:tcPr>
          <w:p>
            <w:pPr>
              <w:spacing w:before="20" w:after="20" w:line="276" w:lineRule="auto"/>
              <w:ind w:firstLine="0"/>
            </w:pPr>
            <w:r/>
            <w:r>
              <w:rPr>
                <w:rFonts w:ascii="Times New Roman" w:hAnsi="Times New Roman" w:eastAsia="宋体"/>
                <w:b w:val="0"/>
                <w:i w:val="0"/>
                <w:sz w:val="21"/>
              </w:rPr>
              <w:t>财务部</w:t>
            </w:r>
          </w:p>
        </w:tc>
        <w:tc>
          <w:tcPr>
            <w:tcW w:type="dxa" w:w="6463"/>
          </w:tcPr>
          <w:p>
            <w:pPr>
              <w:spacing w:before="20" w:after="20" w:line="276" w:lineRule="auto"/>
              <w:ind w:firstLine="0"/>
            </w:pPr>
            <w:r/>
            <w:r>
              <w:rPr>
                <w:rFonts w:ascii="Times New Roman" w:hAnsi="Times New Roman" w:eastAsia="宋体"/>
                <w:b w:val="0"/>
                <w:i w:val="0"/>
                <w:sz w:val="21"/>
              </w:rPr>
              <w:t>我要在最后节点完成审批并维护结算状态，以便结算数据可作为付款与开票依据</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4.15.4　功能结构与范围</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474"/>
            <w:shd w:val="clear" w:color="auto" w:fill="DCE6F1"/>
          </w:tcPr>
          <w:p>
            <w:pPr>
              <w:spacing w:before="40" w:after="40" w:line="276" w:lineRule="auto"/>
              <w:jc w:val="center"/>
            </w:pPr>
            <w:r/>
            <w:r>
              <w:rPr>
                <w:rFonts w:ascii="Times New Roman" w:hAnsi="Times New Roman" w:eastAsia="黑体"/>
                <w:b/>
                <w:i w:val="0"/>
                <w:sz w:val="21"/>
              </w:rPr>
              <w:t>功能</w:t>
            </w:r>
          </w:p>
        </w:tc>
        <w:tc>
          <w:tcPr>
            <w:tcW w:type="dxa" w:w="3175"/>
            <w:shd w:val="clear" w:color="auto" w:fill="DCE6F1"/>
          </w:tcPr>
          <w:p>
            <w:pPr>
              <w:spacing w:before="40" w:after="40" w:line="276" w:lineRule="auto"/>
              <w:jc w:val="center"/>
            </w:pPr>
            <w:r/>
            <w:r>
              <w:rPr>
                <w:rFonts w:ascii="Times New Roman" w:hAnsi="Times New Roman" w:eastAsia="黑体"/>
                <w:b/>
                <w:i w:val="0"/>
                <w:sz w:val="21"/>
              </w:rPr>
              <w:t>功能说明</w:t>
            </w:r>
          </w:p>
        </w:tc>
        <w:tc>
          <w:tcPr>
            <w:tcW w:type="dxa" w:w="4422"/>
            <w:shd w:val="clear" w:color="auto" w:fill="DCE6F1"/>
          </w:tcPr>
          <w:p>
            <w:pPr>
              <w:spacing w:before="40" w:after="40" w:line="276" w:lineRule="auto"/>
              <w:jc w:val="center"/>
            </w:pPr>
            <w:r/>
            <w:r>
              <w:rPr>
                <w:rFonts w:ascii="Times New Roman" w:hAnsi="Times New Roman" w:eastAsia="黑体"/>
                <w:b/>
                <w:i w:val="0"/>
                <w:sz w:val="21"/>
              </w:rPr>
              <w:t>关键规则</w:t>
            </w:r>
          </w:p>
        </w:tc>
      </w:tr>
      <w:tr>
        <w:tc>
          <w:tcPr>
            <w:tcW w:type="dxa" w:w="1474"/>
          </w:tcPr>
          <w:p>
            <w:pPr>
              <w:spacing w:before="20" w:after="20" w:line="276" w:lineRule="auto"/>
              <w:ind w:firstLine="0"/>
            </w:pPr>
            <w:r/>
            <w:r>
              <w:rPr>
                <w:rFonts w:ascii="Times New Roman" w:hAnsi="Times New Roman" w:eastAsia="宋体"/>
                <w:b w:val="0"/>
                <w:i w:val="0"/>
                <w:sz w:val="21"/>
              </w:rPr>
              <w:t>采购结算单创建与自动核算</w:t>
            </w:r>
          </w:p>
        </w:tc>
        <w:tc>
          <w:tcPr>
            <w:tcW w:type="dxa" w:w="3175"/>
          </w:tcPr>
          <w:p>
            <w:pPr>
              <w:spacing w:before="20" w:after="20" w:line="276" w:lineRule="auto"/>
              <w:ind w:firstLine="0"/>
            </w:pPr>
            <w:r/>
            <w:r>
              <w:rPr>
                <w:rFonts w:ascii="Times New Roman" w:hAnsi="Times New Roman" w:eastAsia="宋体"/>
                <w:b w:val="0"/>
                <w:i w:val="0"/>
                <w:sz w:val="21"/>
              </w:rPr>
              <w:t>关联合同后选择结算类型，系统自动计算货款并分摊费用</w:t>
            </w:r>
          </w:p>
        </w:tc>
        <w:tc>
          <w:tcPr>
            <w:tcW w:type="dxa" w:w="4422"/>
          </w:tcPr>
          <w:p>
            <w:pPr>
              <w:spacing w:before="20" w:after="20" w:line="276" w:lineRule="auto"/>
              <w:ind w:firstLine="0"/>
            </w:pPr>
            <w:r/>
            <w:r>
              <w:rPr>
                <w:rFonts w:ascii="Times New Roman" w:hAnsi="Times New Roman" w:eastAsia="宋体"/>
                <w:b w:val="0"/>
                <w:i w:val="0"/>
                <w:sz w:val="21"/>
              </w:rPr>
              <w:t>关联合同为必填；结算类型为预结算、正式结算、多批次结算；系统自动计算货款并按比例分摊仓储、装卸、运费，业务员可调整金额并填写备注；结算金额不得小于 0，否则提示「结算金额不能 &lt; 0」；结算金额不得超过合同剩余金额，否则提示「结算金额 X 超过合同剩余金额 Y」</w:t>
            </w:r>
          </w:p>
        </w:tc>
      </w:tr>
      <w:tr>
        <w:tc>
          <w:tcPr>
            <w:tcW w:type="dxa" w:w="1474"/>
          </w:tcPr>
          <w:p>
            <w:pPr>
              <w:spacing w:before="20" w:after="20" w:line="276" w:lineRule="auto"/>
              <w:ind w:firstLine="0"/>
            </w:pPr>
            <w:r/>
            <w:r>
              <w:rPr>
                <w:rFonts w:ascii="Times New Roman" w:hAnsi="Times New Roman" w:eastAsia="宋体"/>
                <w:b w:val="0"/>
                <w:i w:val="0"/>
                <w:sz w:val="21"/>
              </w:rPr>
              <w:t>销售结算单登记</w:t>
            </w:r>
          </w:p>
        </w:tc>
        <w:tc>
          <w:tcPr>
            <w:tcW w:type="dxa" w:w="3175"/>
          </w:tcPr>
          <w:p>
            <w:pPr>
              <w:spacing w:before="20" w:after="20" w:line="276" w:lineRule="auto"/>
              <w:ind w:firstLine="0"/>
            </w:pPr>
            <w:r/>
            <w:r>
              <w:rPr>
                <w:rFonts w:ascii="Times New Roman" w:hAnsi="Times New Roman" w:eastAsia="宋体"/>
                <w:b w:val="0"/>
                <w:i w:val="0"/>
                <w:sz w:val="21"/>
              </w:rPr>
              <w:t>按登记流程填写结算单信息、选择结算物并上传线下单据</w:t>
            </w:r>
          </w:p>
        </w:tc>
        <w:tc>
          <w:tcPr>
            <w:tcW w:type="dxa" w:w="4422"/>
          </w:tcPr>
          <w:p>
            <w:pPr>
              <w:spacing w:before="20" w:after="20" w:line="276" w:lineRule="auto"/>
              <w:ind w:firstLine="0"/>
            </w:pPr>
            <w:r/>
            <w:r>
              <w:rPr>
                <w:rFonts w:ascii="Times New Roman" w:hAnsi="Times New Roman" w:eastAsia="宋体"/>
                <w:b w:val="0"/>
                <w:i w:val="0"/>
                <w:sz w:val="21"/>
              </w:rPr>
              <w:t>结算单号手工输入且不超过 100 字；结算日期为必填，未选择时提示「结算日期必填」；供货周期为日期范围且不能大于当前日期，否则提示「供货周期不能大于当前日期」；备注不超过 200 字；本次结算数量等于所选货转数量加和且不可修改；结算单价按数量与金额自动计算且不可修改</w:t>
            </w:r>
          </w:p>
        </w:tc>
      </w:tr>
      <w:tr>
        <w:tc>
          <w:tcPr>
            <w:tcW w:type="dxa" w:w="1474"/>
          </w:tcPr>
          <w:p>
            <w:pPr>
              <w:spacing w:before="20" w:after="20" w:line="276" w:lineRule="auto"/>
              <w:ind w:firstLine="0"/>
            </w:pPr>
            <w:r/>
            <w:r>
              <w:rPr>
                <w:rFonts w:ascii="Times New Roman" w:hAnsi="Times New Roman" w:eastAsia="宋体"/>
                <w:b w:val="0"/>
                <w:i w:val="0"/>
                <w:sz w:val="21"/>
              </w:rPr>
              <w:t>签章状态与审批路径</w:t>
            </w:r>
          </w:p>
        </w:tc>
        <w:tc>
          <w:tcPr>
            <w:tcW w:type="dxa" w:w="3175"/>
          </w:tcPr>
          <w:p>
            <w:pPr>
              <w:spacing w:before="20" w:after="20" w:line="276" w:lineRule="auto"/>
              <w:ind w:firstLine="0"/>
            </w:pPr>
            <w:r/>
            <w:r>
              <w:rPr>
                <w:rFonts w:ascii="Times New Roman" w:hAnsi="Times New Roman" w:eastAsia="宋体"/>
                <w:b w:val="0"/>
                <w:i w:val="0"/>
                <w:sz w:val="21"/>
              </w:rPr>
              <w:t>按签章状态决定走审批还是直接生效</w:t>
            </w:r>
          </w:p>
        </w:tc>
        <w:tc>
          <w:tcPr>
            <w:tcW w:type="dxa" w:w="4422"/>
          </w:tcPr>
          <w:p>
            <w:pPr>
              <w:spacing w:before="20" w:after="20" w:line="276" w:lineRule="auto"/>
              <w:ind w:firstLine="0"/>
            </w:pPr>
            <w:r/>
            <w:r>
              <w:rPr>
                <w:rFonts w:ascii="Times New Roman" w:hAnsi="Times New Roman" w:eastAsia="宋体"/>
                <w:b w:val="0"/>
                <w:i w:val="0"/>
                <w:sz w:val="21"/>
              </w:rPr>
              <w:t>签章状态为必填单选，选项为待盖章与已双签；签章状态为待盖章时触发内部串行审批流程，签章状态为已双签时跳过审批流程，提交后直接生效；签章状态未选时提示「请先选择签章状态」</w:t>
            </w:r>
          </w:p>
        </w:tc>
      </w:tr>
      <w:tr>
        <w:tc>
          <w:tcPr>
            <w:tcW w:type="dxa" w:w="1474"/>
          </w:tcPr>
          <w:p>
            <w:pPr>
              <w:spacing w:before="20" w:after="20" w:line="276" w:lineRule="auto"/>
              <w:ind w:firstLine="0"/>
            </w:pPr>
            <w:r/>
            <w:r>
              <w:rPr>
                <w:rFonts w:ascii="Times New Roman" w:hAnsi="Times New Roman" w:eastAsia="宋体"/>
                <w:b w:val="0"/>
                <w:i w:val="0"/>
                <w:sz w:val="21"/>
              </w:rPr>
              <w:t>结算物关联</w:t>
            </w:r>
          </w:p>
        </w:tc>
        <w:tc>
          <w:tcPr>
            <w:tcW w:type="dxa" w:w="3175"/>
          </w:tcPr>
          <w:p>
            <w:pPr>
              <w:spacing w:before="20" w:after="20" w:line="276" w:lineRule="auto"/>
              <w:ind w:firstLine="0"/>
            </w:pPr>
            <w:r/>
            <w:r>
              <w:rPr>
                <w:rFonts w:ascii="Times New Roman" w:hAnsi="Times New Roman" w:eastAsia="宋体"/>
                <w:b w:val="0"/>
                <w:i w:val="0"/>
                <w:sz w:val="21"/>
              </w:rPr>
              <w:t>从货转记录中勾选本次结算的货物</w:t>
            </w:r>
          </w:p>
        </w:tc>
        <w:tc>
          <w:tcPr>
            <w:tcW w:type="dxa" w:w="4422"/>
          </w:tcPr>
          <w:p>
            <w:pPr>
              <w:spacing w:before="20" w:after="20" w:line="276" w:lineRule="auto"/>
              <w:ind w:firstLine="0"/>
            </w:pPr>
            <w:r/>
            <w:r>
              <w:rPr>
                <w:rFonts w:ascii="Times New Roman" w:hAnsi="Times New Roman" w:eastAsia="宋体"/>
                <w:b w:val="0"/>
                <w:i w:val="0"/>
                <w:sz w:val="21"/>
              </w:rPr>
              <w:t>只展示已生效且未关联结算单的货转单据，5 列展示为货转编号、货转数量、货转日期、收货人、状态；点击货转编号在新标签页打开货转详情；不符合关联条件的货转不进入可选范围</w:t>
            </w:r>
          </w:p>
        </w:tc>
      </w:tr>
      <w:tr>
        <w:tc>
          <w:tcPr>
            <w:tcW w:type="dxa" w:w="1474"/>
          </w:tcPr>
          <w:p>
            <w:pPr>
              <w:spacing w:before="20" w:after="20" w:line="276" w:lineRule="auto"/>
              <w:ind w:firstLine="0"/>
            </w:pPr>
            <w:r/>
            <w:r>
              <w:rPr>
                <w:rFonts w:ascii="Times New Roman" w:hAnsi="Times New Roman" w:eastAsia="宋体"/>
                <w:b w:val="0"/>
                <w:i w:val="0"/>
                <w:sz w:val="21"/>
              </w:rPr>
              <w:t>结算单附件管理</w:t>
            </w:r>
          </w:p>
        </w:tc>
        <w:tc>
          <w:tcPr>
            <w:tcW w:type="dxa" w:w="3175"/>
          </w:tcPr>
          <w:p>
            <w:pPr>
              <w:spacing w:before="20" w:after="20" w:line="276" w:lineRule="auto"/>
              <w:ind w:firstLine="0"/>
            </w:pPr>
            <w:r/>
            <w:r>
              <w:rPr>
                <w:rFonts w:ascii="Times New Roman" w:hAnsi="Times New Roman" w:eastAsia="宋体"/>
                <w:b w:val="0"/>
                <w:i w:val="0"/>
                <w:sz w:val="21"/>
              </w:rPr>
              <w:t>按签章状态联动必填的附件类型</w:t>
            </w:r>
          </w:p>
        </w:tc>
        <w:tc>
          <w:tcPr>
            <w:tcW w:type="dxa" w:w="4422"/>
          </w:tcPr>
          <w:p>
            <w:pPr>
              <w:spacing w:before="20" w:after="20" w:line="276" w:lineRule="auto"/>
              <w:ind w:firstLine="0"/>
            </w:pPr>
            <w:r/>
            <w:r>
              <w:rPr>
                <w:rFonts w:ascii="Times New Roman" w:hAnsi="Times New Roman" w:eastAsia="宋体"/>
                <w:b w:val="0"/>
                <w:i w:val="0"/>
                <w:sz w:val="21"/>
              </w:rPr>
              <w:t>单据类型分为待盖章附件、已生效附件与其他附件三类；签章状态为待盖章时待盖章附件必填，缺失提示「请上传待盖章附件」；签章状态为已双签时已生效附件必填，缺失提示「请上传已生效附件」；单个类型的附件最多上传 20 个；支持 png、jpeg、jpg、gif、pdf、doc、docx、xlsx、xls，单个附件不超过 100MB</w:t>
            </w:r>
          </w:p>
        </w:tc>
      </w:tr>
      <w:tr>
        <w:tc>
          <w:tcPr>
            <w:tcW w:type="dxa" w:w="1474"/>
          </w:tcPr>
          <w:p>
            <w:pPr>
              <w:spacing w:before="20" w:after="20" w:line="276" w:lineRule="auto"/>
              <w:ind w:firstLine="0"/>
            </w:pPr>
            <w:r/>
            <w:r>
              <w:rPr>
                <w:rFonts w:ascii="Times New Roman" w:hAnsi="Times New Roman" w:eastAsia="宋体"/>
                <w:b w:val="0"/>
                <w:i w:val="0"/>
                <w:sz w:val="21"/>
              </w:rPr>
              <w:t>结算单状态流转与作废</w:t>
            </w:r>
          </w:p>
        </w:tc>
        <w:tc>
          <w:tcPr>
            <w:tcW w:type="dxa" w:w="3175"/>
          </w:tcPr>
          <w:p>
            <w:pPr>
              <w:spacing w:before="20" w:after="20" w:line="276" w:lineRule="auto"/>
              <w:ind w:firstLine="0"/>
            </w:pPr>
            <w:r/>
            <w:r>
              <w:rPr>
                <w:rFonts w:ascii="Times New Roman" w:hAnsi="Times New Roman" w:eastAsia="宋体"/>
                <w:b w:val="0"/>
                <w:i w:val="0"/>
                <w:sz w:val="21"/>
              </w:rPr>
              <w:t>按审批、盖章上传与作废动作推进结算单状态</w:t>
            </w:r>
          </w:p>
        </w:tc>
        <w:tc>
          <w:tcPr>
            <w:tcW w:type="dxa" w:w="4422"/>
          </w:tcPr>
          <w:p>
            <w:pPr>
              <w:spacing w:before="20" w:after="20" w:line="276" w:lineRule="auto"/>
              <w:ind w:firstLine="0"/>
            </w:pPr>
            <w:r/>
            <w:r>
              <w:rPr>
                <w:rFonts w:ascii="Times New Roman" w:hAnsi="Times New Roman" w:eastAsia="宋体"/>
                <w:b w:val="0"/>
                <w:i w:val="0"/>
                <w:sz w:val="21"/>
              </w:rPr>
              <w:t>销售结算状态为审批中、收回（审批驳回）、待上传已生效单据、待确认、量产投放、已生效、已作废，一期实现前五个状态的操作，列表 6 个页签为全部、审批中、待上传已生效单据、已生效、审批驳回、已作废；任一状态可点作废，作废原因必填，缺失提示「作废原因必填」，作废为终态；审批驳回后可修改并重新提交；采购结算为草稿、业务部审批、风控部审批、财务部审批、已生效、已驳回 6 状态，驳回分退回草稿可修改与终止为已驳回两个出口</w:t>
            </w:r>
          </w:p>
        </w:tc>
      </w:tr>
      <w:tr>
        <w:tc>
          <w:tcPr>
            <w:tcW w:type="dxa" w:w="1474"/>
          </w:tcPr>
          <w:p>
            <w:pPr>
              <w:spacing w:before="20" w:after="20" w:line="276" w:lineRule="auto"/>
              <w:ind w:firstLine="0"/>
            </w:pPr>
            <w:r/>
            <w:r>
              <w:rPr>
                <w:rFonts w:ascii="Times New Roman" w:hAnsi="Times New Roman" w:eastAsia="宋体"/>
                <w:b w:val="0"/>
                <w:i w:val="0"/>
                <w:sz w:val="21"/>
              </w:rPr>
              <w:t>结算下游联动</w:t>
            </w:r>
          </w:p>
        </w:tc>
        <w:tc>
          <w:tcPr>
            <w:tcW w:type="dxa" w:w="3175"/>
          </w:tcPr>
          <w:p>
            <w:pPr>
              <w:spacing w:before="20" w:after="20" w:line="276" w:lineRule="auto"/>
              <w:ind w:firstLine="0"/>
            </w:pPr>
            <w:r/>
            <w:r>
              <w:rPr>
                <w:rFonts w:ascii="Times New Roman" w:hAnsi="Times New Roman" w:eastAsia="宋体"/>
                <w:b w:val="0"/>
                <w:i w:val="0"/>
                <w:sz w:val="21"/>
              </w:rPr>
              <w:t>结算单生效后驱动付款、发票、合同与业务线</w:t>
            </w:r>
          </w:p>
        </w:tc>
        <w:tc>
          <w:tcPr>
            <w:tcW w:type="dxa" w:w="4422"/>
          </w:tcPr>
          <w:p>
            <w:pPr>
              <w:spacing w:before="20" w:after="20" w:line="276" w:lineRule="auto"/>
              <w:ind w:firstLine="0"/>
            </w:pPr>
            <w:r/>
            <w:r>
              <w:rPr>
                <w:rFonts w:ascii="Times New Roman" w:hAnsi="Times New Roman" w:eastAsia="宋体"/>
                <w:b w:val="0"/>
                <w:i w:val="0"/>
                <w:sz w:val="21"/>
              </w:rPr>
              <w:t>结算单生效后触发付款申请与发票登记，并更新业务线结算进度与合同已结算金额；回款认领完成后该合同下游结算金额按认领金额扣减，归零时触发已结清</w:t>
            </w:r>
          </w:p>
        </w:tc>
      </w:tr>
      <w:tr>
        <w:tc>
          <w:tcPr>
            <w:tcW w:type="dxa" w:w="1474"/>
          </w:tcPr>
          <w:p>
            <w:pPr>
              <w:spacing w:before="20" w:after="20" w:line="276" w:lineRule="auto"/>
              <w:ind w:firstLine="0"/>
            </w:pPr>
            <w:r/>
            <w:r>
              <w:rPr>
                <w:rFonts w:ascii="Times New Roman" w:hAnsi="Times New Roman" w:eastAsia="宋体"/>
                <w:b w:val="0"/>
                <w:i w:val="0"/>
                <w:sz w:val="21"/>
              </w:rPr>
              <w:t>结算列表查询与导出</w:t>
            </w:r>
          </w:p>
        </w:tc>
        <w:tc>
          <w:tcPr>
            <w:tcW w:type="dxa" w:w="3175"/>
          </w:tcPr>
          <w:p>
            <w:pPr>
              <w:spacing w:before="20" w:after="20" w:line="276" w:lineRule="auto"/>
              <w:ind w:firstLine="0"/>
            </w:pPr>
            <w:r/>
            <w:r>
              <w:rPr>
                <w:rFonts w:ascii="Times New Roman" w:hAnsi="Times New Roman" w:eastAsia="宋体"/>
                <w:b w:val="0"/>
                <w:i w:val="0"/>
                <w:sz w:val="21"/>
              </w:rPr>
              <w:t>按状态分页签查询结算单并导出台账</w:t>
            </w:r>
          </w:p>
        </w:tc>
        <w:tc>
          <w:tcPr>
            <w:tcW w:type="dxa" w:w="4422"/>
          </w:tcPr>
          <w:p>
            <w:pPr>
              <w:spacing w:before="20" w:after="20" w:line="276" w:lineRule="auto"/>
              <w:ind w:firstLine="0"/>
            </w:pPr>
            <w:r/>
            <w:r>
              <w:rPr>
                <w:rFonts w:ascii="Times New Roman" w:hAnsi="Times New Roman" w:eastAsia="宋体"/>
                <w:b w:val="0"/>
                <w:i w:val="0"/>
                <w:sz w:val="21"/>
              </w:rPr>
              <w:t>销售结算列表 9 列：结算单编号、买方企业、结算金额、结算数量、结算单价、结算日期、销售订单或单批次合同编号、结算单状态、操作；单价相同的展示一个值，单价不同时以顿号隔开展示；点击行任意位置（操作区除外）跳详情页；页码固定在页面底部；导出文件名为「销售结算单_导出日期.xlsx」</w:t>
            </w:r>
          </w:p>
        </w:tc>
      </w:tr>
    </w:tbl>
    <w:p>
      <w:pPr>
        <w:spacing w:before="0" w:after="0" w:line="240" w:lineRule="auto"/>
      </w:pP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tblGrid>
      <w:tr>
        <w:trPr>
          <w:tblHeader w:val="true"/>
        </w:trPr>
        <w:tc>
          <w:tcPr>
            <w:tcW w:type="dxa" w:w="1247"/>
            <w:shd w:val="clear" w:color="auto" w:fill="DCE6F1"/>
          </w:tcPr>
          <w:p>
            <w:pPr>
              <w:spacing w:before="40" w:after="40" w:line="276" w:lineRule="auto"/>
              <w:jc w:val="center"/>
            </w:pPr>
            <w:r/>
            <w:r>
              <w:rPr>
                <w:rFonts w:ascii="Times New Roman" w:hAnsi="Times New Roman" w:eastAsia="黑体"/>
                <w:b/>
                <w:i w:val="0"/>
                <w:sz w:val="19"/>
              </w:rPr>
              <w:t>页面</w:t>
            </w:r>
          </w:p>
        </w:tc>
        <w:tc>
          <w:tcPr>
            <w:tcW w:type="dxa" w:w="1474"/>
            <w:shd w:val="clear" w:color="auto" w:fill="DCE6F1"/>
          </w:tcPr>
          <w:p>
            <w:pPr>
              <w:spacing w:before="40" w:after="40" w:line="276" w:lineRule="auto"/>
              <w:jc w:val="center"/>
            </w:pPr>
            <w:r/>
            <w:r>
              <w:rPr>
                <w:rFonts w:ascii="Times New Roman" w:hAnsi="Times New Roman" w:eastAsia="黑体"/>
                <w:b/>
                <w:i w:val="0"/>
                <w:sz w:val="19"/>
              </w:rPr>
              <w:t>文件</w:t>
            </w:r>
          </w:p>
        </w:tc>
        <w:tc>
          <w:tcPr>
            <w:tcW w:type="dxa" w:w="1134"/>
            <w:shd w:val="clear" w:color="auto" w:fill="DCE6F1"/>
          </w:tcPr>
          <w:p>
            <w:pPr>
              <w:spacing w:before="40" w:after="40" w:line="276" w:lineRule="auto"/>
              <w:jc w:val="center"/>
            </w:pPr>
            <w:r/>
            <w:r>
              <w:rPr>
                <w:rFonts w:ascii="Times New Roman" w:hAnsi="Times New Roman" w:eastAsia="黑体"/>
                <w:b/>
                <w:i w:val="0"/>
                <w:sz w:val="19"/>
              </w:rPr>
              <w:t>入口</w:t>
            </w:r>
          </w:p>
        </w:tc>
        <w:tc>
          <w:tcPr>
            <w:tcW w:type="dxa" w:w="2041"/>
            <w:shd w:val="clear" w:color="auto" w:fill="DCE6F1"/>
          </w:tcPr>
          <w:p>
            <w:pPr>
              <w:spacing w:before="40" w:after="40" w:line="276" w:lineRule="auto"/>
              <w:jc w:val="center"/>
            </w:pPr>
            <w:r/>
            <w:r>
              <w:rPr>
                <w:rFonts w:ascii="Times New Roman" w:hAnsi="Times New Roman" w:eastAsia="黑体"/>
                <w:b/>
                <w:i w:val="0"/>
                <w:sz w:val="19"/>
              </w:rPr>
              <w:t>主要区块</w:t>
            </w:r>
          </w:p>
        </w:tc>
        <w:tc>
          <w:tcPr>
            <w:tcW w:type="dxa" w:w="1701"/>
            <w:shd w:val="clear" w:color="auto" w:fill="DCE6F1"/>
          </w:tcPr>
          <w:p>
            <w:pPr>
              <w:spacing w:before="40" w:after="40" w:line="276" w:lineRule="auto"/>
              <w:jc w:val="center"/>
            </w:pPr>
            <w:r/>
            <w:r>
              <w:rPr>
                <w:rFonts w:ascii="Times New Roman" w:hAnsi="Times New Roman" w:eastAsia="黑体"/>
                <w:b/>
                <w:i w:val="0"/>
                <w:sz w:val="19"/>
              </w:rPr>
              <w:t>主要操作</w:t>
            </w:r>
          </w:p>
        </w:tc>
        <w:tc>
          <w:tcPr>
            <w:tcW w:type="dxa" w:w="1474"/>
            <w:shd w:val="clear" w:color="auto" w:fill="DCE6F1"/>
          </w:tcPr>
          <w:p>
            <w:pPr>
              <w:spacing w:before="40" w:after="40" w:line="276" w:lineRule="auto"/>
              <w:jc w:val="center"/>
            </w:pPr>
            <w:r/>
            <w:r>
              <w:rPr>
                <w:rFonts w:ascii="Times New Roman" w:hAnsi="Times New Roman" w:eastAsia="黑体"/>
                <w:b/>
                <w:i w:val="0"/>
                <w:sz w:val="19"/>
              </w:rPr>
              <w:t>跳转</w:t>
            </w:r>
          </w:p>
        </w:tc>
      </w:tr>
      <w:tr>
        <w:tc>
          <w:tcPr>
            <w:tcW w:type="dxa" w:w="1247"/>
          </w:tcPr>
          <w:p>
            <w:pPr>
              <w:spacing w:before="20" w:after="20" w:line="276" w:lineRule="auto"/>
              <w:ind w:firstLine="0"/>
            </w:pPr>
            <w:r/>
            <w:r>
              <w:rPr>
                <w:rFonts w:ascii="Times New Roman" w:hAnsi="Times New Roman" w:eastAsia="宋体"/>
                <w:b w:val="0"/>
                <w:i w:val="0"/>
                <w:sz w:val="19"/>
              </w:rPr>
              <w:t>采购结算（列表）</w:t>
            </w:r>
          </w:p>
        </w:tc>
        <w:tc>
          <w:tcPr>
            <w:tcW w:type="dxa" w:w="1474"/>
          </w:tcPr>
          <w:p>
            <w:pPr>
              <w:spacing w:before="20" w:after="20" w:line="276" w:lineRule="auto"/>
              <w:ind w:firstLine="0"/>
            </w:pPr>
            <w:r/>
            <w:r>
              <w:rPr>
                <w:rFonts w:ascii="Times New Roman" w:hAnsi="Times New Roman" w:eastAsia="宋体"/>
                <w:b w:val="0"/>
                <w:i w:val="0"/>
                <w:sz w:val="19"/>
              </w:rPr>
              <w:t>settlement-purchase.html</w:t>
            </w:r>
          </w:p>
        </w:tc>
        <w:tc>
          <w:tcPr>
            <w:tcW w:type="dxa" w:w="1134"/>
          </w:tcPr>
          <w:p>
            <w:pPr>
              <w:spacing w:before="20" w:after="20" w:line="276" w:lineRule="auto"/>
              <w:ind w:firstLine="0"/>
            </w:pPr>
            <w:r/>
            <w:r>
              <w:rPr>
                <w:rFonts w:ascii="Times New Roman" w:hAnsi="Times New Roman" w:eastAsia="宋体"/>
                <w:b w:val="0"/>
                <w:i w:val="0"/>
                <w:sz w:val="19"/>
              </w:rPr>
              <w:t>数字供应链 / 结算单管理</w:t>
            </w:r>
          </w:p>
        </w:tc>
        <w:tc>
          <w:tcPr>
            <w:tcW w:type="dxa" w:w="2041"/>
          </w:tcPr>
          <w:p>
            <w:pPr>
              <w:spacing w:before="20" w:after="20" w:line="276" w:lineRule="auto"/>
              <w:ind w:firstLine="0"/>
            </w:pPr>
            <w:r/>
            <w:r>
              <w:rPr>
                <w:rFonts w:ascii="Times New Roman" w:hAnsi="Times New Roman" w:eastAsia="宋体"/>
                <w:b w:val="0"/>
                <w:i w:val="0"/>
                <w:sz w:val="19"/>
              </w:rPr>
              <w:t>状态页签（全部、审批中、待上传已生效单据、已生效、审批驳回、已作废）+ 筛选查询区 + 采购结算单表格</w:t>
            </w:r>
          </w:p>
        </w:tc>
        <w:tc>
          <w:tcPr>
            <w:tcW w:type="dxa" w:w="1701"/>
          </w:tcPr>
          <w:p>
            <w:pPr>
              <w:spacing w:before="20" w:after="20" w:line="276" w:lineRule="auto"/>
              <w:ind w:firstLine="0"/>
            </w:pPr>
            <w:r/>
            <w:r>
              <w:rPr>
                <w:rFonts w:ascii="Times New Roman" w:hAnsi="Times New Roman" w:eastAsia="宋体"/>
                <w:b w:val="0"/>
                <w:i w:val="0"/>
                <w:sz w:val="19"/>
              </w:rPr>
              <w:t>查询 / 重置 / 清除全部筛选 / 行内按状态显隐详情、修改、上传附件、作废</w:t>
            </w:r>
          </w:p>
        </w:tc>
        <w:tc>
          <w:tcPr>
            <w:tcW w:type="dxa" w:w="1474"/>
          </w:tcPr>
          <w:p>
            <w:pPr>
              <w:spacing w:before="20" w:after="20" w:line="276" w:lineRule="auto"/>
              <w:ind w:firstLine="0"/>
            </w:pPr>
            <w:r/>
            <w:r>
              <w:rPr>
                <w:rFonts w:ascii="Times New Roman" w:hAnsi="Times New Roman" w:eastAsia="宋体"/>
                <w:b w:val="0"/>
                <w:i w:val="0"/>
                <w:sz w:val="19"/>
              </w:rPr>
              <w:t>行内详情跳转到采购结算单详情页 settlement-purchase-detail.html；新增跳转到 settlement-purchase-new.html</w:t>
            </w:r>
          </w:p>
        </w:tc>
      </w:tr>
      <w:tr>
        <w:tc>
          <w:tcPr>
            <w:tcW w:type="dxa" w:w="1247"/>
          </w:tcPr>
          <w:p>
            <w:pPr>
              <w:spacing w:before="20" w:after="20" w:line="276" w:lineRule="auto"/>
              <w:ind w:firstLine="0"/>
            </w:pPr>
            <w:r/>
            <w:r>
              <w:rPr>
                <w:rFonts w:ascii="Times New Roman" w:hAnsi="Times New Roman" w:eastAsia="宋体"/>
                <w:b w:val="0"/>
                <w:i w:val="0"/>
                <w:sz w:val="19"/>
              </w:rPr>
              <w:t>采购结算 · 新增/编辑</w:t>
            </w:r>
          </w:p>
        </w:tc>
        <w:tc>
          <w:tcPr>
            <w:tcW w:type="dxa" w:w="1474"/>
          </w:tcPr>
          <w:p>
            <w:pPr>
              <w:spacing w:before="20" w:after="20" w:line="276" w:lineRule="auto"/>
              <w:ind w:firstLine="0"/>
            </w:pPr>
            <w:r/>
            <w:r>
              <w:rPr>
                <w:rFonts w:ascii="Times New Roman" w:hAnsi="Times New Roman" w:eastAsia="宋体"/>
                <w:b w:val="0"/>
                <w:i w:val="0"/>
                <w:sz w:val="19"/>
              </w:rPr>
              <w:t>settlement-purchase-new.html</w:t>
            </w:r>
          </w:p>
        </w:tc>
        <w:tc>
          <w:tcPr>
            <w:tcW w:type="dxa" w:w="1134"/>
          </w:tcPr>
          <w:p>
            <w:pPr>
              <w:spacing w:before="20" w:after="20" w:line="276" w:lineRule="auto"/>
              <w:ind w:firstLine="0"/>
            </w:pPr>
            <w:r/>
            <w:r>
              <w:rPr>
                <w:rFonts w:ascii="Times New Roman" w:hAnsi="Times New Roman" w:eastAsia="宋体"/>
                <w:b w:val="0"/>
                <w:i w:val="0"/>
                <w:sz w:val="19"/>
              </w:rPr>
              <w:t>采购结算列表右上「新增/编辑采购结算单」</w:t>
            </w:r>
          </w:p>
        </w:tc>
        <w:tc>
          <w:tcPr>
            <w:tcW w:type="dxa" w:w="2041"/>
          </w:tcPr>
          <w:p>
            <w:pPr>
              <w:spacing w:before="20" w:after="20" w:line="276" w:lineRule="auto"/>
              <w:ind w:firstLine="0"/>
            </w:pPr>
            <w:r/>
            <w:r>
              <w:rPr>
                <w:rFonts w:ascii="Times New Roman" w:hAnsi="Times New Roman" w:eastAsia="宋体"/>
                <w:b w:val="0"/>
                <w:i w:val="0"/>
                <w:sz w:val="19"/>
              </w:rPr>
              <w:t>合同信息 + 结算阶段选择 + 货款与费用自动计算结果 + 调整金额与备注 + 附件</w:t>
            </w:r>
          </w:p>
        </w:tc>
        <w:tc>
          <w:tcPr>
            <w:tcW w:type="dxa" w:w="1701"/>
          </w:tcPr>
          <w:p>
            <w:pPr>
              <w:spacing w:before="20" w:after="20" w:line="276" w:lineRule="auto"/>
              <w:ind w:firstLine="0"/>
            </w:pPr>
            <w:r/>
            <w:r>
              <w:rPr>
                <w:rFonts w:ascii="Times New Roman" w:hAnsi="Times New Roman" w:eastAsia="宋体"/>
                <w:b w:val="0"/>
                <w:i w:val="0"/>
                <w:sz w:val="19"/>
              </w:rPr>
              <w:t>上传 / 重新上传 / 提交 / 取消 / 查询 / 确定 / 重置</w:t>
            </w:r>
          </w:p>
        </w:tc>
        <w:tc>
          <w:tcPr>
            <w:tcW w:type="dxa" w:w="1474"/>
          </w:tcPr>
          <w:p>
            <w:pPr>
              <w:spacing w:before="20" w:after="20" w:line="276" w:lineRule="auto"/>
              <w:ind w:firstLine="0"/>
            </w:pPr>
            <w:r/>
            <w:r>
              <w:rPr>
                <w:rFonts w:ascii="Times New Roman" w:hAnsi="Times New Roman" w:eastAsia="宋体"/>
                <w:b w:val="0"/>
                <w:i w:val="0"/>
                <w:sz w:val="19"/>
              </w:rPr>
              <w:t>提交成功后回到采购结算列表；驳回状态下进入时提交回到审批链</w:t>
            </w:r>
          </w:p>
        </w:tc>
      </w:tr>
      <w:tr>
        <w:tc>
          <w:tcPr>
            <w:tcW w:type="dxa" w:w="1247"/>
          </w:tcPr>
          <w:p>
            <w:pPr>
              <w:spacing w:before="20" w:after="20" w:line="276" w:lineRule="auto"/>
              <w:ind w:firstLine="0"/>
            </w:pPr>
            <w:r/>
            <w:r>
              <w:rPr>
                <w:rFonts w:ascii="Times New Roman" w:hAnsi="Times New Roman" w:eastAsia="宋体"/>
                <w:b w:val="0"/>
                <w:i w:val="0"/>
                <w:sz w:val="19"/>
              </w:rPr>
              <w:t>采购结算单详情</w:t>
            </w:r>
          </w:p>
        </w:tc>
        <w:tc>
          <w:tcPr>
            <w:tcW w:type="dxa" w:w="1474"/>
          </w:tcPr>
          <w:p>
            <w:pPr>
              <w:spacing w:before="20" w:after="20" w:line="276" w:lineRule="auto"/>
              <w:ind w:firstLine="0"/>
            </w:pPr>
            <w:r/>
            <w:r>
              <w:rPr>
                <w:rFonts w:ascii="Times New Roman" w:hAnsi="Times New Roman" w:eastAsia="宋体"/>
                <w:b w:val="0"/>
                <w:i w:val="0"/>
                <w:sz w:val="19"/>
              </w:rPr>
              <w:t>settlement-purchase-detail.html</w:t>
            </w:r>
          </w:p>
        </w:tc>
        <w:tc>
          <w:tcPr>
            <w:tcW w:type="dxa" w:w="1134"/>
          </w:tcPr>
          <w:p>
            <w:pPr>
              <w:spacing w:before="20" w:after="20" w:line="276" w:lineRule="auto"/>
              <w:ind w:firstLine="0"/>
            </w:pPr>
            <w:r/>
            <w:r>
              <w:rPr>
                <w:rFonts w:ascii="Times New Roman" w:hAnsi="Times New Roman" w:eastAsia="宋体"/>
                <w:b w:val="0"/>
                <w:i w:val="0"/>
                <w:sz w:val="19"/>
              </w:rPr>
              <w:t>采购结算列表行内「详情」</w:t>
            </w:r>
          </w:p>
        </w:tc>
        <w:tc>
          <w:tcPr>
            <w:tcW w:type="dxa" w:w="2041"/>
          </w:tcPr>
          <w:p>
            <w:pPr>
              <w:spacing w:before="20" w:after="20" w:line="276" w:lineRule="auto"/>
              <w:ind w:firstLine="0"/>
            </w:pPr>
            <w:r/>
            <w:r>
              <w:rPr>
                <w:rFonts w:ascii="Times New Roman" w:hAnsi="Times New Roman" w:eastAsia="宋体"/>
                <w:b w:val="0"/>
                <w:i w:val="0"/>
                <w:sz w:val="19"/>
              </w:rPr>
              <w:t>结算基本信息 / 费用明细 / 审批记录 / 关联付款与发票</w:t>
            </w:r>
          </w:p>
        </w:tc>
        <w:tc>
          <w:tcPr>
            <w:tcW w:type="dxa" w:w="1701"/>
          </w:tcPr>
          <w:p>
            <w:pPr>
              <w:spacing w:before="20" w:after="20" w:line="276" w:lineRule="auto"/>
              <w:ind w:firstLine="0"/>
            </w:pPr>
            <w:r/>
            <w:r>
              <w:rPr>
                <w:rFonts w:ascii="Times New Roman" w:hAnsi="Times New Roman" w:eastAsia="宋体"/>
                <w:b w:val="0"/>
                <w:i w:val="0"/>
                <w:sz w:val="19"/>
              </w:rPr>
              <w:t>撤回申请 / 审批通过 / 驳回审批</w:t>
            </w:r>
          </w:p>
        </w:tc>
        <w:tc>
          <w:tcPr>
            <w:tcW w:type="dxa" w:w="1474"/>
          </w:tcPr>
          <w:p>
            <w:pPr>
              <w:spacing w:before="20" w:after="20" w:line="276" w:lineRule="auto"/>
              <w:ind w:firstLine="0"/>
            </w:pPr>
            <w:r/>
            <w:r>
              <w:rPr>
                <w:rFonts w:ascii="Times New Roman" w:hAnsi="Times New Roman" w:eastAsia="宋体"/>
                <w:b w:val="0"/>
                <w:i w:val="0"/>
                <w:sz w:val="19"/>
              </w:rPr>
              <w:t>可跳转到关联合同、付款单与发票单据</w:t>
            </w:r>
          </w:p>
        </w:tc>
      </w:tr>
      <w:tr>
        <w:tc>
          <w:tcPr>
            <w:tcW w:type="dxa" w:w="1247"/>
          </w:tcPr>
          <w:p>
            <w:pPr>
              <w:spacing w:before="20" w:after="20" w:line="276" w:lineRule="auto"/>
              <w:ind w:firstLine="0"/>
            </w:pPr>
            <w:r/>
            <w:r>
              <w:rPr>
                <w:rFonts w:ascii="Times New Roman" w:hAnsi="Times New Roman" w:eastAsia="宋体"/>
                <w:b w:val="0"/>
                <w:i w:val="0"/>
                <w:sz w:val="19"/>
              </w:rPr>
              <w:t>销售结算（列表）</w:t>
            </w:r>
          </w:p>
        </w:tc>
        <w:tc>
          <w:tcPr>
            <w:tcW w:type="dxa" w:w="1474"/>
          </w:tcPr>
          <w:p>
            <w:pPr>
              <w:spacing w:before="20" w:after="20" w:line="276" w:lineRule="auto"/>
              <w:ind w:firstLine="0"/>
            </w:pPr>
            <w:r/>
            <w:r>
              <w:rPr>
                <w:rFonts w:ascii="Times New Roman" w:hAnsi="Times New Roman" w:eastAsia="宋体"/>
                <w:b w:val="0"/>
                <w:i w:val="0"/>
                <w:sz w:val="19"/>
              </w:rPr>
              <w:t>settlement-sales.html</w:t>
            </w:r>
          </w:p>
        </w:tc>
        <w:tc>
          <w:tcPr>
            <w:tcW w:type="dxa" w:w="1134"/>
          </w:tcPr>
          <w:p>
            <w:pPr>
              <w:spacing w:before="20" w:after="20" w:line="276" w:lineRule="auto"/>
              <w:ind w:firstLine="0"/>
            </w:pPr>
            <w:r/>
            <w:r>
              <w:rPr>
                <w:rFonts w:ascii="Times New Roman" w:hAnsi="Times New Roman" w:eastAsia="宋体"/>
                <w:b w:val="0"/>
                <w:i w:val="0"/>
                <w:sz w:val="19"/>
              </w:rPr>
              <w:t>数字供应链 / 结算单管理 / 销售结算</w:t>
            </w:r>
          </w:p>
        </w:tc>
        <w:tc>
          <w:tcPr>
            <w:tcW w:type="dxa" w:w="2041"/>
          </w:tcPr>
          <w:p>
            <w:pPr>
              <w:spacing w:before="20" w:after="20" w:line="276" w:lineRule="auto"/>
              <w:ind w:firstLine="0"/>
            </w:pPr>
            <w:r/>
            <w:r>
              <w:rPr>
                <w:rFonts w:ascii="Times New Roman" w:hAnsi="Times New Roman" w:eastAsia="宋体"/>
                <w:b w:val="0"/>
                <w:i w:val="0"/>
                <w:sz w:val="19"/>
              </w:rPr>
              <w:t>状态页签（全部、审批中、待上传已生效单据、已生效、驳回、已作废）+ 筛选查询区 + 9 列结算单表格（结算单编号、买方企业、结算金额、结算数量、结算单价、结算日期、销售订单或单批次合同编号、结算单状态、操作）</w:t>
            </w:r>
          </w:p>
        </w:tc>
        <w:tc>
          <w:tcPr>
            <w:tcW w:type="dxa" w:w="1701"/>
          </w:tcPr>
          <w:p>
            <w:pPr>
              <w:spacing w:before="20" w:after="20" w:line="276" w:lineRule="auto"/>
              <w:ind w:firstLine="0"/>
            </w:pPr>
            <w:r/>
            <w:r>
              <w:rPr>
                <w:rFonts w:ascii="Times New Roman" w:hAnsi="Times New Roman" w:eastAsia="宋体"/>
                <w:b w:val="0"/>
                <w:i w:val="0"/>
                <w:sz w:val="19"/>
              </w:rPr>
              <w:t>查询 / 重置 / 清除全部筛选 / 行内按状态显隐详情、修改、上传附件、作废</w:t>
            </w:r>
          </w:p>
        </w:tc>
        <w:tc>
          <w:tcPr>
            <w:tcW w:type="dxa" w:w="1474"/>
          </w:tcPr>
          <w:p>
            <w:pPr>
              <w:spacing w:before="20" w:after="20" w:line="276" w:lineRule="auto"/>
              <w:ind w:firstLine="0"/>
            </w:pPr>
            <w:r/>
            <w:r>
              <w:rPr>
                <w:rFonts w:ascii="Times New Roman" w:hAnsi="Times New Roman" w:eastAsia="宋体"/>
                <w:b w:val="0"/>
                <w:i w:val="0"/>
                <w:sz w:val="19"/>
              </w:rPr>
              <w:t>点击行任意位置跳转到销售结算单详情页 settlement-sales-detail.html</w:t>
            </w:r>
          </w:p>
        </w:tc>
      </w:tr>
      <w:tr>
        <w:tc>
          <w:tcPr>
            <w:tcW w:type="dxa" w:w="1247"/>
          </w:tcPr>
          <w:p>
            <w:pPr>
              <w:spacing w:before="20" w:after="20" w:line="276" w:lineRule="auto"/>
              <w:ind w:firstLine="0"/>
            </w:pPr>
            <w:r/>
            <w:r>
              <w:rPr>
                <w:rFonts w:ascii="Times New Roman" w:hAnsi="Times New Roman" w:eastAsia="宋体"/>
                <w:b w:val="0"/>
                <w:i w:val="0"/>
                <w:sz w:val="19"/>
              </w:rPr>
              <w:t>销售结算 · 新增/编辑</w:t>
            </w:r>
          </w:p>
        </w:tc>
        <w:tc>
          <w:tcPr>
            <w:tcW w:type="dxa" w:w="1474"/>
          </w:tcPr>
          <w:p>
            <w:pPr>
              <w:spacing w:before="20" w:after="20" w:line="276" w:lineRule="auto"/>
              <w:ind w:firstLine="0"/>
            </w:pPr>
            <w:r/>
            <w:r>
              <w:rPr>
                <w:rFonts w:ascii="Times New Roman" w:hAnsi="Times New Roman" w:eastAsia="宋体"/>
                <w:b w:val="0"/>
                <w:i w:val="0"/>
                <w:sz w:val="19"/>
              </w:rPr>
              <w:t>settlement-sales-new.html</w:t>
            </w:r>
          </w:p>
        </w:tc>
        <w:tc>
          <w:tcPr>
            <w:tcW w:type="dxa" w:w="1134"/>
          </w:tcPr>
          <w:p>
            <w:pPr>
              <w:spacing w:before="20" w:after="20" w:line="276" w:lineRule="auto"/>
              <w:ind w:firstLine="0"/>
            </w:pPr>
            <w:r/>
            <w:r>
              <w:rPr>
                <w:rFonts w:ascii="Times New Roman" w:hAnsi="Times New Roman" w:eastAsia="宋体"/>
                <w:b w:val="0"/>
                <w:i w:val="0"/>
                <w:sz w:val="19"/>
              </w:rPr>
              <w:t>销售结算列表右上「新增/编辑销售结算单」</w:t>
            </w:r>
          </w:p>
        </w:tc>
        <w:tc>
          <w:tcPr>
            <w:tcW w:type="dxa" w:w="2041"/>
          </w:tcPr>
          <w:p>
            <w:pPr>
              <w:spacing w:before="20" w:after="20" w:line="276" w:lineRule="auto"/>
              <w:ind w:firstLine="0"/>
            </w:pPr>
            <w:r/>
            <w:r>
              <w:rPr>
                <w:rFonts w:ascii="Times New Roman" w:hAnsi="Times New Roman" w:eastAsia="宋体"/>
                <w:b w:val="0"/>
                <w:i w:val="0"/>
                <w:sz w:val="19"/>
              </w:rPr>
              <w:t>5 大区块：销售订单或单批次合同信息（11 字段只读）/ 选择结算物（货转记录勾选）/ 结算单信息（结算单号、结算日期、供货周期、结算金额、本次结算数量、结算单价、签章状态、备注）/ 附件（待盖章、已生效、其他）/ 底部按钮</w:t>
            </w:r>
          </w:p>
        </w:tc>
        <w:tc>
          <w:tcPr>
            <w:tcW w:type="dxa" w:w="1701"/>
          </w:tcPr>
          <w:p>
            <w:pPr>
              <w:spacing w:before="20" w:after="20" w:line="276" w:lineRule="auto"/>
              <w:ind w:firstLine="0"/>
            </w:pPr>
            <w:r/>
            <w:r>
              <w:rPr>
                <w:rFonts w:ascii="Times New Roman" w:hAnsi="Times New Roman" w:eastAsia="宋体"/>
                <w:b w:val="0"/>
                <w:i w:val="0"/>
                <w:sz w:val="19"/>
              </w:rPr>
              <w:t>选择合同 / 上传 / 提交 / 取消 / 查询 / 确定 / 重置</w:t>
            </w:r>
          </w:p>
        </w:tc>
        <w:tc>
          <w:tcPr>
            <w:tcW w:type="dxa" w:w="1474"/>
          </w:tcPr>
          <w:p>
            <w:pPr>
              <w:spacing w:before="20" w:after="20" w:line="276" w:lineRule="auto"/>
              <w:ind w:firstLine="0"/>
            </w:pPr>
            <w:r/>
            <w:r>
              <w:rPr>
                <w:rFonts w:ascii="Times New Roman" w:hAnsi="Times New Roman" w:eastAsia="宋体"/>
                <w:b w:val="0"/>
                <w:i w:val="0"/>
                <w:sz w:val="19"/>
              </w:rPr>
              <w:t>提交成功后回到销售结算列表；驳回状态下进入时提交回到审批链</w:t>
            </w:r>
          </w:p>
        </w:tc>
      </w:tr>
      <w:tr>
        <w:tc>
          <w:tcPr>
            <w:tcW w:type="dxa" w:w="1247"/>
          </w:tcPr>
          <w:p>
            <w:pPr>
              <w:spacing w:before="20" w:after="20" w:line="276" w:lineRule="auto"/>
              <w:ind w:firstLine="0"/>
            </w:pPr>
            <w:r/>
            <w:r>
              <w:rPr>
                <w:rFonts w:ascii="Times New Roman" w:hAnsi="Times New Roman" w:eastAsia="宋体"/>
                <w:b w:val="0"/>
                <w:i w:val="0"/>
                <w:sz w:val="19"/>
              </w:rPr>
              <w:t>销售结算单详情</w:t>
            </w:r>
          </w:p>
        </w:tc>
        <w:tc>
          <w:tcPr>
            <w:tcW w:type="dxa" w:w="1474"/>
          </w:tcPr>
          <w:p>
            <w:pPr>
              <w:spacing w:before="20" w:after="20" w:line="276" w:lineRule="auto"/>
              <w:ind w:firstLine="0"/>
            </w:pPr>
            <w:r/>
            <w:r>
              <w:rPr>
                <w:rFonts w:ascii="Times New Roman" w:hAnsi="Times New Roman" w:eastAsia="宋体"/>
                <w:b w:val="0"/>
                <w:i w:val="0"/>
                <w:sz w:val="19"/>
              </w:rPr>
              <w:t>settlement-sales-detail.html</w:t>
            </w:r>
          </w:p>
        </w:tc>
        <w:tc>
          <w:tcPr>
            <w:tcW w:type="dxa" w:w="1134"/>
          </w:tcPr>
          <w:p>
            <w:pPr>
              <w:spacing w:before="20" w:after="20" w:line="276" w:lineRule="auto"/>
              <w:ind w:firstLine="0"/>
            </w:pPr>
            <w:r/>
            <w:r>
              <w:rPr>
                <w:rFonts w:ascii="Times New Roman" w:hAnsi="Times New Roman" w:eastAsia="宋体"/>
                <w:b w:val="0"/>
                <w:i w:val="0"/>
                <w:sz w:val="19"/>
              </w:rPr>
              <w:t>销售结算列表行内「详情」</w:t>
            </w:r>
          </w:p>
        </w:tc>
        <w:tc>
          <w:tcPr>
            <w:tcW w:type="dxa" w:w="2041"/>
          </w:tcPr>
          <w:p>
            <w:pPr>
              <w:spacing w:before="20" w:after="20" w:line="276" w:lineRule="auto"/>
              <w:ind w:firstLine="0"/>
            </w:pPr>
            <w:r/>
            <w:r>
              <w:rPr>
                <w:rFonts w:ascii="Times New Roman" w:hAnsi="Times New Roman" w:eastAsia="宋体"/>
                <w:b w:val="0"/>
                <w:i w:val="0"/>
                <w:sz w:val="19"/>
              </w:rPr>
              <w:t>顶部信息条 + 2 个页签（结算信息、操作记录）+ 7 行操作记录</w:t>
            </w:r>
          </w:p>
        </w:tc>
        <w:tc>
          <w:tcPr>
            <w:tcW w:type="dxa" w:w="1701"/>
          </w:tcPr>
          <w:p>
            <w:pPr>
              <w:spacing w:before="20" w:after="20" w:line="276" w:lineRule="auto"/>
              <w:ind w:firstLine="0"/>
            </w:pPr>
            <w:r/>
            <w:r>
              <w:rPr>
                <w:rFonts w:ascii="Times New Roman" w:hAnsi="Times New Roman" w:eastAsia="宋体"/>
                <w:b w:val="0"/>
                <w:i w:val="0"/>
                <w:sz w:val="19"/>
              </w:rPr>
              <w:t>撤回申请 / 审批通过 / 驳回审批</w:t>
            </w:r>
          </w:p>
        </w:tc>
        <w:tc>
          <w:tcPr>
            <w:tcW w:type="dxa" w:w="1474"/>
          </w:tcPr>
          <w:p>
            <w:pPr>
              <w:spacing w:before="20" w:after="20" w:line="276" w:lineRule="auto"/>
              <w:ind w:firstLine="0"/>
            </w:pPr>
            <w:r/>
            <w:r>
              <w:rPr>
                <w:rFonts w:ascii="Times New Roman" w:hAnsi="Times New Roman" w:eastAsia="宋体"/>
                <w:b w:val="0"/>
                <w:i w:val="0"/>
                <w:sz w:val="19"/>
              </w:rPr>
              <w:t>可跳转到关联合同与货转详情</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4.15.5　数据关系</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474"/>
            <w:shd w:val="clear" w:color="auto" w:fill="DCE6F1"/>
          </w:tcPr>
          <w:p>
            <w:pPr>
              <w:spacing w:before="40" w:after="40" w:line="276" w:lineRule="auto"/>
              <w:jc w:val="center"/>
            </w:pPr>
            <w:r/>
            <w:r>
              <w:rPr>
                <w:rFonts w:ascii="Times New Roman" w:hAnsi="Times New Roman" w:eastAsia="黑体"/>
                <w:b/>
                <w:i w:val="0"/>
                <w:sz w:val="21"/>
              </w:rPr>
              <w:t>业务对象</w:t>
            </w:r>
          </w:p>
        </w:tc>
        <w:tc>
          <w:tcPr>
            <w:tcW w:type="dxa" w:w="4195"/>
            <w:shd w:val="clear" w:color="auto" w:fill="DCE6F1"/>
          </w:tcPr>
          <w:p>
            <w:pPr>
              <w:spacing w:before="40" w:after="40" w:line="276" w:lineRule="auto"/>
              <w:jc w:val="center"/>
            </w:pPr>
            <w:r/>
            <w:r>
              <w:rPr>
                <w:rFonts w:ascii="Times New Roman" w:hAnsi="Times New Roman" w:eastAsia="黑体"/>
                <w:b/>
                <w:i w:val="0"/>
                <w:sz w:val="21"/>
              </w:rPr>
              <w:t>关键字段与口径</w:t>
            </w:r>
          </w:p>
        </w:tc>
        <w:tc>
          <w:tcPr>
            <w:tcW w:type="dxa" w:w="3402"/>
            <w:shd w:val="clear" w:color="auto" w:fill="DCE6F1"/>
          </w:tcPr>
          <w:p>
            <w:pPr>
              <w:spacing w:before="40" w:after="40" w:line="276" w:lineRule="auto"/>
              <w:jc w:val="center"/>
            </w:pPr>
            <w:r/>
            <w:r>
              <w:rPr>
                <w:rFonts w:ascii="Times New Roman" w:hAnsi="Times New Roman" w:eastAsia="黑体"/>
                <w:b/>
                <w:i w:val="0"/>
                <w:sz w:val="21"/>
              </w:rPr>
              <w:t>与其他对象的关系</w:t>
            </w:r>
          </w:p>
        </w:tc>
      </w:tr>
      <w:tr>
        <w:tc>
          <w:tcPr>
            <w:tcW w:type="dxa" w:w="1474"/>
          </w:tcPr>
          <w:p>
            <w:pPr>
              <w:spacing w:before="20" w:after="20" w:line="276" w:lineRule="auto"/>
              <w:ind w:firstLine="0"/>
            </w:pPr>
            <w:r/>
            <w:r>
              <w:rPr>
                <w:rFonts w:ascii="Times New Roman" w:hAnsi="Times New Roman" w:eastAsia="宋体"/>
                <w:b w:val="0"/>
                <w:i w:val="0"/>
                <w:sz w:val="21"/>
              </w:rPr>
              <w:t>结算单</w:t>
            </w:r>
          </w:p>
        </w:tc>
        <w:tc>
          <w:tcPr>
            <w:tcW w:type="dxa" w:w="4195"/>
          </w:tcPr>
          <w:p>
            <w:pPr>
              <w:spacing w:before="20" w:after="20" w:line="276" w:lineRule="auto"/>
              <w:ind w:firstLine="0"/>
            </w:pPr>
            <w:r/>
            <w:r>
              <w:rPr>
                <w:rFonts w:ascii="Times New Roman" w:hAnsi="Times New Roman" w:eastAsia="宋体"/>
                <w:b w:val="0"/>
                <w:i w:val="0"/>
                <w:sz w:val="21"/>
              </w:rPr>
              <w:t>结算单号：varchar(32)，手工登记，前端限制 100 字以内</w:t>
            </w:r>
            <w:r>
              <w:br/>
            </w:r>
            <w:r>
              <w:rPr>
                <w:rFonts w:ascii="Times New Roman" w:hAnsi="Times New Roman" w:eastAsia="宋体"/>
                <w:b w:val="0"/>
                <w:i w:val="0"/>
                <w:sz w:val="21"/>
              </w:rPr>
              <w:t>关联合同 ID：必填</w:t>
            </w:r>
            <w:r>
              <w:br/>
            </w:r>
            <w:r>
              <w:rPr>
                <w:rFonts w:ascii="Times New Roman" w:hAnsi="Times New Roman" w:eastAsia="宋体"/>
                <w:b w:val="0"/>
                <w:i w:val="0"/>
                <w:sz w:val="21"/>
              </w:rPr>
              <w:t>关联订单 ID：多批次时为空，是否保留待确认</w:t>
            </w:r>
            <w:r>
              <w:br/>
            </w:r>
            <w:r>
              <w:rPr>
                <w:rFonts w:ascii="Times New Roman" w:hAnsi="Times New Roman" w:eastAsia="宋体"/>
                <w:b w:val="0"/>
                <w:i w:val="0"/>
                <w:sz w:val="21"/>
              </w:rPr>
              <w:t>结算日期：必填</w:t>
            </w:r>
            <w:r>
              <w:br/>
            </w:r>
            <w:r>
              <w:rPr>
                <w:rFonts w:ascii="Times New Roman" w:hAnsi="Times New Roman" w:eastAsia="宋体"/>
                <w:b w:val="0"/>
                <w:i w:val="0"/>
                <w:sz w:val="21"/>
              </w:rPr>
              <w:t>供货周期：日期范围，不能大于当前日期</w:t>
            </w:r>
            <w:r>
              <w:br/>
            </w:r>
            <w:r>
              <w:rPr>
                <w:rFonts w:ascii="Times New Roman" w:hAnsi="Times New Roman" w:eastAsia="宋体"/>
                <w:b w:val="0"/>
                <w:i w:val="0"/>
                <w:sz w:val="21"/>
              </w:rPr>
              <w:t>本次结算数量：等于所选货转数量加和，只读</w:t>
            </w:r>
            <w:r>
              <w:br/>
            </w:r>
            <w:r>
              <w:rPr>
                <w:rFonts w:ascii="Times New Roman" w:hAnsi="Times New Roman" w:eastAsia="宋体"/>
                <w:b w:val="0"/>
                <w:i w:val="0"/>
                <w:sz w:val="21"/>
              </w:rPr>
              <w:t>结算单价：按数量与金额自动计算，只读</w:t>
            </w:r>
            <w:r>
              <w:br/>
            </w:r>
            <w:r>
              <w:rPr>
                <w:rFonts w:ascii="Times New Roman" w:hAnsi="Times New Roman" w:eastAsia="宋体"/>
                <w:b w:val="0"/>
                <w:i w:val="0"/>
                <w:sz w:val="21"/>
              </w:rPr>
              <w:t>结算金额：必填，不得小于 0，不得超过合同剩余金额</w:t>
            </w:r>
            <w:r>
              <w:br/>
            </w:r>
            <w:r>
              <w:rPr>
                <w:rFonts w:ascii="Times New Roman" w:hAnsi="Times New Roman" w:eastAsia="宋体"/>
                <w:b w:val="0"/>
                <w:i w:val="0"/>
                <w:sz w:val="21"/>
              </w:rPr>
              <w:t>签章状态：待盖章 / 已双签</w:t>
            </w:r>
            <w:r>
              <w:br/>
            </w:r>
            <w:r>
              <w:rPr>
                <w:rFonts w:ascii="Times New Roman" w:hAnsi="Times New Roman" w:eastAsia="宋体"/>
                <w:b w:val="0"/>
                <w:i w:val="0"/>
                <w:sz w:val="21"/>
              </w:rPr>
              <w:t>结算状态：审批中 / 收回 / 待上传已生效单据 / 待确认 / 量产投放 / 已生效 / 已作废</w:t>
            </w:r>
            <w:r>
              <w:br/>
            </w:r>
            <w:r>
              <w:rPr>
                <w:rFonts w:ascii="Times New Roman" w:hAnsi="Times New Roman" w:eastAsia="宋体"/>
                <w:b w:val="0"/>
                <w:i w:val="0"/>
                <w:sz w:val="21"/>
              </w:rPr>
              <w:t>批次号与父结算单 ID：支撑多批次结算</w:t>
            </w:r>
          </w:p>
        </w:tc>
        <w:tc>
          <w:tcPr>
            <w:tcW w:type="dxa" w:w="3402"/>
          </w:tcPr>
          <w:p>
            <w:pPr>
              <w:spacing w:before="20" w:after="20" w:line="276" w:lineRule="auto"/>
              <w:ind w:firstLine="0"/>
            </w:pPr>
            <w:r/>
            <w:r>
              <w:rPr>
                <w:rFonts w:ascii="Times New Roman" w:hAnsi="Times New Roman" w:eastAsia="宋体"/>
                <w:b w:val="0"/>
                <w:i w:val="0"/>
                <w:sz w:val="21"/>
              </w:rPr>
              <w:t>关联合同与货转记录；生效后驱动付款、发票并回写合同已结算金额</w:t>
            </w:r>
          </w:p>
        </w:tc>
      </w:tr>
      <w:tr>
        <w:tc>
          <w:tcPr>
            <w:tcW w:type="dxa" w:w="1474"/>
          </w:tcPr>
          <w:p>
            <w:pPr>
              <w:spacing w:before="20" w:after="20" w:line="276" w:lineRule="auto"/>
              <w:ind w:firstLine="0"/>
            </w:pPr>
            <w:r/>
            <w:r>
              <w:rPr>
                <w:rFonts w:ascii="Times New Roman" w:hAnsi="Times New Roman" w:eastAsia="宋体"/>
                <w:b w:val="0"/>
                <w:i w:val="0"/>
                <w:sz w:val="21"/>
              </w:rPr>
              <w:t>结算审批记录</w:t>
            </w:r>
          </w:p>
        </w:tc>
        <w:tc>
          <w:tcPr>
            <w:tcW w:type="dxa" w:w="4195"/>
          </w:tcPr>
          <w:p>
            <w:pPr>
              <w:spacing w:before="20" w:after="20" w:line="276" w:lineRule="auto"/>
              <w:ind w:firstLine="0"/>
            </w:pPr>
            <w:r/>
            <w:r>
              <w:rPr>
                <w:rFonts w:ascii="Times New Roman" w:hAnsi="Times New Roman" w:eastAsia="宋体"/>
                <w:b w:val="0"/>
                <w:i w:val="0"/>
                <w:sz w:val="21"/>
              </w:rPr>
              <w:t>当前节点：1 业务部 / 2 风控部 / 3 财务部</w:t>
            </w:r>
            <w:r>
              <w:br/>
            </w:r>
            <w:r>
              <w:rPr>
                <w:rFonts w:ascii="Times New Roman" w:hAnsi="Times New Roman" w:eastAsia="宋体"/>
                <w:b w:val="0"/>
                <w:i w:val="0"/>
                <w:sz w:val="21"/>
              </w:rPr>
              <w:t>审批人</w:t>
            </w:r>
            <w:r>
              <w:br/>
            </w:r>
            <w:r>
              <w:rPr>
                <w:rFonts w:ascii="Times New Roman" w:hAnsi="Times New Roman" w:eastAsia="宋体"/>
                <w:b w:val="0"/>
                <w:i w:val="0"/>
                <w:sz w:val="21"/>
              </w:rPr>
              <w:t>审批意见</w:t>
            </w:r>
            <w:r>
              <w:br/>
            </w:r>
            <w:r>
              <w:rPr>
                <w:rFonts w:ascii="Times New Roman" w:hAnsi="Times New Roman" w:eastAsia="宋体"/>
                <w:b w:val="0"/>
                <w:i w:val="0"/>
                <w:sz w:val="21"/>
              </w:rPr>
              <w:t>决策</w:t>
            </w:r>
            <w:r>
              <w:br/>
            </w:r>
            <w:r>
              <w:rPr>
                <w:rFonts w:ascii="Times New Roman" w:hAnsi="Times New Roman" w:eastAsia="宋体"/>
                <w:b w:val="0"/>
                <w:i w:val="0"/>
                <w:sz w:val="21"/>
              </w:rPr>
              <w:t>决策时间</w:t>
            </w:r>
          </w:p>
        </w:tc>
        <w:tc>
          <w:tcPr>
            <w:tcW w:type="dxa" w:w="3402"/>
          </w:tcPr>
          <w:p>
            <w:pPr>
              <w:spacing w:before="20" w:after="20" w:line="276" w:lineRule="auto"/>
              <w:ind w:firstLine="0"/>
            </w:pPr>
            <w:r/>
            <w:r>
              <w:rPr>
                <w:rFonts w:ascii="Times New Roman" w:hAnsi="Times New Roman" w:eastAsia="宋体"/>
                <w:b w:val="0"/>
                <w:i w:val="0"/>
                <w:sz w:val="21"/>
              </w:rPr>
              <w:t>挂在结算单上，串行推进；已双签的结算单不产生审批记录</w:t>
            </w:r>
          </w:p>
        </w:tc>
      </w:tr>
      <w:tr>
        <w:tc>
          <w:tcPr>
            <w:tcW w:type="dxa" w:w="1474"/>
          </w:tcPr>
          <w:p>
            <w:pPr>
              <w:spacing w:before="20" w:after="20" w:line="276" w:lineRule="auto"/>
              <w:ind w:firstLine="0"/>
            </w:pPr>
            <w:r/>
            <w:r>
              <w:rPr>
                <w:rFonts w:ascii="Times New Roman" w:hAnsi="Times New Roman" w:eastAsia="宋体"/>
                <w:b w:val="0"/>
                <w:i w:val="0"/>
                <w:sz w:val="21"/>
              </w:rPr>
              <w:t>结算费用分摊</w:t>
            </w:r>
          </w:p>
        </w:tc>
        <w:tc>
          <w:tcPr>
            <w:tcW w:type="dxa" w:w="4195"/>
          </w:tcPr>
          <w:p>
            <w:pPr>
              <w:spacing w:before="20" w:after="20" w:line="276" w:lineRule="auto"/>
              <w:ind w:firstLine="0"/>
            </w:pPr>
            <w:r/>
            <w:r>
              <w:rPr>
                <w:rFonts w:ascii="Times New Roman" w:hAnsi="Times New Roman" w:eastAsia="宋体"/>
                <w:b w:val="0"/>
                <w:i w:val="0"/>
                <w:sz w:val="21"/>
              </w:rPr>
              <w:t>仓储费用</w:t>
            </w:r>
            <w:r>
              <w:br/>
            </w:r>
            <w:r>
              <w:rPr>
                <w:rFonts w:ascii="Times New Roman" w:hAnsi="Times New Roman" w:eastAsia="宋体"/>
                <w:b w:val="0"/>
                <w:i w:val="0"/>
                <w:sz w:val="21"/>
              </w:rPr>
              <w:t>装卸费用</w:t>
            </w:r>
            <w:r>
              <w:br/>
            </w:r>
            <w:r>
              <w:rPr>
                <w:rFonts w:ascii="Times New Roman" w:hAnsi="Times New Roman" w:eastAsia="宋体"/>
                <w:b w:val="0"/>
                <w:i w:val="0"/>
                <w:sz w:val="21"/>
              </w:rPr>
              <w:t>运费</w:t>
            </w:r>
            <w:r>
              <w:br/>
            </w:r>
            <w:r>
              <w:rPr>
                <w:rFonts w:ascii="Times New Roman" w:hAnsi="Times New Roman" w:eastAsia="宋体"/>
                <w:b w:val="0"/>
                <w:i w:val="0"/>
                <w:sz w:val="21"/>
              </w:rPr>
              <w:t>分摊方式：按比例分摊</w:t>
            </w:r>
            <w:r>
              <w:br/>
            </w:r>
            <w:r>
              <w:rPr>
                <w:rFonts w:ascii="Times New Roman" w:hAnsi="Times New Roman" w:eastAsia="宋体"/>
                <w:b w:val="0"/>
                <w:i w:val="0"/>
                <w:sz w:val="21"/>
              </w:rPr>
              <w:t>分摊结果：由系统自动计算</w:t>
            </w:r>
          </w:p>
        </w:tc>
        <w:tc>
          <w:tcPr>
            <w:tcW w:type="dxa" w:w="3402"/>
          </w:tcPr>
          <w:p>
            <w:pPr>
              <w:spacing w:before="20" w:after="20" w:line="276" w:lineRule="auto"/>
              <w:ind w:firstLine="0"/>
            </w:pPr>
            <w:r/>
            <w:r>
              <w:rPr>
                <w:rFonts w:ascii="Times New Roman" w:hAnsi="Times New Roman" w:eastAsia="宋体"/>
                <w:b w:val="0"/>
                <w:i w:val="0"/>
                <w:sz w:val="21"/>
              </w:rPr>
              <w:t>归属于结算单，随结算金额一并核定</w:t>
            </w:r>
          </w:p>
        </w:tc>
      </w:tr>
      <w:tr>
        <w:tc>
          <w:tcPr>
            <w:tcW w:type="dxa" w:w="1474"/>
          </w:tcPr>
          <w:p>
            <w:pPr>
              <w:spacing w:before="20" w:after="20" w:line="276" w:lineRule="auto"/>
              <w:ind w:firstLine="0"/>
            </w:pPr>
            <w:r/>
            <w:r>
              <w:rPr>
                <w:rFonts w:ascii="Times New Roman" w:hAnsi="Times New Roman" w:eastAsia="宋体"/>
                <w:b w:val="0"/>
                <w:i w:val="0"/>
                <w:sz w:val="21"/>
              </w:rPr>
              <w:t>结算附件</w:t>
            </w:r>
          </w:p>
        </w:tc>
        <w:tc>
          <w:tcPr>
            <w:tcW w:type="dxa" w:w="4195"/>
          </w:tcPr>
          <w:p>
            <w:pPr>
              <w:spacing w:before="20" w:after="20" w:line="276" w:lineRule="auto"/>
              <w:ind w:firstLine="0"/>
            </w:pPr>
            <w:r/>
            <w:r>
              <w:rPr>
                <w:rFonts w:ascii="Times New Roman" w:hAnsi="Times New Roman" w:eastAsia="宋体"/>
                <w:b w:val="0"/>
                <w:i w:val="0"/>
                <w:sz w:val="21"/>
              </w:rPr>
              <w:t>单据类型：待盖章附件 / 已生效附件 / 其他附件</w:t>
            </w:r>
            <w:r>
              <w:br/>
            </w:r>
            <w:r>
              <w:rPr>
                <w:rFonts w:ascii="Times New Roman" w:hAnsi="Times New Roman" w:eastAsia="宋体"/>
                <w:b w:val="0"/>
                <w:i w:val="0"/>
                <w:sz w:val="21"/>
              </w:rPr>
              <w:t>文件名</w:t>
            </w:r>
            <w:r>
              <w:br/>
            </w:r>
            <w:r>
              <w:rPr>
                <w:rFonts w:ascii="Times New Roman" w:hAnsi="Times New Roman" w:eastAsia="宋体"/>
                <w:b w:val="0"/>
                <w:i w:val="0"/>
                <w:sz w:val="21"/>
              </w:rPr>
              <w:t>格式与大小：9 种格式，单个不超过 100MB</w:t>
            </w:r>
            <w:r>
              <w:br/>
            </w:r>
            <w:r>
              <w:rPr>
                <w:rFonts w:ascii="Times New Roman" w:hAnsi="Times New Roman" w:eastAsia="宋体"/>
                <w:b w:val="0"/>
                <w:i w:val="0"/>
                <w:sz w:val="21"/>
              </w:rPr>
              <w:t>单类型数量上限：20 个</w:t>
            </w:r>
          </w:p>
        </w:tc>
        <w:tc>
          <w:tcPr>
            <w:tcW w:type="dxa" w:w="3402"/>
          </w:tcPr>
          <w:p>
            <w:pPr>
              <w:spacing w:before="20" w:after="20" w:line="276" w:lineRule="auto"/>
              <w:ind w:firstLine="0"/>
            </w:pPr>
            <w:r/>
            <w:r>
              <w:rPr>
                <w:rFonts w:ascii="Times New Roman" w:hAnsi="Times New Roman" w:eastAsia="宋体"/>
                <w:b w:val="0"/>
                <w:i w:val="0"/>
                <w:sz w:val="21"/>
              </w:rPr>
              <w:t>与结算单的签章状态联动，必填项随签章状态切换</w:t>
            </w:r>
          </w:p>
        </w:tc>
      </w:tr>
      <w:tr>
        <w:tc>
          <w:tcPr>
            <w:tcW w:type="dxa" w:w="1474"/>
          </w:tcPr>
          <w:p>
            <w:pPr>
              <w:spacing w:before="20" w:after="20" w:line="276" w:lineRule="auto"/>
              <w:ind w:firstLine="0"/>
            </w:pPr>
            <w:r/>
            <w:r>
              <w:rPr>
                <w:rFonts w:ascii="Times New Roman" w:hAnsi="Times New Roman" w:eastAsia="宋体"/>
                <w:b w:val="0"/>
                <w:i w:val="0"/>
                <w:sz w:val="21"/>
              </w:rPr>
              <w:t>关联货转记录</w:t>
            </w:r>
          </w:p>
        </w:tc>
        <w:tc>
          <w:tcPr>
            <w:tcW w:type="dxa" w:w="4195"/>
          </w:tcPr>
          <w:p>
            <w:pPr>
              <w:spacing w:before="20" w:after="20" w:line="276" w:lineRule="auto"/>
              <w:ind w:firstLine="0"/>
            </w:pPr>
            <w:r/>
            <w:r>
              <w:rPr>
                <w:rFonts w:ascii="Times New Roman" w:hAnsi="Times New Roman" w:eastAsia="宋体"/>
                <w:b w:val="0"/>
                <w:i w:val="0"/>
                <w:sz w:val="21"/>
              </w:rPr>
              <w:t>货转编号</w:t>
            </w:r>
            <w:r>
              <w:br/>
            </w:r>
            <w:r>
              <w:rPr>
                <w:rFonts w:ascii="Times New Roman" w:hAnsi="Times New Roman" w:eastAsia="宋体"/>
                <w:b w:val="0"/>
                <w:i w:val="0"/>
                <w:sz w:val="21"/>
              </w:rPr>
              <w:t>货转数量（吨）</w:t>
            </w:r>
            <w:r>
              <w:br/>
            </w:r>
            <w:r>
              <w:rPr>
                <w:rFonts w:ascii="Times New Roman" w:hAnsi="Times New Roman" w:eastAsia="宋体"/>
                <w:b w:val="0"/>
                <w:i w:val="0"/>
                <w:sz w:val="21"/>
              </w:rPr>
              <w:t>货转日期</w:t>
            </w:r>
            <w:r>
              <w:br/>
            </w:r>
            <w:r>
              <w:rPr>
                <w:rFonts w:ascii="Times New Roman" w:hAnsi="Times New Roman" w:eastAsia="宋体"/>
                <w:b w:val="0"/>
                <w:i w:val="0"/>
                <w:sz w:val="21"/>
              </w:rPr>
              <w:t>收货人</w:t>
            </w:r>
            <w:r>
              <w:br/>
            </w:r>
            <w:r>
              <w:rPr>
                <w:rFonts w:ascii="Times New Roman" w:hAnsi="Times New Roman" w:eastAsia="宋体"/>
                <w:b w:val="0"/>
                <w:i w:val="0"/>
                <w:sz w:val="21"/>
              </w:rPr>
              <w:t>状态：已生效且未关联结算单</w:t>
            </w:r>
          </w:p>
        </w:tc>
        <w:tc>
          <w:tcPr>
            <w:tcW w:type="dxa" w:w="3402"/>
          </w:tcPr>
          <w:p>
            <w:pPr>
              <w:spacing w:before="20" w:after="20" w:line="276" w:lineRule="auto"/>
              <w:ind w:firstLine="0"/>
            </w:pPr>
            <w:r/>
            <w:r>
              <w:rPr>
                <w:rFonts w:ascii="Times New Roman" w:hAnsi="Times New Roman" w:eastAsia="宋体"/>
                <w:b w:val="0"/>
                <w:i w:val="0"/>
                <w:sz w:val="21"/>
              </w:rPr>
              <w:t>销售结算的结算物来源；货转编号在结算单内关联，点击可打开货转详情</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4.15.6　角色权限与数据权限</w:t>
      </w:r>
    </w:p>
    <w:p>
      <w:pPr>
        <w:spacing w:before="0" w:after="120" w:line="360" w:lineRule="auto"/>
      </w:pPr>
      <w:r>
        <w:rPr>
          <w:rFonts w:ascii="Times New Roman" w:hAnsi="Times New Roman" w:eastAsia="宋体"/>
          <w:b w:val="0"/>
          <w:i w:val="0"/>
          <w:sz w:val="24"/>
        </w:rPr>
        <w:t>本期为系统全量权限（业务方裁决 D17）；下表角色为典型使用角色，非权限分级。源文档另记录了采购结算的 6 状态角色矩阵：草稿由业务员编辑提交，业务部、风控部、财务部分别审批对应节点，已生效后各角色仅查看；该矩阵与「新增按钮仅业务部可见」的表述不一致，此处照实列出但不构成权限分级。</w:t>
      </w:r>
    </w:p>
    <w:p>
      <w:pPr>
        <w:spacing w:before="0" w:after="80" w:line="360" w:lineRule="auto"/>
      </w:pPr>
      <w:r>
        <w:rPr>
          <w:rFonts w:ascii="Times New Roman" w:hAnsi="Times New Roman" w:eastAsia="宋体"/>
          <w:b w:val="0"/>
          <w:i w:val="0"/>
          <w:sz w:val="24"/>
        </w:rPr>
        <w:t>数据可见性：按单据归属与业务筛选查看；手机号、统一社会信用代码等敏感字段默认打码，手动点击查看完整值且查看行为留痕。</w:t>
      </w:r>
    </w:p>
    <w:p>
      <w:pPr>
        <w:pStyle w:val="Heading3"/>
        <w:keepNext/>
        <w:spacing w:before="160" w:after="80" w:line="312" w:lineRule="auto"/>
        <w:ind w:firstLine="0"/>
      </w:pPr>
      <w:r>
        <w:rPr>
          <w:rFonts w:ascii="Times New Roman" w:hAnsi="Times New Roman" w:eastAsia="黑体"/>
          <w:b/>
          <w:i w:val="0"/>
          <w:sz w:val="24"/>
        </w:rPr>
        <w:t>4.15.7　业务流程与页面</w:t>
      </w:r>
    </w:p>
    <w:p>
      <w:pPr>
        <w:spacing w:before="120" w:after="60"/>
        <w:ind w:firstLine="0"/>
        <w:jc w:val="center"/>
      </w:pPr>
      <w:r>
        <w:drawing>
          <wp:inline xmlns:a="http://schemas.openxmlformats.org/drawingml/2006/main" xmlns:pic="http://schemas.openxmlformats.org/drawingml/2006/picture">
            <wp:extent cx="5616000" cy="1355586"/>
            <wp:docPr id="29" name="Picture 29"/>
            <wp:cNvGraphicFramePr>
              <a:graphicFrameLocks noChangeAspect="1"/>
            </wp:cNvGraphicFramePr>
            <a:graphic>
              <a:graphicData uri="http://schemas.openxmlformats.org/drawingml/2006/picture">
                <pic:pic>
                  <pic:nvPicPr>
                    <pic:cNvPr id="0" name="mermaid-settlement.png"/>
                    <pic:cNvPicPr/>
                  </pic:nvPicPr>
                  <pic:blipFill>
                    <a:blip r:embed="rId39"/>
                    <a:stretch>
                      <a:fillRect/>
                    </a:stretch>
                  </pic:blipFill>
                  <pic:spPr>
                    <a:xfrm>
                      <a:off x="0" y="0"/>
                      <a:ext cx="5616000" cy="1355586"/>
                    </a:xfrm>
                    <a:prstGeom prst="rect"/>
                  </pic:spPr>
                </pic:pic>
              </a:graphicData>
            </a:graphic>
          </wp:inline>
        </w:drawing>
      </w:r>
    </w:p>
    <w:p>
      <w:pPr>
        <w:spacing w:before="0" w:after="200" w:line="240" w:lineRule="auto"/>
        <w:ind w:firstLine="0"/>
        <w:jc w:val="center"/>
      </w:pPr>
      <w:r>
        <w:rPr>
          <w:rFonts w:ascii="Times New Roman" w:hAnsi="Times New Roman" w:eastAsia="宋体"/>
          <w:b w:val="0"/>
          <w:i w:val="0"/>
          <w:sz w:val="21"/>
        </w:rPr>
        <w:t>图 4-15-1　结算单管理 主业务流程</w:t>
      </w:r>
    </w:p>
    <w:p>
      <w:pPr>
        <w:spacing w:before="0" w:after="60" w:line="360" w:lineRule="auto"/>
      </w:pPr>
      <w:r>
        <w:rPr>
          <w:rFonts w:ascii="Times New Roman" w:hAnsi="Times New Roman" w:eastAsia="宋体"/>
          <w:b/>
          <w:i w:val="0"/>
          <w:sz w:val="24"/>
        </w:rPr>
        <w:t>主流程步骤：</w:t>
      </w:r>
    </w:p>
    <w:p>
      <w:pPr>
        <w:spacing w:before="0" w:after="60" w:line="336" w:lineRule="auto"/>
        <w:ind w:left="510" w:hanging="510"/>
      </w:pPr>
      <w:r>
        <w:rPr>
          <w:rFonts w:ascii="Times New Roman" w:hAnsi="Times New Roman" w:eastAsia="宋体"/>
          <w:b w:val="0"/>
          <w:i w:val="0"/>
          <w:sz w:val="24"/>
        </w:rPr>
        <w:t>1. 合同进入执行中状态后，业务员点击新增采销结算单，打开合同选择抽屉选定合同</w:t>
      </w:r>
    </w:p>
    <w:p>
      <w:pPr>
        <w:spacing w:before="0" w:after="60" w:line="336" w:lineRule="auto"/>
        <w:ind w:left="510" w:hanging="510"/>
      </w:pPr>
      <w:r>
        <w:rPr>
          <w:rFonts w:ascii="Times New Roman" w:hAnsi="Times New Roman" w:eastAsia="宋体"/>
          <w:b w:val="0"/>
          <w:i w:val="0"/>
          <w:sz w:val="24"/>
        </w:rPr>
        <w:t>2. 勾选要登记结算的货转记录，系统只展示已生效且未关联结算单的货转</w:t>
      </w:r>
    </w:p>
    <w:p>
      <w:pPr>
        <w:spacing w:before="0" w:after="60" w:line="336" w:lineRule="auto"/>
        <w:ind w:left="510" w:hanging="510"/>
      </w:pPr>
      <w:r>
        <w:rPr>
          <w:rFonts w:ascii="Times New Roman" w:hAnsi="Times New Roman" w:eastAsia="宋体"/>
          <w:b w:val="0"/>
          <w:i w:val="0"/>
          <w:sz w:val="24"/>
        </w:rPr>
        <w:t>3. 登记结算单号、结算日期、供货周期、结算金额与备注，结算单号手工录入不超过 100 字</w:t>
      </w:r>
    </w:p>
    <w:p>
      <w:pPr>
        <w:spacing w:before="0" w:after="60" w:line="336" w:lineRule="auto"/>
        <w:ind w:left="510" w:hanging="510"/>
      </w:pPr>
      <w:r>
        <w:rPr>
          <w:rFonts w:ascii="Times New Roman" w:hAnsi="Times New Roman" w:eastAsia="宋体"/>
          <w:b w:val="0"/>
          <w:i w:val="0"/>
          <w:sz w:val="24"/>
        </w:rPr>
        <w:t>4. 选择签章状态：待盖章或已双签；待盖章需上传待盖章附件，已双签需上传已生效附件</w:t>
      </w:r>
    </w:p>
    <w:p>
      <w:pPr>
        <w:spacing w:before="0" w:after="60" w:line="336" w:lineRule="auto"/>
        <w:ind w:left="510" w:hanging="510"/>
      </w:pPr>
      <w:r>
        <w:rPr>
          <w:rFonts w:ascii="Times New Roman" w:hAnsi="Times New Roman" w:eastAsia="宋体"/>
          <w:b w:val="0"/>
          <w:i w:val="0"/>
          <w:sz w:val="24"/>
        </w:rPr>
        <w:t>5. 提交前系统校验结算金额不小于 0、不超过合同剩余金额，供货周期不大于当前日期，缺失项给出对应提示</w:t>
      </w:r>
    </w:p>
    <w:p>
      <w:pPr>
        <w:spacing w:before="0" w:after="60" w:line="336" w:lineRule="auto"/>
        <w:ind w:left="510" w:hanging="510"/>
      </w:pPr>
      <w:r>
        <w:rPr>
          <w:rFonts w:ascii="Times New Roman" w:hAnsi="Times New Roman" w:eastAsia="宋体"/>
          <w:b w:val="0"/>
          <w:i w:val="0"/>
          <w:sz w:val="24"/>
        </w:rPr>
        <w:t>6. 签章状态为待盖章时进入内部串行审批（业务部、风控部、财务部），签章状态为已双签时跳过审批直接生效</w:t>
      </w:r>
    </w:p>
    <w:p>
      <w:pPr>
        <w:spacing w:before="0" w:after="60" w:line="336" w:lineRule="auto"/>
        <w:ind w:left="510" w:hanging="510"/>
      </w:pPr>
      <w:r>
        <w:rPr>
          <w:rFonts w:ascii="Times New Roman" w:hAnsi="Times New Roman" w:eastAsia="宋体"/>
          <w:b w:val="0"/>
          <w:i w:val="0"/>
          <w:sz w:val="24"/>
        </w:rPr>
        <w:t>7. 待盖章路径下审批通过后业务方线下盖章并扫描上传单据，结算单进入已生效</w:t>
      </w:r>
    </w:p>
    <w:p>
      <w:pPr>
        <w:spacing w:before="0" w:after="60" w:line="336" w:lineRule="auto"/>
        <w:ind w:left="510" w:hanging="510"/>
      </w:pPr>
      <w:r>
        <w:rPr>
          <w:rFonts w:ascii="Times New Roman" w:hAnsi="Times New Roman" w:eastAsia="宋体"/>
          <w:b w:val="0"/>
          <w:i w:val="0"/>
          <w:sz w:val="24"/>
        </w:rPr>
        <w:t>8. 结算单生效后触发付款申请与发票登记，回写合同已结算金额与业务线结算进度；任一状态下可作废，需填写作废原因</w:t>
      </w:r>
    </w:p>
    <w:p>
      <w:pPr>
        <w:spacing w:before="120" w:after="60" w:line="360" w:lineRule="auto"/>
      </w:pPr>
      <w:r>
        <w:rPr>
          <w:rFonts w:ascii="Times New Roman" w:hAnsi="Times New Roman" w:eastAsia="宋体"/>
          <w:b/>
          <w:i w:val="0"/>
          <w:sz w:val="24"/>
        </w:rPr>
        <w:t>异常分支：</w:t>
      </w:r>
    </w:p>
    <w:tbl>
      <w:tblPr>
        <w:tblStyle w:val="TableGrid"/>
        <w:tblW w:type="auto" w:w="0"/>
        <w:jc w:val="center"/>
        <w:tblLayout w:type="fixed"/>
        <w:tblLook w:firstColumn="1" w:firstRow="1" w:lastColumn="0" w:lastRow="0" w:noHBand="0" w:noVBand="1" w:val="04A0"/>
      </w:tblPr>
      <w:tblGrid>
        <w:gridCol w:w="4479"/>
        <w:gridCol w:w="4479"/>
      </w:tblGrid>
      <w:tr>
        <w:trPr>
          <w:tblHeader w:val="true"/>
        </w:trPr>
        <w:tc>
          <w:tcPr>
            <w:tcW w:type="dxa" w:w="2835"/>
            <w:shd w:val="clear" w:color="auto" w:fill="DCE6F1"/>
          </w:tcPr>
          <w:p>
            <w:pPr>
              <w:spacing w:before="40" w:after="40" w:line="276" w:lineRule="auto"/>
              <w:jc w:val="center"/>
            </w:pPr>
            <w:r/>
            <w:r>
              <w:rPr>
                <w:rFonts w:ascii="Times New Roman" w:hAnsi="Times New Roman" w:eastAsia="黑体"/>
                <w:b/>
                <w:i w:val="0"/>
                <w:sz w:val="21"/>
              </w:rPr>
              <w:t>异常场景</w:t>
            </w:r>
          </w:p>
        </w:tc>
        <w:tc>
          <w:tcPr>
            <w:tcW w:type="dxa" w:w="6236"/>
            <w:shd w:val="clear" w:color="auto" w:fill="DCE6F1"/>
          </w:tcPr>
          <w:p>
            <w:pPr>
              <w:spacing w:before="40" w:after="40" w:line="276" w:lineRule="auto"/>
              <w:jc w:val="center"/>
            </w:pPr>
            <w:r/>
            <w:r>
              <w:rPr>
                <w:rFonts w:ascii="Times New Roman" w:hAnsi="Times New Roman" w:eastAsia="黑体"/>
                <w:b/>
                <w:i w:val="0"/>
                <w:sz w:val="21"/>
              </w:rPr>
              <w:t>系统处理</w:t>
            </w:r>
          </w:p>
        </w:tc>
      </w:tr>
      <w:tr>
        <w:tc>
          <w:tcPr>
            <w:tcW w:type="dxa" w:w="2835"/>
          </w:tcPr>
          <w:p>
            <w:pPr>
              <w:spacing w:before="20" w:after="20" w:line="276" w:lineRule="auto"/>
              <w:ind w:firstLine="0"/>
            </w:pPr>
            <w:r/>
            <w:r>
              <w:rPr>
                <w:rFonts w:ascii="Times New Roman" w:hAnsi="Times New Roman" w:eastAsia="宋体"/>
                <w:b w:val="0"/>
                <w:i w:val="0"/>
                <w:sz w:val="21"/>
              </w:rPr>
              <w:t>结算金额小于 0 或超过合同剩余金额</w:t>
            </w:r>
          </w:p>
        </w:tc>
        <w:tc>
          <w:tcPr>
            <w:tcW w:type="dxa" w:w="6236"/>
          </w:tcPr>
          <w:p>
            <w:pPr>
              <w:spacing w:before="20" w:after="20" w:line="276" w:lineRule="auto"/>
              <w:ind w:firstLine="0"/>
            </w:pPr>
            <w:r/>
            <w:r>
              <w:rPr>
                <w:rFonts w:ascii="Times New Roman" w:hAnsi="Times New Roman" w:eastAsia="宋体"/>
                <w:b w:val="0"/>
                <w:i w:val="0"/>
                <w:sz w:val="21"/>
              </w:rPr>
              <w:t>前者提示「结算金额不能 &lt; 0」，后者提示「结算金额 X 超过合同剩余金额 Y」，均阻止提交</w:t>
            </w:r>
          </w:p>
        </w:tc>
      </w:tr>
      <w:tr>
        <w:tc>
          <w:tcPr>
            <w:tcW w:type="dxa" w:w="2835"/>
          </w:tcPr>
          <w:p>
            <w:pPr>
              <w:spacing w:before="20" w:after="20" w:line="276" w:lineRule="auto"/>
              <w:ind w:firstLine="0"/>
            </w:pPr>
            <w:r/>
            <w:r>
              <w:rPr>
                <w:rFonts w:ascii="Times New Roman" w:hAnsi="Times New Roman" w:eastAsia="宋体"/>
                <w:b w:val="0"/>
                <w:i w:val="0"/>
                <w:sz w:val="21"/>
              </w:rPr>
              <w:t>供货周期结束日期大于当前日期或结算日期未填</w:t>
            </w:r>
          </w:p>
        </w:tc>
        <w:tc>
          <w:tcPr>
            <w:tcW w:type="dxa" w:w="6236"/>
          </w:tcPr>
          <w:p>
            <w:pPr>
              <w:spacing w:before="20" w:after="20" w:line="276" w:lineRule="auto"/>
              <w:ind w:firstLine="0"/>
            </w:pPr>
            <w:r/>
            <w:r>
              <w:rPr>
                <w:rFonts w:ascii="Times New Roman" w:hAnsi="Times New Roman" w:eastAsia="宋体"/>
                <w:b w:val="0"/>
                <w:i w:val="0"/>
                <w:sz w:val="21"/>
              </w:rPr>
              <w:t>分别提示「供货周期不能大于当前日期」「结算日期必填」，阻止提交</w:t>
            </w:r>
          </w:p>
        </w:tc>
      </w:tr>
      <w:tr>
        <w:tc>
          <w:tcPr>
            <w:tcW w:type="dxa" w:w="2835"/>
          </w:tcPr>
          <w:p>
            <w:pPr>
              <w:spacing w:before="20" w:after="20" w:line="276" w:lineRule="auto"/>
              <w:ind w:firstLine="0"/>
            </w:pPr>
            <w:r/>
            <w:r>
              <w:rPr>
                <w:rFonts w:ascii="Times New Roman" w:hAnsi="Times New Roman" w:eastAsia="宋体"/>
                <w:b w:val="0"/>
                <w:i w:val="0"/>
                <w:sz w:val="21"/>
              </w:rPr>
              <w:t>签章状态未选择，或与签章状态联动的必填附件缺失</w:t>
            </w:r>
          </w:p>
        </w:tc>
        <w:tc>
          <w:tcPr>
            <w:tcW w:type="dxa" w:w="6236"/>
          </w:tcPr>
          <w:p>
            <w:pPr>
              <w:spacing w:before="20" w:after="20" w:line="276" w:lineRule="auto"/>
              <w:ind w:firstLine="0"/>
            </w:pPr>
            <w:r/>
            <w:r>
              <w:rPr>
                <w:rFonts w:ascii="Times New Roman" w:hAnsi="Times New Roman" w:eastAsia="宋体"/>
                <w:b w:val="0"/>
                <w:i w:val="0"/>
                <w:sz w:val="21"/>
              </w:rPr>
              <w:t>分别提示「请先选择签章状态」「请上传待盖章附件」「请上传已生效附件」，阻止提交</w:t>
            </w:r>
          </w:p>
        </w:tc>
      </w:tr>
      <w:tr>
        <w:tc>
          <w:tcPr>
            <w:tcW w:type="dxa" w:w="2835"/>
          </w:tcPr>
          <w:p>
            <w:pPr>
              <w:spacing w:before="20" w:after="20" w:line="276" w:lineRule="auto"/>
              <w:ind w:firstLine="0"/>
            </w:pPr>
            <w:r/>
            <w:r>
              <w:rPr>
                <w:rFonts w:ascii="Times New Roman" w:hAnsi="Times New Roman" w:eastAsia="宋体"/>
                <w:b w:val="0"/>
                <w:i w:val="0"/>
                <w:sz w:val="21"/>
              </w:rPr>
              <w:t>关联货转不满足已生效且未关联结算单</w:t>
            </w:r>
          </w:p>
        </w:tc>
        <w:tc>
          <w:tcPr>
            <w:tcW w:type="dxa" w:w="6236"/>
          </w:tcPr>
          <w:p>
            <w:pPr>
              <w:spacing w:before="20" w:after="20" w:line="276" w:lineRule="auto"/>
              <w:ind w:firstLine="0"/>
            </w:pPr>
            <w:r/>
            <w:r>
              <w:rPr>
                <w:rFonts w:ascii="Times New Roman" w:hAnsi="Times New Roman" w:eastAsia="宋体"/>
                <w:b w:val="0"/>
                <w:i w:val="0"/>
                <w:sz w:val="21"/>
              </w:rPr>
              <w:t>不进入可选范围并阻止结算单提交</w:t>
            </w:r>
          </w:p>
        </w:tc>
      </w:tr>
      <w:tr>
        <w:tc>
          <w:tcPr>
            <w:tcW w:type="dxa" w:w="2835"/>
          </w:tcPr>
          <w:p>
            <w:pPr>
              <w:spacing w:before="20" w:after="20" w:line="276" w:lineRule="auto"/>
              <w:ind w:firstLine="0"/>
            </w:pPr>
            <w:r/>
            <w:r>
              <w:rPr>
                <w:rFonts w:ascii="Times New Roman" w:hAnsi="Times New Roman" w:eastAsia="宋体"/>
                <w:b w:val="0"/>
                <w:i w:val="0"/>
                <w:sz w:val="21"/>
              </w:rPr>
              <w:t>审批驳回或钉钉审核驳回</w:t>
            </w:r>
          </w:p>
        </w:tc>
        <w:tc>
          <w:tcPr>
            <w:tcW w:type="dxa" w:w="6236"/>
          </w:tcPr>
          <w:p>
            <w:pPr>
              <w:spacing w:before="20" w:after="20" w:line="276" w:lineRule="auto"/>
              <w:ind w:firstLine="0"/>
            </w:pPr>
            <w:r/>
            <w:r>
              <w:rPr>
                <w:rFonts w:ascii="Times New Roman" w:hAnsi="Times New Roman" w:eastAsia="宋体"/>
                <w:b w:val="0"/>
                <w:i w:val="0"/>
                <w:sz w:val="21"/>
              </w:rPr>
              <w:t>销售结算进入收回（审批驳回）状态，可修改后重新提交；采购结算的驳回分退回草稿可修改与终止为已驳回两个出口</w:t>
            </w:r>
          </w:p>
        </w:tc>
      </w:tr>
      <w:tr>
        <w:tc>
          <w:tcPr>
            <w:tcW w:type="dxa" w:w="2835"/>
          </w:tcPr>
          <w:p>
            <w:pPr>
              <w:spacing w:before="20" w:after="20" w:line="276" w:lineRule="auto"/>
              <w:ind w:firstLine="0"/>
            </w:pPr>
            <w:r/>
            <w:r>
              <w:rPr>
                <w:rFonts w:ascii="Times New Roman" w:hAnsi="Times New Roman" w:eastAsia="宋体"/>
                <w:b w:val="0"/>
                <w:i w:val="0"/>
                <w:sz w:val="21"/>
              </w:rPr>
              <w:t>作废结算单未填写原因</w:t>
            </w:r>
          </w:p>
        </w:tc>
        <w:tc>
          <w:tcPr>
            <w:tcW w:type="dxa" w:w="6236"/>
          </w:tcPr>
          <w:p>
            <w:pPr>
              <w:spacing w:before="20" w:after="20" w:line="276" w:lineRule="auto"/>
              <w:ind w:firstLine="0"/>
            </w:pPr>
            <w:r/>
            <w:r>
              <w:rPr>
                <w:rFonts w:ascii="Times New Roman" w:hAnsi="Times New Roman" w:eastAsia="宋体"/>
                <w:b w:val="0"/>
                <w:i w:val="0"/>
                <w:sz w:val="21"/>
              </w:rPr>
              <w:t>提示「作废原因必填」，阻止作废；作废完成后为终态不可恢复</w:t>
            </w:r>
          </w:p>
        </w:tc>
      </w:tr>
    </w:tbl>
    <w:p>
      <w:pPr>
        <w:spacing w:before="0" w:after="0" w:line="240" w:lineRule="auto"/>
      </w:pPr>
    </w:p>
    <w:p>
      <w:pPr>
        <w:spacing w:before="120" w:after="60"/>
        <w:ind w:firstLine="0"/>
        <w:jc w:val="center"/>
      </w:pPr>
      <w:r>
        <w:drawing>
          <wp:inline xmlns:a="http://schemas.openxmlformats.org/drawingml/2006/main" xmlns:pic="http://schemas.openxmlformats.org/drawingml/2006/picture">
            <wp:extent cx="5616000" cy="3334500"/>
            <wp:docPr id="30" name="Picture 30"/>
            <wp:cNvGraphicFramePr>
              <a:graphicFrameLocks noChangeAspect="1"/>
            </wp:cNvGraphicFramePr>
            <a:graphic>
              <a:graphicData uri="http://schemas.openxmlformats.org/drawingml/2006/picture">
                <pic:pic>
                  <pic:nvPicPr>
                    <pic:cNvPr id="0" name="settlement.png"/>
                    <pic:cNvPicPr/>
                  </pic:nvPicPr>
                  <pic:blipFill>
                    <a:blip r:embed="rId40"/>
                    <a:stretch>
                      <a:fillRect/>
                    </a:stretch>
                  </pic:blipFill>
                  <pic:spPr>
                    <a:xfrm>
                      <a:off x="0" y="0"/>
                      <a:ext cx="5616000" cy="3334500"/>
                    </a:xfrm>
                    <a:prstGeom prst="rect"/>
                  </pic:spPr>
                </pic:pic>
              </a:graphicData>
            </a:graphic>
          </wp:inline>
        </w:drawing>
      </w:r>
    </w:p>
    <w:p>
      <w:pPr>
        <w:spacing w:before="0" w:after="200" w:line="240" w:lineRule="auto"/>
        <w:ind w:firstLine="0"/>
        <w:jc w:val="center"/>
      </w:pPr>
      <w:r>
        <w:rPr>
          <w:rFonts w:ascii="Times New Roman" w:hAnsi="Times New Roman" w:eastAsia="宋体"/>
          <w:b w:val="0"/>
          <w:i w:val="0"/>
          <w:sz w:val="21"/>
        </w:rPr>
        <w:t>图 4-15-2　结算单管理 原型页面</w:t>
      </w:r>
    </w:p>
    <w:p>
      <w:pPr>
        <w:spacing w:before="80" w:after="60" w:line="360" w:lineRule="auto"/>
      </w:pPr>
      <w:r>
        <w:rPr>
          <w:rFonts w:ascii="Times New Roman" w:hAnsi="Times New Roman" w:eastAsia="宋体"/>
          <w:b/>
          <w:i w:val="0"/>
          <w:sz w:val="24"/>
        </w:rPr>
        <w:t>页面级说明：</w:t>
      </w: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tblGrid>
      <w:tr>
        <w:trPr>
          <w:tblHeader w:val="true"/>
        </w:trPr>
        <w:tc>
          <w:tcPr>
            <w:tcW w:type="dxa" w:w="1178"/>
            <w:shd w:val="clear" w:color="auto" w:fill="DCE6F1"/>
          </w:tcPr>
          <w:p>
            <w:pPr>
              <w:spacing w:before="40" w:after="40" w:line="276" w:lineRule="auto"/>
              <w:jc w:val="center"/>
            </w:pPr>
            <w:r/>
            <w:r>
              <w:rPr>
                <w:rFonts w:ascii="Times New Roman" w:hAnsi="Times New Roman" w:eastAsia="黑体"/>
                <w:b/>
                <w:i w:val="0"/>
                <w:sz w:val="19"/>
              </w:rPr>
              <w:t>页面</w:t>
            </w:r>
          </w:p>
        </w:tc>
        <w:tc>
          <w:tcPr>
            <w:tcW w:type="dxa" w:w="1531"/>
            <w:shd w:val="clear" w:color="auto" w:fill="DCE6F1"/>
          </w:tcPr>
          <w:p>
            <w:pPr>
              <w:spacing w:before="40" w:after="40" w:line="276" w:lineRule="auto"/>
              <w:jc w:val="center"/>
            </w:pPr>
            <w:r/>
            <w:r>
              <w:rPr>
                <w:rFonts w:ascii="Times New Roman" w:hAnsi="Times New Roman" w:eastAsia="黑体"/>
                <w:b/>
                <w:i w:val="0"/>
                <w:sz w:val="19"/>
              </w:rPr>
              <w:t>原型文件</w:t>
            </w:r>
          </w:p>
        </w:tc>
        <w:tc>
          <w:tcPr>
            <w:tcW w:type="dxa" w:w="1119"/>
            <w:shd w:val="clear" w:color="auto" w:fill="DCE6F1"/>
          </w:tcPr>
          <w:p>
            <w:pPr>
              <w:spacing w:before="40" w:after="40" w:line="276" w:lineRule="auto"/>
              <w:jc w:val="center"/>
            </w:pPr>
            <w:r/>
            <w:r>
              <w:rPr>
                <w:rFonts w:ascii="Times New Roman" w:hAnsi="Times New Roman" w:eastAsia="黑体"/>
                <w:b/>
                <w:i w:val="0"/>
                <w:sz w:val="19"/>
              </w:rPr>
              <w:t>进入方式</w:t>
            </w:r>
          </w:p>
        </w:tc>
        <w:tc>
          <w:tcPr>
            <w:tcW w:type="dxa" w:w="2062"/>
            <w:shd w:val="clear" w:color="auto" w:fill="DCE6F1"/>
          </w:tcPr>
          <w:p>
            <w:pPr>
              <w:spacing w:before="40" w:after="40" w:line="276" w:lineRule="auto"/>
              <w:jc w:val="center"/>
            </w:pPr>
            <w:r/>
            <w:r>
              <w:rPr>
                <w:rFonts w:ascii="Times New Roman" w:hAnsi="Times New Roman" w:eastAsia="黑体"/>
                <w:b/>
                <w:i w:val="0"/>
                <w:sz w:val="19"/>
              </w:rPr>
              <w:t>关键区块</w:t>
            </w:r>
          </w:p>
        </w:tc>
        <w:tc>
          <w:tcPr>
            <w:tcW w:type="dxa" w:w="1767"/>
            <w:shd w:val="clear" w:color="auto" w:fill="DCE6F1"/>
          </w:tcPr>
          <w:p>
            <w:pPr>
              <w:spacing w:before="40" w:after="40" w:line="276" w:lineRule="auto"/>
              <w:jc w:val="center"/>
            </w:pPr>
            <w:r/>
            <w:r>
              <w:rPr>
                <w:rFonts w:ascii="Times New Roman" w:hAnsi="Times New Roman" w:eastAsia="黑体"/>
                <w:b/>
                <w:i w:val="0"/>
                <w:sz w:val="19"/>
              </w:rPr>
              <w:t>主要按钮与行为</w:t>
            </w:r>
          </w:p>
        </w:tc>
        <w:tc>
          <w:tcPr>
            <w:tcW w:type="dxa" w:w="1414"/>
            <w:shd w:val="clear" w:color="auto" w:fill="DCE6F1"/>
          </w:tcPr>
          <w:p>
            <w:pPr>
              <w:spacing w:before="40" w:after="40" w:line="276" w:lineRule="auto"/>
              <w:jc w:val="center"/>
            </w:pPr>
            <w:r/>
            <w:r>
              <w:rPr>
                <w:rFonts w:ascii="Times New Roman" w:hAnsi="Times New Roman" w:eastAsia="黑体"/>
                <w:b/>
                <w:i w:val="0"/>
                <w:sz w:val="19"/>
              </w:rPr>
              <w:t>跳转去向</w:t>
            </w:r>
          </w:p>
        </w:tc>
      </w:tr>
      <w:tr>
        <w:tc>
          <w:tcPr>
            <w:tcW w:type="dxa" w:w="1178"/>
          </w:tcPr>
          <w:p>
            <w:pPr>
              <w:spacing w:before="20" w:after="20" w:line="276" w:lineRule="auto"/>
              <w:ind w:firstLine="0"/>
            </w:pPr>
            <w:r/>
            <w:r>
              <w:rPr>
                <w:rFonts w:ascii="Times New Roman" w:hAnsi="Times New Roman" w:eastAsia="宋体"/>
                <w:b w:val="0"/>
                <w:i w:val="0"/>
                <w:sz w:val="19"/>
              </w:rPr>
              <w:t>采购结算（列表）</w:t>
            </w:r>
          </w:p>
        </w:tc>
        <w:tc>
          <w:tcPr>
            <w:tcW w:type="dxa" w:w="1531"/>
          </w:tcPr>
          <w:p>
            <w:pPr>
              <w:spacing w:before="20" w:after="20" w:line="276" w:lineRule="auto"/>
              <w:ind w:firstLine="0"/>
            </w:pPr>
            <w:r/>
            <w:r>
              <w:rPr>
                <w:rFonts w:ascii="Times New Roman" w:hAnsi="Times New Roman" w:eastAsia="宋体"/>
                <w:b w:val="0"/>
                <w:i w:val="0"/>
                <w:sz w:val="19"/>
              </w:rPr>
              <w:t>settlement-purchase.html</w:t>
            </w:r>
          </w:p>
        </w:tc>
        <w:tc>
          <w:tcPr>
            <w:tcW w:type="dxa" w:w="1119"/>
          </w:tcPr>
          <w:p>
            <w:pPr>
              <w:spacing w:before="20" w:after="20" w:line="276" w:lineRule="auto"/>
              <w:ind w:firstLine="0"/>
            </w:pPr>
            <w:r/>
            <w:r>
              <w:rPr>
                <w:rFonts w:ascii="Times New Roman" w:hAnsi="Times New Roman" w:eastAsia="宋体"/>
                <w:b w:val="0"/>
                <w:i w:val="0"/>
                <w:sz w:val="19"/>
              </w:rPr>
              <w:t>数字供应链 / 结算单管理</w:t>
            </w:r>
          </w:p>
        </w:tc>
        <w:tc>
          <w:tcPr>
            <w:tcW w:type="dxa" w:w="2062"/>
          </w:tcPr>
          <w:p>
            <w:pPr>
              <w:spacing w:before="20" w:after="20" w:line="276" w:lineRule="auto"/>
              <w:ind w:firstLine="0"/>
            </w:pPr>
            <w:r/>
            <w:r>
              <w:rPr>
                <w:rFonts w:ascii="Times New Roman" w:hAnsi="Times New Roman" w:eastAsia="宋体"/>
                <w:b w:val="0"/>
                <w:i w:val="0"/>
                <w:sz w:val="19"/>
              </w:rPr>
              <w:t>状态页签（全部、审批中、待上传已生效单据、已生效、审批驳回、已作废）+ 筛选查询区 + 采购结算单表格</w:t>
            </w:r>
          </w:p>
        </w:tc>
        <w:tc>
          <w:tcPr>
            <w:tcW w:type="dxa" w:w="1767"/>
          </w:tcPr>
          <w:p>
            <w:pPr>
              <w:spacing w:before="20" w:after="20" w:line="276" w:lineRule="auto"/>
              <w:ind w:firstLine="0"/>
            </w:pPr>
            <w:r/>
            <w:r>
              <w:rPr>
                <w:rFonts w:ascii="Times New Roman" w:hAnsi="Times New Roman" w:eastAsia="宋体"/>
                <w:b w:val="0"/>
                <w:i w:val="0"/>
                <w:sz w:val="19"/>
              </w:rPr>
              <w:t>查询 / 重置 / 清除全部筛选 / 行内按状态显隐详情、修改、上传附件、作废</w:t>
            </w:r>
          </w:p>
        </w:tc>
        <w:tc>
          <w:tcPr>
            <w:tcW w:type="dxa" w:w="1414"/>
          </w:tcPr>
          <w:p>
            <w:pPr>
              <w:spacing w:before="20" w:after="20" w:line="276" w:lineRule="auto"/>
              <w:ind w:firstLine="0"/>
            </w:pPr>
            <w:r/>
            <w:r>
              <w:rPr>
                <w:rFonts w:ascii="Times New Roman" w:hAnsi="Times New Roman" w:eastAsia="宋体"/>
                <w:b w:val="0"/>
                <w:i w:val="0"/>
                <w:sz w:val="19"/>
              </w:rPr>
              <w:t>行内详情跳转到采购结算单详情页 settlement-purchase-detail.html；新增跳转到 settlement-purchase-new.html</w:t>
            </w:r>
          </w:p>
        </w:tc>
      </w:tr>
      <w:tr>
        <w:tc>
          <w:tcPr>
            <w:tcW w:type="dxa" w:w="1178"/>
          </w:tcPr>
          <w:p>
            <w:pPr>
              <w:spacing w:before="20" w:after="20" w:line="276" w:lineRule="auto"/>
              <w:ind w:firstLine="0"/>
            </w:pPr>
            <w:r/>
            <w:r>
              <w:rPr>
                <w:rFonts w:ascii="Times New Roman" w:hAnsi="Times New Roman" w:eastAsia="宋体"/>
                <w:b w:val="0"/>
                <w:i w:val="0"/>
                <w:sz w:val="19"/>
              </w:rPr>
              <w:t>采购结算 · 新增/编辑</w:t>
            </w:r>
          </w:p>
        </w:tc>
        <w:tc>
          <w:tcPr>
            <w:tcW w:type="dxa" w:w="1531"/>
          </w:tcPr>
          <w:p>
            <w:pPr>
              <w:spacing w:before="20" w:after="20" w:line="276" w:lineRule="auto"/>
              <w:ind w:firstLine="0"/>
            </w:pPr>
            <w:r/>
            <w:r>
              <w:rPr>
                <w:rFonts w:ascii="Times New Roman" w:hAnsi="Times New Roman" w:eastAsia="宋体"/>
                <w:b w:val="0"/>
                <w:i w:val="0"/>
                <w:sz w:val="19"/>
              </w:rPr>
              <w:t>settlement-purchase-new.html</w:t>
            </w:r>
          </w:p>
        </w:tc>
        <w:tc>
          <w:tcPr>
            <w:tcW w:type="dxa" w:w="1119"/>
          </w:tcPr>
          <w:p>
            <w:pPr>
              <w:spacing w:before="20" w:after="20" w:line="276" w:lineRule="auto"/>
              <w:ind w:firstLine="0"/>
            </w:pPr>
            <w:r/>
            <w:r>
              <w:rPr>
                <w:rFonts w:ascii="Times New Roman" w:hAnsi="Times New Roman" w:eastAsia="宋体"/>
                <w:b w:val="0"/>
                <w:i w:val="0"/>
                <w:sz w:val="19"/>
              </w:rPr>
              <w:t>采购结算列表右上「新增/编辑采购结算单」</w:t>
            </w:r>
          </w:p>
        </w:tc>
        <w:tc>
          <w:tcPr>
            <w:tcW w:type="dxa" w:w="2062"/>
          </w:tcPr>
          <w:p>
            <w:pPr>
              <w:spacing w:before="20" w:after="20" w:line="276" w:lineRule="auto"/>
              <w:ind w:firstLine="0"/>
            </w:pPr>
            <w:r/>
            <w:r>
              <w:rPr>
                <w:rFonts w:ascii="Times New Roman" w:hAnsi="Times New Roman" w:eastAsia="宋体"/>
                <w:b w:val="0"/>
                <w:i w:val="0"/>
                <w:sz w:val="19"/>
              </w:rPr>
              <w:t>合同信息 + 结算阶段选择 + 货款与费用自动计算结果 + 调整金额与备注 + 附件</w:t>
            </w:r>
          </w:p>
        </w:tc>
        <w:tc>
          <w:tcPr>
            <w:tcW w:type="dxa" w:w="1767"/>
          </w:tcPr>
          <w:p>
            <w:pPr>
              <w:spacing w:before="20" w:after="20" w:line="276" w:lineRule="auto"/>
              <w:ind w:firstLine="0"/>
            </w:pPr>
            <w:r/>
            <w:r>
              <w:rPr>
                <w:rFonts w:ascii="Times New Roman" w:hAnsi="Times New Roman" w:eastAsia="宋体"/>
                <w:b w:val="0"/>
                <w:i w:val="0"/>
                <w:sz w:val="19"/>
              </w:rPr>
              <w:t>上传 / 重新上传 / 提交 / 取消 / 查询 / 确定 / 重置</w:t>
            </w:r>
          </w:p>
        </w:tc>
        <w:tc>
          <w:tcPr>
            <w:tcW w:type="dxa" w:w="1414"/>
          </w:tcPr>
          <w:p>
            <w:pPr>
              <w:spacing w:before="20" w:after="20" w:line="276" w:lineRule="auto"/>
              <w:ind w:firstLine="0"/>
            </w:pPr>
            <w:r/>
            <w:r>
              <w:rPr>
                <w:rFonts w:ascii="Times New Roman" w:hAnsi="Times New Roman" w:eastAsia="宋体"/>
                <w:b w:val="0"/>
                <w:i w:val="0"/>
                <w:sz w:val="19"/>
              </w:rPr>
              <w:t>提交成功后回到采购结算列表；驳回状态下进入时提交回到审批链</w:t>
            </w:r>
          </w:p>
        </w:tc>
      </w:tr>
      <w:tr>
        <w:tc>
          <w:tcPr>
            <w:tcW w:type="dxa" w:w="1178"/>
          </w:tcPr>
          <w:p>
            <w:pPr>
              <w:spacing w:before="20" w:after="20" w:line="276" w:lineRule="auto"/>
              <w:ind w:firstLine="0"/>
            </w:pPr>
            <w:r/>
            <w:r>
              <w:rPr>
                <w:rFonts w:ascii="Times New Roman" w:hAnsi="Times New Roman" w:eastAsia="宋体"/>
                <w:b w:val="0"/>
                <w:i w:val="0"/>
                <w:sz w:val="19"/>
              </w:rPr>
              <w:t>采购结算单详情</w:t>
            </w:r>
          </w:p>
        </w:tc>
        <w:tc>
          <w:tcPr>
            <w:tcW w:type="dxa" w:w="1531"/>
          </w:tcPr>
          <w:p>
            <w:pPr>
              <w:spacing w:before="20" w:after="20" w:line="276" w:lineRule="auto"/>
              <w:ind w:firstLine="0"/>
            </w:pPr>
            <w:r/>
            <w:r>
              <w:rPr>
                <w:rFonts w:ascii="Times New Roman" w:hAnsi="Times New Roman" w:eastAsia="宋体"/>
                <w:b w:val="0"/>
                <w:i w:val="0"/>
                <w:sz w:val="19"/>
              </w:rPr>
              <w:t>settlement-purchase-detail.html</w:t>
            </w:r>
          </w:p>
        </w:tc>
        <w:tc>
          <w:tcPr>
            <w:tcW w:type="dxa" w:w="1119"/>
          </w:tcPr>
          <w:p>
            <w:pPr>
              <w:spacing w:before="20" w:after="20" w:line="276" w:lineRule="auto"/>
              <w:ind w:firstLine="0"/>
            </w:pPr>
            <w:r/>
            <w:r>
              <w:rPr>
                <w:rFonts w:ascii="Times New Roman" w:hAnsi="Times New Roman" w:eastAsia="宋体"/>
                <w:b w:val="0"/>
                <w:i w:val="0"/>
                <w:sz w:val="19"/>
              </w:rPr>
              <w:t>采购结算列表行内「详情」</w:t>
            </w:r>
          </w:p>
        </w:tc>
        <w:tc>
          <w:tcPr>
            <w:tcW w:type="dxa" w:w="2062"/>
          </w:tcPr>
          <w:p>
            <w:pPr>
              <w:spacing w:before="20" w:after="20" w:line="276" w:lineRule="auto"/>
              <w:ind w:firstLine="0"/>
            </w:pPr>
            <w:r/>
            <w:r>
              <w:rPr>
                <w:rFonts w:ascii="Times New Roman" w:hAnsi="Times New Roman" w:eastAsia="宋体"/>
                <w:b w:val="0"/>
                <w:i w:val="0"/>
                <w:sz w:val="19"/>
              </w:rPr>
              <w:t>结算基本信息 / 费用明细 / 审批记录 / 关联付款与发票</w:t>
            </w:r>
          </w:p>
        </w:tc>
        <w:tc>
          <w:tcPr>
            <w:tcW w:type="dxa" w:w="1767"/>
          </w:tcPr>
          <w:p>
            <w:pPr>
              <w:spacing w:before="20" w:after="20" w:line="276" w:lineRule="auto"/>
              <w:ind w:firstLine="0"/>
            </w:pPr>
            <w:r/>
            <w:r>
              <w:rPr>
                <w:rFonts w:ascii="Times New Roman" w:hAnsi="Times New Roman" w:eastAsia="宋体"/>
                <w:b w:val="0"/>
                <w:i w:val="0"/>
                <w:sz w:val="19"/>
              </w:rPr>
              <w:t>撤回申请 / 审批通过 / 驳回审批</w:t>
            </w:r>
          </w:p>
        </w:tc>
        <w:tc>
          <w:tcPr>
            <w:tcW w:type="dxa" w:w="1414"/>
          </w:tcPr>
          <w:p>
            <w:pPr>
              <w:spacing w:before="20" w:after="20" w:line="276" w:lineRule="auto"/>
              <w:ind w:firstLine="0"/>
            </w:pPr>
            <w:r/>
            <w:r>
              <w:rPr>
                <w:rFonts w:ascii="Times New Roman" w:hAnsi="Times New Roman" w:eastAsia="宋体"/>
                <w:b w:val="0"/>
                <w:i w:val="0"/>
                <w:sz w:val="19"/>
              </w:rPr>
              <w:t>可跳转到关联合同、付款单与发票单据</w:t>
            </w:r>
          </w:p>
        </w:tc>
      </w:tr>
      <w:tr>
        <w:tc>
          <w:tcPr>
            <w:tcW w:type="dxa" w:w="1178"/>
          </w:tcPr>
          <w:p>
            <w:pPr>
              <w:spacing w:before="20" w:after="20" w:line="276" w:lineRule="auto"/>
              <w:ind w:firstLine="0"/>
            </w:pPr>
            <w:r/>
            <w:r>
              <w:rPr>
                <w:rFonts w:ascii="Times New Roman" w:hAnsi="Times New Roman" w:eastAsia="宋体"/>
                <w:b w:val="0"/>
                <w:i w:val="0"/>
                <w:sz w:val="19"/>
              </w:rPr>
              <w:t>销售结算（列表）</w:t>
            </w:r>
          </w:p>
        </w:tc>
        <w:tc>
          <w:tcPr>
            <w:tcW w:type="dxa" w:w="1531"/>
          </w:tcPr>
          <w:p>
            <w:pPr>
              <w:spacing w:before="20" w:after="20" w:line="276" w:lineRule="auto"/>
              <w:ind w:firstLine="0"/>
            </w:pPr>
            <w:r/>
            <w:r>
              <w:rPr>
                <w:rFonts w:ascii="Times New Roman" w:hAnsi="Times New Roman" w:eastAsia="宋体"/>
                <w:b w:val="0"/>
                <w:i w:val="0"/>
                <w:sz w:val="19"/>
              </w:rPr>
              <w:t>settlement-sales.html</w:t>
            </w:r>
          </w:p>
        </w:tc>
        <w:tc>
          <w:tcPr>
            <w:tcW w:type="dxa" w:w="1119"/>
          </w:tcPr>
          <w:p>
            <w:pPr>
              <w:spacing w:before="20" w:after="20" w:line="276" w:lineRule="auto"/>
              <w:ind w:firstLine="0"/>
            </w:pPr>
            <w:r/>
            <w:r>
              <w:rPr>
                <w:rFonts w:ascii="Times New Roman" w:hAnsi="Times New Roman" w:eastAsia="宋体"/>
                <w:b w:val="0"/>
                <w:i w:val="0"/>
                <w:sz w:val="19"/>
              </w:rPr>
              <w:t>数字供应链 / 结算单管理 / 销售结算</w:t>
            </w:r>
          </w:p>
        </w:tc>
        <w:tc>
          <w:tcPr>
            <w:tcW w:type="dxa" w:w="2062"/>
          </w:tcPr>
          <w:p>
            <w:pPr>
              <w:spacing w:before="20" w:after="20" w:line="276" w:lineRule="auto"/>
              <w:ind w:firstLine="0"/>
            </w:pPr>
            <w:r/>
            <w:r>
              <w:rPr>
                <w:rFonts w:ascii="Times New Roman" w:hAnsi="Times New Roman" w:eastAsia="宋体"/>
                <w:b w:val="0"/>
                <w:i w:val="0"/>
                <w:sz w:val="19"/>
              </w:rPr>
              <w:t>状态页签（全部、审批中、待上传已生效单据、已生效、驳回、已作废）+ 筛选查询区 + 9 列结算单表格（结算单编号、买方企业、结算金额、结算数量、结算单价、结算日期、销售订单或单批次合同编号、结算单状态、操作）</w:t>
            </w:r>
          </w:p>
        </w:tc>
        <w:tc>
          <w:tcPr>
            <w:tcW w:type="dxa" w:w="1767"/>
          </w:tcPr>
          <w:p>
            <w:pPr>
              <w:spacing w:before="20" w:after="20" w:line="276" w:lineRule="auto"/>
              <w:ind w:firstLine="0"/>
            </w:pPr>
            <w:r/>
            <w:r>
              <w:rPr>
                <w:rFonts w:ascii="Times New Roman" w:hAnsi="Times New Roman" w:eastAsia="宋体"/>
                <w:b w:val="0"/>
                <w:i w:val="0"/>
                <w:sz w:val="19"/>
              </w:rPr>
              <w:t>查询 / 重置 / 清除全部筛选 / 行内按状态显隐详情、修改、上传附件、作废</w:t>
            </w:r>
          </w:p>
        </w:tc>
        <w:tc>
          <w:tcPr>
            <w:tcW w:type="dxa" w:w="1414"/>
          </w:tcPr>
          <w:p>
            <w:pPr>
              <w:spacing w:before="20" w:after="20" w:line="276" w:lineRule="auto"/>
              <w:ind w:firstLine="0"/>
            </w:pPr>
            <w:r/>
            <w:r>
              <w:rPr>
                <w:rFonts w:ascii="Times New Roman" w:hAnsi="Times New Roman" w:eastAsia="宋体"/>
                <w:b w:val="0"/>
                <w:i w:val="0"/>
                <w:sz w:val="19"/>
              </w:rPr>
              <w:t>点击行任意位置跳转到销售结算单详情页 settlement-sales-detail.html</w:t>
            </w:r>
          </w:p>
        </w:tc>
      </w:tr>
      <w:tr>
        <w:tc>
          <w:tcPr>
            <w:tcW w:type="dxa" w:w="1178"/>
          </w:tcPr>
          <w:p>
            <w:pPr>
              <w:spacing w:before="20" w:after="20" w:line="276" w:lineRule="auto"/>
              <w:ind w:firstLine="0"/>
            </w:pPr>
            <w:r/>
            <w:r>
              <w:rPr>
                <w:rFonts w:ascii="Times New Roman" w:hAnsi="Times New Roman" w:eastAsia="宋体"/>
                <w:b w:val="0"/>
                <w:i w:val="0"/>
                <w:sz w:val="19"/>
              </w:rPr>
              <w:t>销售结算 · 新增/编辑</w:t>
            </w:r>
          </w:p>
        </w:tc>
        <w:tc>
          <w:tcPr>
            <w:tcW w:type="dxa" w:w="1531"/>
          </w:tcPr>
          <w:p>
            <w:pPr>
              <w:spacing w:before="20" w:after="20" w:line="276" w:lineRule="auto"/>
              <w:ind w:firstLine="0"/>
            </w:pPr>
            <w:r/>
            <w:r>
              <w:rPr>
                <w:rFonts w:ascii="Times New Roman" w:hAnsi="Times New Roman" w:eastAsia="宋体"/>
                <w:b w:val="0"/>
                <w:i w:val="0"/>
                <w:sz w:val="19"/>
              </w:rPr>
              <w:t>settlement-sales-new.html</w:t>
            </w:r>
          </w:p>
        </w:tc>
        <w:tc>
          <w:tcPr>
            <w:tcW w:type="dxa" w:w="1119"/>
          </w:tcPr>
          <w:p>
            <w:pPr>
              <w:spacing w:before="20" w:after="20" w:line="276" w:lineRule="auto"/>
              <w:ind w:firstLine="0"/>
            </w:pPr>
            <w:r/>
            <w:r>
              <w:rPr>
                <w:rFonts w:ascii="Times New Roman" w:hAnsi="Times New Roman" w:eastAsia="宋体"/>
                <w:b w:val="0"/>
                <w:i w:val="0"/>
                <w:sz w:val="19"/>
              </w:rPr>
              <w:t>销售结算列表右上「新增/编辑销售结算单」</w:t>
            </w:r>
          </w:p>
        </w:tc>
        <w:tc>
          <w:tcPr>
            <w:tcW w:type="dxa" w:w="2062"/>
          </w:tcPr>
          <w:p>
            <w:pPr>
              <w:spacing w:before="20" w:after="20" w:line="276" w:lineRule="auto"/>
              <w:ind w:firstLine="0"/>
            </w:pPr>
            <w:r/>
            <w:r>
              <w:rPr>
                <w:rFonts w:ascii="Times New Roman" w:hAnsi="Times New Roman" w:eastAsia="宋体"/>
                <w:b w:val="0"/>
                <w:i w:val="0"/>
                <w:sz w:val="19"/>
              </w:rPr>
              <w:t>5 大区块：销售订单或单批次合同信息（11 字段只读）/ 选择结算物（货转记录勾选）/ 结算单信息（结算单号、结算日期、供货周期、结算金额、本次结算数量、结算单价、签章状态、备注）/ 附件（待盖章、已生效、其他）/ 底部按钮</w:t>
            </w:r>
          </w:p>
        </w:tc>
        <w:tc>
          <w:tcPr>
            <w:tcW w:type="dxa" w:w="1767"/>
          </w:tcPr>
          <w:p>
            <w:pPr>
              <w:spacing w:before="20" w:after="20" w:line="276" w:lineRule="auto"/>
              <w:ind w:firstLine="0"/>
            </w:pPr>
            <w:r/>
            <w:r>
              <w:rPr>
                <w:rFonts w:ascii="Times New Roman" w:hAnsi="Times New Roman" w:eastAsia="宋体"/>
                <w:b w:val="0"/>
                <w:i w:val="0"/>
                <w:sz w:val="19"/>
              </w:rPr>
              <w:t>选择合同 / 上传 / 提交 / 取消 / 查询 / 确定 / 重置</w:t>
            </w:r>
          </w:p>
        </w:tc>
        <w:tc>
          <w:tcPr>
            <w:tcW w:type="dxa" w:w="1414"/>
          </w:tcPr>
          <w:p>
            <w:pPr>
              <w:spacing w:before="20" w:after="20" w:line="276" w:lineRule="auto"/>
              <w:ind w:firstLine="0"/>
            </w:pPr>
            <w:r/>
            <w:r>
              <w:rPr>
                <w:rFonts w:ascii="Times New Roman" w:hAnsi="Times New Roman" w:eastAsia="宋体"/>
                <w:b w:val="0"/>
                <w:i w:val="0"/>
                <w:sz w:val="19"/>
              </w:rPr>
              <w:t>提交成功后回到销售结算列表；驳回状态下进入时提交回到审批链</w:t>
            </w:r>
          </w:p>
        </w:tc>
      </w:tr>
      <w:tr>
        <w:tc>
          <w:tcPr>
            <w:tcW w:type="dxa" w:w="1178"/>
          </w:tcPr>
          <w:p>
            <w:pPr>
              <w:spacing w:before="20" w:after="20" w:line="276" w:lineRule="auto"/>
              <w:ind w:firstLine="0"/>
            </w:pPr>
            <w:r/>
            <w:r>
              <w:rPr>
                <w:rFonts w:ascii="Times New Roman" w:hAnsi="Times New Roman" w:eastAsia="宋体"/>
                <w:b w:val="0"/>
                <w:i w:val="0"/>
                <w:sz w:val="19"/>
              </w:rPr>
              <w:t>销售结算单详情</w:t>
            </w:r>
          </w:p>
        </w:tc>
        <w:tc>
          <w:tcPr>
            <w:tcW w:type="dxa" w:w="1531"/>
          </w:tcPr>
          <w:p>
            <w:pPr>
              <w:spacing w:before="20" w:after="20" w:line="276" w:lineRule="auto"/>
              <w:ind w:firstLine="0"/>
            </w:pPr>
            <w:r/>
            <w:r>
              <w:rPr>
                <w:rFonts w:ascii="Times New Roman" w:hAnsi="Times New Roman" w:eastAsia="宋体"/>
                <w:b w:val="0"/>
                <w:i w:val="0"/>
                <w:sz w:val="19"/>
              </w:rPr>
              <w:t>settlement-sales-detail.html</w:t>
            </w:r>
          </w:p>
        </w:tc>
        <w:tc>
          <w:tcPr>
            <w:tcW w:type="dxa" w:w="1119"/>
          </w:tcPr>
          <w:p>
            <w:pPr>
              <w:spacing w:before="20" w:after="20" w:line="276" w:lineRule="auto"/>
              <w:ind w:firstLine="0"/>
            </w:pPr>
            <w:r/>
            <w:r>
              <w:rPr>
                <w:rFonts w:ascii="Times New Roman" w:hAnsi="Times New Roman" w:eastAsia="宋体"/>
                <w:b w:val="0"/>
                <w:i w:val="0"/>
                <w:sz w:val="19"/>
              </w:rPr>
              <w:t>销售结算列表行内「详情」</w:t>
            </w:r>
          </w:p>
        </w:tc>
        <w:tc>
          <w:tcPr>
            <w:tcW w:type="dxa" w:w="2062"/>
          </w:tcPr>
          <w:p>
            <w:pPr>
              <w:spacing w:before="20" w:after="20" w:line="276" w:lineRule="auto"/>
              <w:ind w:firstLine="0"/>
            </w:pPr>
            <w:r/>
            <w:r>
              <w:rPr>
                <w:rFonts w:ascii="Times New Roman" w:hAnsi="Times New Roman" w:eastAsia="宋体"/>
                <w:b w:val="0"/>
                <w:i w:val="0"/>
                <w:sz w:val="19"/>
              </w:rPr>
              <w:t>顶部信息条 + 2 个页签（结算信息、操作记录）+ 7 行操作记录</w:t>
            </w:r>
          </w:p>
        </w:tc>
        <w:tc>
          <w:tcPr>
            <w:tcW w:type="dxa" w:w="1767"/>
          </w:tcPr>
          <w:p>
            <w:pPr>
              <w:spacing w:before="20" w:after="20" w:line="276" w:lineRule="auto"/>
              <w:ind w:firstLine="0"/>
            </w:pPr>
            <w:r/>
            <w:r>
              <w:rPr>
                <w:rFonts w:ascii="Times New Roman" w:hAnsi="Times New Roman" w:eastAsia="宋体"/>
                <w:b w:val="0"/>
                <w:i w:val="0"/>
                <w:sz w:val="19"/>
              </w:rPr>
              <w:t>撤回申请 / 审批通过 / 驳回审批</w:t>
            </w:r>
          </w:p>
        </w:tc>
        <w:tc>
          <w:tcPr>
            <w:tcW w:type="dxa" w:w="1414"/>
          </w:tcPr>
          <w:p>
            <w:pPr>
              <w:spacing w:before="20" w:after="20" w:line="276" w:lineRule="auto"/>
              <w:ind w:firstLine="0"/>
            </w:pPr>
            <w:r/>
            <w:r>
              <w:rPr>
                <w:rFonts w:ascii="Times New Roman" w:hAnsi="Times New Roman" w:eastAsia="宋体"/>
                <w:b w:val="0"/>
                <w:i w:val="0"/>
                <w:sz w:val="19"/>
              </w:rPr>
              <w:t>可跳转到关联合同与货转详情</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4.15.8　验收标准与待确认项</w:t>
      </w:r>
    </w:p>
    <w:tbl>
      <w:tblPr>
        <w:tblStyle w:val="TableGrid"/>
        <w:tblW w:type="auto" w:w="0"/>
        <w:jc w:val="center"/>
        <w:tblLayout w:type="fixed"/>
        <w:tblLook w:firstColumn="1" w:firstRow="1" w:lastColumn="0" w:lastRow="0" w:noHBand="0" w:noVBand="1" w:val="04A0"/>
      </w:tblPr>
      <w:tblGrid>
        <w:gridCol w:w="4479"/>
        <w:gridCol w:w="4479"/>
      </w:tblGrid>
      <w:tr>
        <w:trPr>
          <w:tblHeader w:val="true"/>
        </w:trPr>
        <w:tc>
          <w:tcPr>
            <w:tcW w:type="dxa" w:w="1701"/>
            <w:shd w:val="clear" w:color="auto" w:fill="DCE6F1"/>
          </w:tcPr>
          <w:p>
            <w:pPr>
              <w:spacing w:before="40" w:after="40" w:line="276" w:lineRule="auto"/>
              <w:jc w:val="center"/>
            </w:pPr>
            <w:r/>
            <w:r>
              <w:rPr>
                <w:rFonts w:ascii="Times New Roman" w:hAnsi="Times New Roman" w:eastAsia="黑体"/>
                <w:b/>
                <w:i w:val="0"/>
                <w:sz w:val="21"/>
              </w:rPr>
              <w:t>功能</w:t>
            </w:r>
          </w:p>
        </w:tc>
        <w:tc>
          <w:tcPr>
            <w:tcW w:type="dxa" w:w="7370"/>
            <w:shd w:val="clear" w:color="auto" w:fill="DCE6F1"/>
          </w:tcPr>
          <w:p>
            <w:pPr>
              <w:spacing w:before="40" w:after="40" w:line="276" w:lineRule="auto"/>
              <w:jc w:val="center"/>
            </w:pPr>
            <w:r/>
            <w:r>
              <w:rPr>
                <w:rFonts w:ascii="Times New Roman" w:hAnsi="Times New Roman" w:eastAsia="黑体"/>
                <w:b/>
                <w:i w:val="0"/>
                <w:sz w:val="21"/>
              </w:rPr>
              <w:t>验收要点（由关键规则转写）</w:t>
            </w:r>
          </w:p>
        </w:tc>
      </w:tr>
      <w:tr>
        <w:tc>
          <w:tcPr>
            <w:tcW w:type="dxa" w:w="1701"/>
          </w:tcPr>
          <w:p>
            <w:pPr>
              <w:spacing w:before="20" w:after="20" w:line="276" w:lineRule="auto"/>
              <w:ind w:firstLine="0"/>
            </w:pPr>
            <w:r/>
            <w:r>
              <w:rPr>
                <w:rFonts w:ascii="Times New Roman" w:hAnsi="Times New Roman" w:eastAsia="宋体"/>
                <w:b w:val="0"/>
                <w:i w:val="0"/>
                <w:sz w:val="21"/>
              </w:rPr>
              <w:t>采购结算单创建与自动核算</w:t>
            </w:r>
          </w:p>
        </w:tc>
        <w:tc>
          <w:tcPr>
            <w:tcW w:type="dxa" w:w="7370"/>
          </w:tcPr>
          <w:p>
            <w:pPr>
              <w:spacing w:before="20" w:after="20" w:line="276" w:lineRule="auto"/>
              <w:ind w:firstLine="0"/>
            </w:pPr>
            <w:r/>
            <w:r>
              <w:rPr>
                <w:rFonts w:ascii="Times New Roman" w:hAnsi="Times New Roman" w:eastAsia="宋体"/>
                <w:b w:val="0"/>
                <w:i w:val="0"/>
                <w:sz w:val="21"/>
              </w:rPr>
              <w:t>关联合同为必填；结算类型为预结算、正式结算、多批次结算；系统自动计算货款并按比例分摊仓储、装卸、运费，业务员可调整金额并填写备注；结算金额不得小于 0，否则提示「结算金额不能 &lt; 0」；结算金额不得超过合同剩余金额，否则提示「结算金额 X 超过合同剩余金额 Y」</w:t>
            </w:r>
          </w:p>
        </w:tc>
      </w:tr>
      <w:tr>
        <w:tc>
          <w:tcPr>
            <w:tcW w:type="dxa" w:w="1701"/>
          </w:tcPr>
          <w:p>
            <w:pPr>
              <w:spacing w:before="20" w:after="20" w:line="276" w:lineRule="auto"/>
              <w:ind w:firstLine="0"/>
            </w:pPr>
            <w:r/>
            <w:r>
              <w:rPr>
                <w:rFonts w:ascii="Times New Roman" w:hAnsi="Times New Roman" w:eastAsia="宋体"/>
                <w:b w:val="0"/>
                <w:i w:val="0"/>
                <w:sz w:val="21"/>
              </w:rPr>
              <w:t>销售结算单登记</w:t>
            </w:r>
          </w:p>
        </w:tc>
        <w:tc>
          <w:tcPr>
            <w:tcW w:type="dxa" w:w="7370"/>
          </w:tcPr>
          <w:p>
            <w:pPr>
              <w:spacing w:before="20" w:after="20" w:line="276" w:lineRule="auto"/>
              <w:ind w:firstLine="0"/>
            </w:pPr>
            <w:r/>
            <w:r>
              <w:rPr>
                <w:rFonts w:ascii="Times New Roman" w:hAnsi="Times New Roman" w:eastAsia="宋体"/>
                <w:b w:val="0"/>
                <w:i w:val="0"/>
                <w:sz w:val="21"/>
              </w:rPr>
              <w:t>结算单号手工输入且不超过 100 字；结算日期为必填，未选择时提示「结算日期必填」；供货周期为日期范围且不能大于当前日期，否则提示「供货周期不能大于当前日期」；备注不超过 200 字；本次结算数量等于所选货转数量加和且不可修改；结算单价按数量与金额自动计算且不可修改</w:t>
            </w:r>
          </w:p>
        </w:tc>
      </w:tr>
      <w:tr>
        <w:tc>
          <w:tcPr>
            <w:tcW w:type="dxa" w:w="1701"/>
          </w:tcPr>
          <w:p>
            <w:pPr>
              <w:spacing w:before="20" w:after="20" w:line="276" w:lineRule="auto"/>
              <w:ind w:firstLine="0"/>
            </w:pPr>
            <w:r/>
            <w:r>
              <w:rPr>
                <w:rFonts w:ascii="Times New Roman" w:hAnsi="Times New Roman" w:eastAsia="宋体"/>
                <w:b w:val="0"/>
                <w:i w:val="0"/>
                <w:sz w:val="21"/>
              </w:rPr>
              <w:t>签章状态与审批路径</w:t>
            </w:r>
          </w:p>
        </w:tc>
        <w:tc>
          <w:tcPr>
            <w:tcW w:type="dxa" w:w="7370"/>
          </w:tcPr>
          <w:p>
            <w:pPr>
              <w:spacing w:before="20" w:after="20" w:line="276" w:lineRule="auto"/>
              <w:ind w:firstLine="0"/>
            </w:pPr>
            <w:r/>
            <w:r>
              <w:rPr>
                <w:rFonts w:ascii="Times New Roman" w:hAnsi="Times New Roman" w:eastAsia="宋体"/>
                <w:b w:val="0"/>
                <w:i w:val="0"/>
                <w:sz w:val="21"/>
              </w:rPr>
              <w:t>签章状态为必填单选，选项为待盖章与已双签；签章状态为待盖章时触发内部串行审批流程，签章状态为已双签时跳过审批流程，提交后直接生效；签章状态未选时提示「请先选择签章状态」</w:t>
            </w:r>
          </w:p>
        </w:tc>
      </w:tr>
      <w:tr>
        <w:tc>
          <w:tcPr>
            <w:tcW w:type="dxa" w:w="1701"/>
          </w:tcPr>
          <w:p>
            <w:pPr>
              <w:spacing w:before="20" w:after="20" w:line="276" w:lineRule="auto"/>
              <w:ind w:firstLine="0"/>
            </w:pPr>
            <w:r/>
            <w:r>
              <w:rPr>
                <w:rFonts w:ascii="Times New Roman" w:hAnsi="Times New Roman" w:eastAsia="宋体"/>
                <w:b w:val="0"/>
                <w:i w:val="0"/>
                <w:sz w:val="21"/>
              </w:rPr>
              <w:t>结算物关联</w:t>
            </w:r>
          </w:p>
        </w:tc>
        <w:tc>
          <w:tcPr>
            <w:tcW w:type="dxa" w:w="7370"/>
          </w:tcPr>
          <w:p>
            <w:pPr>
              <w:spacing w:before="20" w:after="20" w:line="276" w:lineRule="auto"/>
              <w:ind w:firstLine="0"/>
            </w:pPr>
            <w:r/>
            <w:r>
              <w:rPr>
                <w:rFonts w:ascii="Times New Roman" w:hAnsi="Times New Roman" w:eastAsia="宋体"/>
                <w:b w:val="0"/>
                <w:i w:val="0"/>
                <w:sz w:val="21"/>
              </w:rPr>
              <w:t>只展示已生效且未关联结算单的货转单据，5 列展示为货转编号、货转数量、货转日期、收货人、状态；点击货转编号在新标签页打开货转详情；不符合关联条件的货转不进入可选范围</w:t>
            </w:r>
          </w:p>
        </w:tc>
      </w:tr>
      <w:tr>
        <w:tc>
          <w:tcPr>
            <w:tcW w:type="dxa" w:w="1701"/>
          </w:tcPr>
          <w:p>
            <w:pPr>
              <w:spacing w:before="20" w:after="20" w:line="276" w:lineRule="auto"/>
              <w:ind w:firstLine="0"/>
            </w:pPr>
            <w:r/>
            <w:r>
              <w:rPr>
                <w:rFonts w:ascii="Times New Roman" w:hAnsi="Times New Roman" w:eastAsia="宋体"/>
                <w:b w:val="0"/>
                <w:i w:val="0"/>
                <w:sz w:val="21"/>
              </w:rPr>
              <w:t>结算单附件管理</w:t>
            </w:r>
          </w:p>
        </w:tc>
        <w:tc>
          <w:tcPr>
            <w:tcW w:type="dxa" w:w="7370"/>
          </w:tcPr>
          <w:p>
            <w:pPr>
              <w:spacing w:before="20" w:after="20" w:line="276" w:lineRule="auto"/>
              <w:ind w:firstLine="0"/>
            </w:pPr>
            <w:r/>
            <w:r>
              <w:rPr>
                <w:rFonts w:ascii="Times New Roman" w:hAnsi="Times New Roman" w:eastAsia="宋体"/>
                <w:b w:val="0"/>
                <w:i w:val="0"/>
                <w:sz w:val="21"/>
              </w:rPr>
              <w:t>单据类型分为待盖章附件、已生效附件与其他附件三类；签章状态为待盖章时待盖章附件必填，缺失提示「请上传待盖章附件」；签章状态为已双签时已生效附件必填，缺失提示「请上传已生效附件」；单个类型的附件最多上传 20 个；支持 png、jpeg、jpg、gif、pdf、doc、docx、xlsx、xls，单个附件不超过 100MB</w:t>
            </w:r>
          </w:p>
        </w:tc>
      </w:tr>
      <w:tr>
        <w:tc>
          <w:tcPr>
            <w:tcW w:type="dxa" w:w="1701"/>
          </w:tcPr>
          <w:p>
            <w:pPr>
              <w:spacing w:before="20" w:after="20" w:line="276" w:lineRule="auto"/>
              <w:ind w:firstLine="0"/>
            </w:pPr>
            <w:r/>
            <w:r>
              <w:rPr>
                <w:rFonts w:ascii="Times New Roman" w:hAnsi="Times New Roman" w:eastAsia="宋体"/>
                <w:b w:val="0"/>
                <w:i w:val="0"/>
                <w:sz w:val="21"/>
              </w:rPr>
              <w:t>结算单状态流转与作废</w:t>
            </w:r>
          </w:p>
        </w:tc>
        <w:tc>
          <w:tcPr>
            <w:tcW w:type="dxa" w:w="7370"/>
          </w:tcPr>
          <w:p>
            <w:pPr>
              <w:spacing w:before="20" w:after="20" w:line="276" w:lineRule="auto"/>
              <w:ind w:firstLine="0"/>
            </w:pPr>
            <w:r/>
            <w:r>
              <w:rPr>
                <w:rFonts w:ascii="Times New Roman" w:hAnsi="Times New Roman" w:eastAsia="宋体"/>
                <w:b w:val="0"/>
                <w:i w:val="0"/>
                <w:sz w:val="21"/>
              </w:rPr>
              <w:t>销售结算状态为审批中、收回（审批驳回）、待上传已生效单据、待确认、量产投放、已生效、已作废，一期实现前五个状态的操作，列表 6 个页签为全部、审批中、待上传已生效单据、已生效、审批驳回、已作废；任一状态可点作废，作废原因必填，缺失提示「作废原因必填」，作废为终态；审批驳回后可修改并重新提交；采购结算为草稿、业务部审批、风控部审批、财务部审批、已生效、已驳回 6 状态，驳回分退回草稿可修改与终止为已驳回两个出口</w:t>
            </w:r>
          </w:p>
        </w:tc>
      </w:tr>
      <w:tr>
        <w:tc>
          <w:tcPr>
            <w:tcW w:type="dxa" w:w="1701"/>
          </w:tcPr>
          <w:p>
            <w:pPr>
              <w:spacing w:before="20" w:after="20" w:line="276" w:lineRule="auto"/>
              <w:ind w:firstLine="0"/>
            </w:pPr>
            <w:r/>
            <w:r>
              <w:rPr>
                <w:rFonts w:ascii="Times New Roman" w:hAnsi="Times New Roman" w:eastAsia="宋体"/>
                <w:b w:val="0"/>
                <w:i w:val="0"/>
                <w:sz w:val="21"/>
              </w:rPr>
              <w:t>结算下游联动</w:t>
            </w:r>
          </w:p>
        </w:tc>
        <w:tc>
          <w:tcPr>
            <w:tcW w:type="dxa" w:w="7370"/>
          </w:tcPr>
          <w:p>
            <w:pPr>
              <w:spacing w:before="20" w:after="20" w:line="276" w:lineRule="auto"/>
              <w:ind w:firstLine="0"/>
            </w:pPr>
            <w:r/>
            <w:r>
              <w:rPr>
                <w:rFonts w:ascii="Times New Roman" w:hAnsi="Times New Roman" w:eastAsia="宋体"/>
                <w:b w:val="0"/>
                <w:i w:val="0"/>
                <w:sz w:val="21"/>
              </w:rPr>
              <w:t>结算单生效后触发付款申请与发票登记，并更新业务线结算进度与合同已结算金额；回款认领完成后该合同下游结算金额按认领金额扣减，归零时触发已结清</w:t>
            </w:r>
          </w:p>
        </w:tc>
      </w:tr>
      <w:tr>
        <w:tc>
          <w:tcPr>
            <w:tcW w:type="dxa" w:w="1701"/>
          </w:tcPr>
          <w:p>
            <w:pPr>
              <w:spacing w:before="20" w:after="20" w:line="276" w:lineRule="auto"/>
              <w:ind w:firstLine="0"/>
            </w:pPr>
            <w:r/>
            <w:r>
              <w:rPr>
                <w:rFonts w:ascii="Times New Roman" w:hAnsi="Times New Roman" w:eastAsia="宋体"/>
                <w:b w:val="0"/>
                <w:i w:val="0"/>
                <w:sz w:val="21"/>
              </w:rPr>
              <w:t>结算列表查询与导出</w:t>
            </w:r>
          </w:p>
        </w:tc>
        <w:tc>
          <w:tcPr>
            <w:tcW w:type="dxa" w:w="7370"/>
          </w:tcPr>
          <w:p>
            <w:pPr>
              <w:spacing w:before="20" w:after="20" w:line="276" w:lineRule="auto"/>
              <w:ind w:firstLine="0"/>
            </w:pPr>
            <w:r/>
            <w:r>
              <w:rPr>
                <w:rFonts w:ascii="Times New Roman" w:hAnsi="Times New Roman" w:eastAsia="宋体"/>
                <w:b w:val="0"/>
                <w:i w:val="0"/>
                <w:sz w:val="21"/>
              </w:rPr>
              <w:t>销售结算列表 9 列：结算单编号、买方企业、结算金额、结算数量、结算单价、结算日期、销售订单或单批次合同编号、结算单状态、操作；单价相同的展示一个值，单价不同时以顿号隔开展示；点击行任意位置（操作区除外）跳详情页；页码固定在页面底部；导出文件名为「销售结算单_导出日期.xlsx」</w:t>
            </w:r>
          </w:p>
        </w:tc>
      </w:tr>
    </w:tbl>
    <w:p>
      <w:pPr>
        <w:spacing w:before="0" w:after="0" w:line="240" w:lineRule="auto"/>
      </w:pPr>
    </w:p>
    <w:p>
      <w:pPr>
        <w:spacing w:before="120" w:after="60" w:line="360" w:lineRule="auto"/>
      </w:pPr>
      <w:r>
        <w:rPr>
          <w:rFonts w:ascii="Times New Roman" w:hAnsi="Times New Roman" w:eastAsia="宋体"/>
          <w:b/>
          <w:i w:val="0"/>
          <w:sz w:val="24"/>
        </w:rPr>
        <w:t>待业务方确认：</w:t>
      </w:r>
    </w:p>
    <w:p>
      <w:pPr>
        <w:spacing w:before="0" w:after="60" w:line="336" w:lineRule="auto"/>
        <w:ind w:left="340" w:firstLine="0"/>
      </w:pPr>
      <w:r>
        <w:rPr>
          <w:rFonts w:ascii="Times New Roman" w:hAnsi="Times New Roman" w:eastAsia="宋体"/>
          <w:b w:val="0"/>
          <w:i w:val="0"/>
          <w:sz w:val="24"/>
        </w:rPr>
        <w:t>· 待业务方确认：审批体系口径——源文档 v1.0 为业务、风控、财务三级内部审批，v1.7.99.82 为推送外部系统单级审核，用户手册则为内部串行审批且已双签跳过审批；审批级数与是否推送外部系统需统一。</w:t>
      </w:r>
    </w:p>
    <w:p>
      <w:pPr>
        <w:spacing w:before="0" w:after="60" w:line="336" w:lineRule="auto"/>
        <w:ind w:left="340" w:firstLine="0"/>
      </w:pPr>
      <w:r>
        <w:rPr>
          <w:rFonts w:ascii="Times New Roman" w:hAnsi="Times New Roman" w:eastAsia="宋体"/>
          <w:b w:val="0"/>
          <w:i w:val="0"/>
          <w:sz w:val="24"/>
        </w:rPr>
        <w:t>· 待业务方确认：结算单状态机——销售结算存在 7 状态与另一套含待发起、待盖章、已双签的 7 状态两套并列口径，采购结算的 6 状态与页面 5 页签也不一致。</w:t>
      </w:r>
    </w:p>
    <w:p>
      <w:pPr>
        <w:spacing w:before="0" w:after="60" w:line="336" w:lineRule="auto"/>
        <w:ind w:left="340" w:firstLine="0"/>
      </w:pPr>
      <w:r>
        <w:rPr>
          <w:rFonts w:ascii="Times New Roman" w:hAnsi="Times New Roman" w:eastAsia="宋体"/>
          <w:b w:val="0"/>
          <w:i w:val="0"/>
          <w:sz w:val="24"/>
        </w:rPr>
        <w:t>· 待业务方确认：是否保留「关联订单」与「结算阶段」字段——用户手册六步流程中没有这两项。</w:t>
      </w:r>
    </w:p>
    <w:p>
      <w:pPr>
        <w:spacing w:before="0" w:after="60" w:line="336" w:lineRule="auto"/>
        <w:ind w:left="340" w:firstLine="0"/>
      </w:pPr>
      <w:r>
        <w:rPr>
          <w:rFonts w:ascii="Times New Roman" w:hAnsi="Times New Roman" w:eastAsia="宋体"/>
          <w:b w:val="0"/>
          <w:i w:val="0"/>
          <w:sz w:val="24"/>
        </w:rPr>
        <w:t>· 待业务方确认：「合同剩余金额」在合同侧的取数字段。</w:t>
      </w:r>
    </w:p>
    <w:p>
      <w:pPr>
        <w:spacing w:before="0" w:after="60" w:line="336" w:lineRule="auto"/>
        <w:ind w:left="340" w:firstLine="0"/>
      </w:pPr>
      <w:r>
        <w:rPr>
          <w:rFonts w:ascii="Times New Roman" w:hAnsi="Times New Roman" w:eastAsia="宋体"/>
          <w:b w:val="0"/>
          <w:i w:val="0"/>
          <w:sz w:val="24"/>
        </w:rPr>
        <w:t>· 待业务方确认：采购结算列表的完整列定义、列宽、筛选与排序规则。</w:t>
      </w:r>
    </w:p>
    <w:p>
      <w:pPr>
        <w:spacing w:before="0" w:after="60" w:line="336" w:lineRule="auto"/>
        <w:ind w:left="340" w:firstLine="0"/>
      </w:pPr>
      <w:r>
        <w:rPr>
          <w:rFonts w:ascii="Times New Roman" w:hAnsi="Times New Roman" w:eastAsia="宋体"/>
          <w:b w:val="0"/>
          <w:i w:val="0"/>
          <w:sz w:val="24"/>
        </w:rPr>
        <w:t>· 待业务方确认：合同「已结算金额」字段名，以及业务线结算进度联动是否仍然保留。</w:t>
      </w:r>
    </w:p>
    <w:p>
      <w:pPr>
        <w:spacing w:before="0" w:after="60" w:line="336" w:lineRule="auto"/>
        <w:ind w:left="340" w:firstLine="0"/>
      </w:pPr>
      <w:r>
        <w:rPr>
          <w:rFonts w:ascii="Times New Roman" w:hAnsi="Times New Roman" w:eastAsia="宋体"/>
          <w:b w:val="0"/>
          <w:i w:val="0"/>
          <w:sz w:val="24"/>
        </w:rPr>
        <w:t>· 待业务方确认：销售结算列表第 3 至 7 列取值说明中「取消前结算单」的表述与状态机中无取消状态的口径冲突。</w:t>
      </w:r>
    </w:p>
    <w:p>
      <w:r>
        <w:br w:type="page"/>
      </w:r>
    </w:p>
    <w:p>
      <w:pPr>
        <w:pStyle w:val="Heading2"/>
        <w:keepNext/>
        <w:spacing w:before="240" w:after="120" w:line="312" w:lineRule="auto"/>
        <w:ind w:firstLine="0"/>
      </w:pPr>
      <w:r>
        <w:rPr>
          <w:rFonts w:ascii="Times New Roman" w:hAnsi="Times New Roman" w:eastAsia="黑体"/>
          <w:b/>
          <w:i w:val="0"/>
          <w:sz w:val="28"/>
        </w:rPr>
        <w:t>4.16　发票管理</w:t>
      </w:r>
    </w:p>
    <w:p>
      <w:pPr>
        <w:spacing w:before="0" w:after="160" w:line="360" w:lineRule="auto"/>
      </w:pPr>
      <w:r>
        <w:rPr>
          <w:rFonts w:ascii="Times New Roman" w:hAnsi="Times New Roman" w:eastAsia="宋体"/>
          <w:b w:val="0"/>
          <w:i w:val="0"/>
          <w:color w:val="595959"/>
          <w:sz w:val="21"/>
        </w:rPr>
        <w:t>菜单路径：数字供应链 / 发票管理</w:t>
      </w:r>
    </w:p>
    <w:p>
      <w:pPr>
        <w:pStyle w:val="Heading3"/>
        <w:keepNext/>
        <w:spacing w:before="160" w:after="80" w:line="312" w:lineRule="auto"/>
        <w:ind w:firstLine="0"/>
      </w:pPr>
      <w:r>
        <w:rPr>
          <w:rFonts w:ascii="Times New Roman" w:hAnsi="Times New Roman" w:eastAsia="黑体"/>
          <w:b/>
          <w:i w:val="0"/>
          <w:sz w:val="24"/>
        </w:rPr>
        <w:t>4.16.1　一页结论</w:t>
      </w:r>
    </w:p>
    <w:p>
      <w:pPr>
        <w:spacing w:before="0" w:after="120" w:line="360" w:lineRule="auto"/>
      </w:pPr>
      <w:r>
        <w:rPr>
          <w:rFonts w:ascii="Times New Roman" w:hAnsi="Times New Roman" w:eastAsia="宋体"/>
          <w:b w:val="0"/>
          <w:i w:val="0"/>
          <w:sz w:val="24"/>
        </w:rPr>
        <w:t>发票统一纳管：图片或 Excel 两条录入通道、OCR 识别与税务验真、关联合同并拆分金额，形成可红冲可作废的票据台账。</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928"/>
            <w:shd w:val="clear" w:color="auto" w:fill="DCE6F1"/>
          </w:tcPr>
          <w:p>
            <w:pPr>
              <w:spacing w:before="40" w:after="40" w:line="276" w:lineRule="auto"/>
              <w:jc w:val="center"/>
            </w:pPr>
            <w:r/>
            <w:r>
              <w:rPr>
                <w:rFonts w:ascii="Times New Roman" w:hAnsi="Times New Roman" w:eastAsia="黑体"/>
                <w:b/>
                <w:i w:val="0"/>
                <w:sz w:val="21"/>
              </w:rPr>
              <w:t>问题</w:t>
            </w:r>
          </w:p>
        </w:tc>
        <w:tc>
          <w:tcPr>
            <w:tcW w:type="dxa" w:w="3572"/>
            <w:shd w:val="clear" w:color="auto" w:fill="DCE6F1"/>
          </w:tcPr>
          <w:p>
            <w:pPr>
              <w:spacing w:before="40" w:after="40" w:line="276" w:lineRule="auto"/>
              <w:jc w:val="center"/>
            </w:pPr>
            <w:r/>
            <w:r>
              <w:rPr>
                <w:rFonts w:ascii="Times New Roman" w:hAnsi="Times New Roman" w:eastAsia="黑体"/>
                <w:b/>
                <w:i w:val="0"/>
                <w:sz w:val="21"/>
              </w:rPr>
              <w:t>当前做法</w:t>
            </w:r>
          </w:p>
        </w:tc>
        <w:tc>
          <w:tcPr>
            <w:tcW w:type="dxa" w:w="3572"/>
            <w:shd w:val="clear" w:color="auto" w:fill="DCE6F1"/>
          </w:tcPr>
          <w:p>
            <w:pPr>
              <w:spacing w:before="40" w:after="40" w:line="276" w:lineRule="auto"/>
              <w:jc w:val="center"/>
            </w:pPr>
            <w:r/>
            <w:r>
              <w:rPr>
                <w:rFonts w:ascii="Times New Roman" w:hAnsi="Times New Roman" w:eastAsia="黑体"/>
                <w:b/>
                <w:i w:val="0"/>
                <w:sz w:val="21"/>
              </w:rPr>
              <w:t>本模块解法</w:t>
            </w:r>
          </w:p>
        </w:tc>
      </w:tr>
      <w:tr>
        <w:tc>
          <w:tcPr>
            <w:tcW w:type="dxa" w:w="1928"/>
          </w:tcPr>
          <w:p>
            <w:pPr>
              <w:spacing w:before="20" w:after="20" w:line="276" w:lineRule="auto"/>
              <w:ind w:firstLine="0"/>
            </w:pPr>
            <w:r/>
            <w:r>
              <w:rPr>
                <w:rFonts w:ascii="Times New Roman" w:hAnsi="Times New Roman" w:eastAsia="宋体"/>
                <w:b w:val="0"/>
                <w:i w:val="0"/>
                <w:sz w:val="21"/>
              </w:rPr>
              <w:t>发票录入靠人工逐字抄录，效率低且易错</w:t>
            </w:r>
          </w:p>
        </w:tc>
        <w:tc>
          <w:tcPr>
            <w:tcW w:type="dxa" w:w="3572"/>
          </w:tcPr>
          <w:p>
            <w:pPr>
              <w:spacing w:before="20" w:after="20" w:line="276" w:lineRule="auto"/>
              <w:ind w:firstLine="0"/>
            </w:pPr>
            <w:r/>
            <w:r>
              <w:rPr>
                <w:rFonts w:ascii="Times New Roman" w:hAnsi="Times New Roman" w:eastAsia="宋体"/>
                <w:b w:val="0"/>
                <w:i w:val="0"/>
                <w:sz w:val="21"/>
              </w:rPr>
              <w:t>业务员打开票据一个字段一个字段填，号码与金额常抄错</w:t>
            </w:r>
          </w:p>
        </w:tc>
        <w:tc>
          <w:tcPr>
            <w:tcW w:type="dxa" w:w="3572"/>
          </w:tcPr>
          <w:p>
            <w:pPr>
              <w:spacing w:before="20" w:after="20" w:line="276" w:lineRule="auto"/>
              <w:ind w:firstLine="0"/>
            </w:pPr>
            <w:r/>
            <w:r>
              <w:rPr>
                <w:rFonts w:ascii="Times New Roman" w:hAnsi="Times New Roman" w:eastAsia="宋体"/>
                <w:b w:val="0"/>
                <w:i w:val="0"/>
                <w:sz w:val="21"/>
              </w:rPr>
              <w:t>图片上传后由 OCR 自动识别关键字段并填充表单，业务员只做确认与微调</w:t>
            </w:r>
          </w:p>
        </w:tc>
      </w:tr>
      <w:tr>
        <w:tc>
          <w:tcPr>
            <w:tcW w:type="dxa" w:w="1928"/>
          </w:tcPr>
          <w:p>
            <w:pPr>
              <w:spacing w:before="20" w:after="20" w:line="276" w:lineRule="auto"/>
              <w:ind w:firstLine="0"/>
            </w:pPr>
            <w:r/>
            <w:r>
              <w:rPr>
                <w:rFonts w:ascii="Times New Roman" w:hAnsi="Times New Roman" w:eastAsia="宋体"/>
                <w:b w:val="0"/>
                <w:i w:val="0"/>
                <w:sz w:val="21"/>
              </w:rPr>
              <w:t>发票真伪无法在录入环节验证</w:t>
            </w:r>
          </w:p>
        </w:tc>
        <w:tc>
          <w:tcPr>
            <w:tcW w:type="dxa" w:w="3572"/>
          </w:tcPr>
          <w:p>
            <w:pPr>
              <w:spacing w:before="20" w:after="20" w:line="276" w:lineRule="auto"/>
              <w:ind w:firstLine="0"/>
            </w:pPr>
            <w:r/>
            <w:r>
              <w:rPr>
                <w:rFonts w:ascii="Times New Roman" w:hAnsi="Times New Roman" w:eastAsia="宋体"/>
                <w:b w:val="0"/>
                <w:i w:val="0"/>
                <w:sz w:val="21"/>
              </w:rPr>
              <w:t>假票、错票要等到报销或付款环节才被发现</w:t>
            </w:r>
          </w:p>
        </w:tc>
        <w:tc>
          <w:tcPr>
            <w:tcW w:type="dxa" w:w="3572"/>
          </w:tcPr>
          <w:p>
            <w:pPr>
              <w:spacing w:before="20" w:after="20" w:line="276" w:lineRule="auto"/>
              <w:ind w:firstLine="0"/>
            </w:pPr>
            <w:r/>
            <w:r>
              <w:rPr>
                <w:rFonts w:ascii="Times New Roman" w:hAnsi="Times New Roman" w:eastAsia="宋体"/>
                <w:b w:val="0"/>
                <w:i w:val="0"/>
                <w:sz w:val="21"/>
              </w:rPr>
              <w:t>录入后调用税务验真接口，验真失败即阻止入账，接口失败允许重试</w:t>
            </w:r>
          </w:p>
        </w:tc>
      </w:tr>
      <w:tr>
        <w:tc>
          <w:tcPr>
            <w:tcW w:type="dxa" w:w="1928"/>
          </w:tcPr>
          <w:p>
            <w:pPr>
              <w:spacing w:before="20" w:after="20" w:line="276" w:lineRule="auto"/>
              <w:ind w:firstLine="0"/>
            </w:pPr>
            <w:r/>
            <w:r>
              <w:rPr>
                <w:rFonts w:ascii="Times New Roman" w:hAnsi="Times New Roman" w:eastAsia="宋体"/>
                <w:b w:val="0"/>
                <w:i w:val="0"/>
                <w:sz w:val="21"/>
              </w:rPr>
              <w:t>一张发票对应多个合同时的金额分摊靠人工</w:t>
            </w:r>
          </w:p>
        </w:tc>
        <w:tc>
          <w:tcPr>
            <w:tcW w:type="dxa" w:w="3572"/>
          </w:tcPr>
          <w:p>
            <w:pPr>
              <w:spacing w:before="20" w:after="20" w:line="276" w:lineRule="auto"/>
              <w:ind w:firstLine="0"/>
            </w:pPr>
            <w:r/>
            <w:r>
              <w:rPr>
                <w:rFonts w:ascii="Times New Roman" w:hAnsi="Times New Roman" w:eastAsia="宋体"/>
                <w:b w:val="0"/>
                <w:i w:val="0"/>
                <w:sz w:val="21"/>
              </w:rPr>
              <w:t>手工拆分各合同金额，容易出现合计与票面金额不符</w:t>
            </w:r>
          </w:p>
        </w:tc>
        <w:tc>
          <w:tcPr>
            <w:tcW w:type="dxa" w:w="3572"/>
          </w:tcPr>
          <w:p>
            <w:pPr>
              <w:spacing w:before="20" w:after="20" w:line="276" w:lineRule="auto"/>
              <w:ind w:firstLine="0"/>
            </w:pPr>
            <w:r/>
            <w:r>
              <w:rPr>
                <w:rFonts w:ascii="Times New Roman" w:hAnsi="Times New Roman" w:eastAsia="宋体"/>
                <w:b w:val="0"/>
                <w:i w:val="0"/>
                <w:sz w:val="21"/>
              </w:rPr>
              <w:t>发票至少关联一个合同，各合同拆分金额之和必须等于含税金额，不符时显示差额并阻止保存</w:t>
            </w:r>
          </w:p>
        </w:tc>
      </w:tr>
      <w:tr>
        <w:tc>
          <w:tcPr>
            <w:tcW w:type="dxa" w:w="1928"/>
          </w:tcPr>
          <w:p>
            <w:pPr>
              <w:spacing w:before="20" w:after="20" w:line="276" w:lineRule="auto"/>
              <w:ind w:firstLine="0"/>
            </w:pPr>
            <w:r/>
            <w:r>
              <w:rPr>
                <w:rFonts w:ascii="Times New Roman" w:hAnsi="Times New Roman" w:eastAsia="宋体"/>
                <w:b w:val="0"/>
                <w:i w:val="0"/>
                <w:sz w:val="21"/>
              </w:rPr>
              <w:t>进项与销项混在同一套流程里，权限与操作都一样</w:t>
            </w:r>
          </w:p>
        </w:tc>
        <w:tc>
          <w:tcPr>
            <w:tcW w:type="dxa" w:w="3572"/>
          </w:tcPr>
          <w:p>
            <w:pPr>
              <w:spacing w:before="20" w:after="20" w:line="276" w:lineRule="auto"/>
              <w:ind w:firstLine="0"/>
            </w:pPr>
            <w:r/>
            <w:r>
              <w:rPr>
                <w:rFonts w:ascii="Times New Roman" w:hAnsi="Times New Roman" w:eastAsia="宋体"/>
                <w:b w:val="0"/>
                <w:i w:val="0"/>
                <w:sz w:val="21"/>
              </w:rPr>
              <w:t>供应商开的票和公司开的票用同一套登记与编辑逻辑，责任边界不清</w:t>
            </w:r>
          </w:p>
        </w:tc>
        <w:tc>
          <w:tcPr>
            <w:tcW w:type="dxa" w:w="3572"/>
          </w:tcPr>
          <w:p>
            <w:pPr>
              <w:spacing w:before="20" w:after="20" w:line="276" w:lineRule="auto"/>
              <w:ind w:firstLine="0"/>
            </w:pPr>
            <w:r/>
            <w:r>
              <w:rPr>
                <w:rFonts w:ascii="Times New Roman" w:hAnsi="Times New Roman" w:eastAsia="宋体"/>
                <w:b w:val="0"/>
                <w:i w:val="0"/>
                <w:sz w:val="21"/>
              </w:rPr>
              <w:t>进销项分离：进项详情只读、由上传入口重新发起；销项详情支持重新上传、关联合同与拆分金额编辑</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4.16.2　背景与目标</w:t>
      </w:r>
    </w:p>
    <w:tbl>
      <w:tblPr>
        <w:tblStyle w:val="TableGrid"/>
        <w:tblW w:type="auto" w:w="0"/>
        <w:jc w:val="center"/>
        <w:tblLayout w:type="fixed"/>
        <w:tblLook w:firstColumn="1" w:firstRow="1" w:lastColumn="0" w:lastRow="0" w:noHBand="0" w:noVBand="1" w:val="04A0"/>
      </w:tblPr>
      <w:tblGrid>
        <w:gridCol w:w="8958"/>
      </w:tblGrid>
      <w:tr>
        <w:trPr>
          <w:tblHeader w:val="true"/>
        </w:trPr>
        <w:tc>
          <w:tcPr>
            <w:tcW w:type="dxa" w:w="9071"/>
            <w:shd w:val="clear" w:color="auto" w:fill="DCE6F1"/>
          </w:tcPr>
          <w:p>
            <w:pPr>
              <w:spacing w:before="40" w:after="40" w:line="276" w:lineRule="auto"/>
              <w:jc w:val="center"/>
            </w:pPr>
            <w:r/>
            <w:r>
              <w:rPr>
                <w:rFonts w:ascii="Times New Roman" w:hAnsi="Times New Roman" w:eastAsia="黑体"/>
                <w:b/>
                <w:i w:val="0"/>
                <w:sz w:val="21"/>
              </w:rPr>
              <w:t>目标 / 衡量口径</w:t>
            </w:r>
          </w:p>
        </w:tc>
      </w:tr>
      <w:tr>
        <w:tc>
          <w:tcPr>
            <w:tcW w:type="dxa" w:w="9071"/>
          </w:tcPr>
          <w:p>
            <w:pPr>
              <w:spacing w:before="20" w:after="20" w:line="276" w:lineRule="auto"/>
              <w:ind w:firstLine="0"/>
            </w:pPr>
            <w:r/>
            <w:r>
              <w:rPr>
                <w:rFonts w:ascii="Times New Roman" w:hAnsi="Times New Roman" w:eastAsia="宋体"/>
                <w:b w:val="0"/>
                <w:i w:val="0"/>
                <w:sz w:val="21"/>
              </w:rPr>
              <w:t>发票录入的两种通道（图片上传、Excel 导入）字段口径统一，录入结果可校验、可追溯</w:t>
            </w:r>
          </w:p>
        </w:tc>
      </w:tr>
      <w:tr>
        <w:tc>
          <w:tcPr>
            <w:tcW w:type="dxa" w:w="9071"/>
          </w:tcPr>
          <w:p>
            <w:pPr>
              <w:spacing w:before="20" w:after="20" w:line="276" w:lineRule="auto"/>
              <w:ind w:firstLine="0"/>
            </w:pPr>
            <w:r/>
            <w:r>
              <w:rPr>
                <w:rFonts w:ascii="Times New Roman" w:hAnsi="Times New Roman" w:eastAsia="宋体"/>
                <w:b w:val="0"/>
                <w:i w:val="0"/>
                <w:sz w:val="21"/>
              </w:rPr>
              <w:t>OCR 识别与税务验真覆盖核心字段，验真不通过的发票不允许进入入账环节</w:t>
            </w:r>
          </w:p>
        </w:tc>
      </w:tr>
      <w:tr>
        <w:tc>
          <w:tcPr>
            <w:tcW w:type="dxa" w:w="9071"/>
          </w:tcPr>
          <w:p>
            <w:pPr>
              <w:spacing w:before="20" w:after="20" w:line="276" w:lineRule="auto"/>
              <w:ind w:firstLine="0"/>
            </w:pPr>
            <w:r/>
            <w:r>
              <w:rPr>
                <w:rFonts w:ascii="Times New Roman" w:hAnsi="Times New Roman" w:eastAsia="宋体"/>
                <w:b w:val="0"/>
                <w:i w:val="0"/>
                <w:sz w:val="21"/>
              </w:rPr>
              <w:t>发票与合同的金额拆分具备硬约束，保证拆分金额之和与票面含税金额一致</w:t>
            </w:r>
          </w:p>
        </w:tc>
      </w:tr>
      <w:tr>
        <w:tc>
          <w:tcPr>
            <w:tcW w:type="dxa" w:w="9071"/>
          </w:tcPr>
          <w:p>
            <w:pPr>
              <w:spacing w:before="20" w:after="20" w:line="276" w:lineRule="auto"/>
              <w:ind w:firstLine="0"/>
            </w:pPr>
            <w:r/>
            <w:r>
              <w:rPr>
                <w:rFonts w:ascii="Times New Roman" w:hAnsi="Times New Roman" w:eastAsia="宋体"/>
                <w:b w:val="0"/>
                <w:i w:val="0"/>
                <w:sz w:val="21"/>
              </w:rPr>
              <w:t>红冲、作废、删除三类终态的操作前置条件明确，异常票据有据可查（票据操作量以系统运行报表为准）</w:t>
            </w:r>
          </w:p>
        </w:tc>
      </w:tr>
    </w:tbl>
    <w:p>
      <w:pPr>
        <w:spacing w:before="0" w:after="0" w:line="240" w:lineRule="auto"/>
      </w:pPr>
    </w:p>
    <w:p>
      <w:pPr>
        <w:spacing w:before="80" w:after="120" w:line="360" w:lineRule="auto"/>
      </w:pPr>
      <w:r>
        <w:rPr>
          <w:rFonts w:ascii="Times New Roman" w:hAnsi="Times New Roman" w:eastAsia="宋体"/>
          <w:b w:val="0"/>
          <w:i w:val="0"/>
          <w:color w:val="595959"/>
          <w:sz w:val="21"/>
        </w:rPr>
        <w:t>说明：文中口径以业务方已确认结论为准；未确认项集中列于本章末与第 5 章。</w:t>
      </w:r>
    </w:p>
    <w:p>
      <w:pPr>
        <w:pStyle w:val="Heading3"/>
        <w:keepNext/>
        <w:spacing w:before="160" w:after="80" w:line="312" w:lineRule="auto"/>
        <w:ind w:firstLine="0"/>
      </w:pPr>
      <w:r>
        <w:rPr>
          <w:rFonts w:ascii="Times New Roman" w:hAnsi="Times New Roman" w:eastAsia="黑体"/>
          <w:b/>
          <w:i w:val="0"/>
          <w:sz w:val="24"/>
        </w:rPr>
        <w:t>4.16.3　角色与用户需求</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361"/>
            <w:shd w:val="clear" w:color="auto" w:fill="DCE6F1"/>
          </w:tcPr>
          <w:p>
            <w:pPr>
              <w:spacing w:before="40" w:after="40" w:line="276" w:lineRule="auto"/>
              <w:jc w:val="center"/>
            </w:pPr>
            <w:r/>
            <w:r>
              <w:rPr>
                <w:rFonts w:ascii="Times New Roman" w:hAnsi="Times New Roman" w:eastAsia="黑体"/>
                <w:b/>
                <w:i w:val="0"/>
                <w:sz w:val="21"/>
              </w:rPr>
              <w:t>角色</w:t>
            </w:r>
          </w:p>
        </w:tc>
        <w:tc>
          <w:tcPr>
            <w:tcW w:type="dxa" w:w="1247"/>
            <w:shd w:val="clear" w:color="auto" w:fill="DCE6F1"/>
          </w:tcPr>
          <w:p>
            <w:pPr>
              <w:spacing w:before="40" w:after="40" w:line="276" w:lineRule="auto"/>
              <w:jc w:val="center"/>
            </w:pPr>
            <w:r/>
            <w:r>
              <w:rPr>
                <w:rFonts w:ascii="Times New Roman" w:hAnsi="Times New Roman" w:eastAsia="黑体"/>
                <w:b/>
                <w:i w:val="0"/>
                <w:sz w:val="21"/>
              </w:rPr>
              <w:t>所属部门</w:t>
            </w:r>
          </w:p>
        </w:tc>
        <w:tc>
          <w:tcPr>
            <w:tcW w:type="dxa" w:w="6463"/>
            <w:shd w:val="clear" w:color="auto" w:fill="DCE6F1"/>
          </w:tcPr>
          <w:p>
            <w:pPr>
              <w:spacing w:before="40" w:after="40" w:line="276" w:lineRule="auto"/>
              <w:jc w:val="center"/>
            </w:pPr>
            <w:r/>
            <w:r>
              <w:rPr>
                <w:rFonts w:ascii="Times New Roman" w:hAnsi="Times New Roman" w:eastAsia="黑体"/>
                <w:b/>
                <w:i w:val="0"/>
                <w:sz w:val="21"/>
              </w:rPr>
              <w:t>用户需求（我要…以便…）</w:t>
            </w:r>
          </w:p>
        </w:tc>
      </w:tr>
      <w:tr>
        <w:tc>
          <w:tcPr>
            <w:tcW w:type="dxa" w:w="1361"/>
          </w:tcPr>
          <w:p>
            <w:pPr>
              <w:spacing w:before="20" w:after="20" w:line="276" w:lineRule="auto"/>
              <w:ind w:firstLine="0"/>
            </w:pPr>
            <w:r/>
            <w:r>
              <w:rPr>
                <w:rFonts w:ascii="Times New Roman" w:hAnsi="Times New Roman" w:eastAsia="宋体"/>
                <w:b w:val="0"/>
                <w:i w:val="0"/>
                <w:sz w:val="21"/>
              </w:rPr>
              <w:t>业务员</w:t>
            </w:r>
          </w:p>
        </w:tc>
        <w:tc>
          <w:tcPr>
            <w:tcW w:type="dxa" w:w="1247"/>
          </w:tcPr>
          <w:p>
            <w:pPr>
              <w:spacing w:before="20" w:after="20" w:line="276" w:lineRule="auto"/>
              <w:ind w:firstLine="0"/>
            </w:pPr>
            <w:r/>
            <w:r>
              <w:rPr>
                <w:rFonts w:ascii="Times New Roman" w:hAnsi="Times New Roman" w:eastAsia="宋体"/>
                <w:b w:val="0"/>
                <w:i w:val="0"/>
                <w:sz w:val="21"/>
              </w:rPr>
              <w:t>业务部</w:t>
            </w:r>
          </w:p>
        </w:tc>
        <w:tc>
          <w:tcPr>
            <w:tcW w:type="dxa" w:w="6463"/>
          </w:tcPr>
          <w:p>
            <w:pPr>
              <w:spacing w:before="20" w:after="20" w:line="276" w:lineRule="auto"/>
              <w:ind w:firstLine="0"/>
            </w:pPr>
            <w:r/>
            <w:r>
              <w:rPr>
                <w:rFonts w:ascii="Times New Roman" w:hAnsi="Times New Roman" w:eastAsia="宋体"/>
                <w:b w:val="0"/>
                <w:i w:val="0"/>
                <w:sz w:val="21"/>
              </w:rPr>
              <w:t>我要上传或导入发票并核对 OCR 识别字段，以便发票信息准确入账</w:t>
            </w:r>
          </w:p>
        </w:tc>
      </w:tr>
      <w:tr>
        <w:tc>
          <w:tcPr>
            <w:tcW w:type="dxa" w:w="1361"/>
          </w:tcPr>
          <w:p>
            <w:pPr>
              <w:spacing w:before="20" w:after="20" w:line="276" w:lineRule="auto"/>
              <w:ind w:firstLine="0"/>
            </w:pPr>
            <w:r/>
            <w:r>
              <w:rPr>
                <w:rFonts w:ascii="Times New Roman" w:hAnsi="Times New Roman" w:eastAsia="宋体"/>
                <w:b w:val="0"/>
                <w:i w:val="0"/>
                <w:sz w:val="21"/>
              </w:rPr>
              <w:t>财务员</w:t>
            </w:r>
          </w:p>
        </w:tc>
        <w:tc>
          <w:tcPr>
            <w:tcW w:type="dxa" w:w="1247"/>
          </w:tcPr>
          <w:p>
            <w:pPr>
              <w:spacing w:before="20" w:after="20" w:line="276" w:lineRule="auto"/>
              <w:ind w:firstLine="0"/>
            </w:pPr>
            <w:r/>
            <w:r>
              <w:rPr>
                <w:rFonts w:ascii="Times New Roman" w:hAnsi="Times New Roman" w:eastAsia="宋体"/>
                <w:b w:val="0"/>
                <w:i w:val="0"/>
                <w:sz w:val="21"/>
              </w:rPr>
              <w:t>财务部</w:t>
            </w:r>
          </w:p>
        </w:tc>
        <w:tc>
          <w:tcPr>
            <w:tcW w:type="dxa" w:w="6463"/>
          </w:tcPr>
          <w:p>
            <w:pPr>
              <w:spacing w:before="20" w:after="20" w:line="276" w:lineRule="auto"/>
              <w:ind w:firstLine="0"/>
            </w:pPr>
            <w:r/>
            <w:r>
              <w:rPr>
                <w:rFonts w:ascii="Times New Roman" w:hAnsi="Times New Roman" w:eastAsia="宋体"/>
                <w:b w:val="0"/>
                <w:i w:val="0"/>
                <w:sz w:val="21"/>
              </w:rPr>
              <w:t>我要完成发票验真与关联合同的金额拆分登记，以便发票与合同金额对应</w:t>
            </w:r>
          </w:p>
        </w:tc>
      </w:tr>
      <w:tr>
        <w:tc>
          <w:tcPr>
            <w:tcW w:type="dxa" w:w="1361"/>
          </w:tcPr>
          <w:p>
            <w:pPr>
              <w:spacing w:before="20" w:after="20" w:line="276" w:lineRule="auto"/>
              <w:ind w:firstLine="0"/>
            </w:pPr>
            <w:r/>
            <w:r>
              <w:rPr>
                <w:rFonts w:ascii="Times New Roman" w:hAnsi="Times New Roman" w:eastAsia="宋体"/>
                <w:b w:val="0"/>
                <w:i w:val="0"/>
                <w:sz w:val="21"/>
              </w:rPr>
              <w:t>销项开票经办人</w:t>
            </w:r>
          </w:p>
        </w:tc>
        <w:tc>
          <w:tcPr>
            <w:tcW w:type="dxa" w:w="1247"/>
          </w:tcPr>
          <w:p>
            <w:pPr>
              <w:spacing w:before="20" w:after="20" w:line="276" w:lineRule="auto"/>
              <w:ind w:firstLine="0"/>
            </w:pPr>
            <w:r/>
            <w:r>
              <w:rPr>
                <w:rFonts w:ascii="Times New Roman" w:hAnsi="Times New Roman" w:eastAsia="宋体"/>
                <w:b w:val="0"/>
                <w:i w:val="0"/>
                <w:sz w:val="21"/>
              </w:rPr>
              <w:t>业务部</w:t>
            </w:r>
          </w:p>
        </w:tc>
        <w:tc>
          <w:tcPr>
            <w:tcW w:type="dxa" w:w="6463"/>
          </w:tcPr>
          <w:p>
            <w:pPr>
              <w:spacing w:before="20" w:after="20" w:line="276" w:lineRule="auto"/>
              <w:ind w:firstLine="0"/>
            </w:pPr>
            <w:r/>
            <w:r>
              <w:rPr>
                <w:rFonts w:ascii="Times New Roman" w:hAnsi="Times New Roman" w:eastAsia="宋体"/>
                <w:b w:val="0"/>
                <w:i w:val="0"/>
                <w:sz w:val="21"/>
              </w:rPr>
              <w:t>我要在销项详情页重新上传并编辑拆分金额，以便修正开票数据</w:t>
            </w:r>
          </w:p>
        </w:tc>
      </w:tr>
      <w:tr>
        <w:tc>
          <w:tcPr>
            <w:tcW w:type="dxa" w:w="1361"/>
          </w:tcPr>
          <w:p>
            <w:pPr>
              <w:spacing w:before="20" w:after="20" w:line="276" w:lineRule="auto"/>
              <w:ind w:firstLine="0"/>
            </w:pPr>
            <w:r/>
            <w:r>
              <w:rPr>
                <w:rFonts w:ascii="Times New Roman" w:hAnsi="Times New Roman" w:eastAsia="宋体"/>
                <w:b w:val="0"/>
                <w:i w:val="0"/>
                <w:sz w:val="21"/>
              </w:rPr>
              <w:t>风控部</w:t>
            </w:r>
          </w:p>
        </w:tc>
        <w:tc>
          <w:tcPr>
            <w:tcW w:type="dxa" w:w="1247"/>
          </w:tcPr>
          <w:p>
            <w:pPr>
              <w:spacing w:before="20" w:after="20" w:line="276" w:lineRule="auto"/>
              <w:ind w:firstLine="0"/>
            </w:pPr>
            <w:r/>
            <w:r>
              <w:rPr>
                <w:rFonts w:ascii="Times New Roman" w:hAnsi="Times New Roman" w:eastAsia="宋体"/>
                <w:b w:val="0"/>
                <w:i w:val="0"/>
                <w:sz w:val="21"/>
              </w:rPr>
              <w:t>风控部</w:t>
            </w:r>
          </w:p>
        </w:tc>
        <w:tc>
          <w:tcPr>
            <w:tcW w:type="dxa" w:w="6463"/>
          </w:tcPr>
          <w:p>
            <w:pPr>
              <w:spacing w:before="20" w:after="20" w:line="276" w:lineRule="auto"/>
              <w:ind w:firstLine="0"/>
            </w:pPr>
            <w:r/>
            <w:r>
              <w:rPr>
                <w:rFonts w:ascii="Times New Roman" w:hAnsi="Times New Roman" w:eastAsia="宋体"/>
                <w:b w:val="0"/>
                <w:i w:val="0"/>
                <w:sz w:val="21"/>
              </w:rPr>
              <w:t>我要查看红冲、作废与已删除票据的记录，以便识别异常票据</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4.16.4　功能结构与范围</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474"/>
            <w:shd w:val="clear" w:color="auto" w:fill="DCE6F1"/>
          </w:tcPr>
          <w:p>
            <w:pPr>
              <w:spacing w:before="40" w:after="40" w:line="276" w:lineRule="auto"/>
              <w:jc w:val="center"/>
            </w:pPr>
            <w:r/>
            <w:r>
              <w:rPr>
                <w:rFonts w:ascii="Times New Roman" w:hAnsi="Times New Roman" w:eastAsia="黑体"/>
                <w:b/>
                <w:i w:val="0"/>
                <w:sz w:val="21"/>
              </w:rPr>
              <w:t>功能</w:t>
            </w:r>
          </w:p>
        </w:tc>
        <w:tc>
          <w:tcPr>
            <w:tcW w:type="dxa" w:w="3175"/>
            <w:shd w:val="clear" w:color="auto" w:fill="DCE6F1"/>
          </w:tcPr>
          <w:p>
            <w:pPr>
              <w:spacing w:before="40" w:after="40" w:line="276" w:lineRule="auto"/>
              <w:jc w:val="center"/>
            </w:pPr>
            <w:r/>
            <w:r>
              <w:rPr>
                <w:rFonts w:ascii="Times New Roman" w:hAnsi="Times New Roman" w:eastAsia="黑体"/>
                <w:b/>
                <w:i w:val="0"/>
                <w:sz w:val="21"/>
              </w:rPr>
              <w:t>功能说明</w:t>
            </w:r>
          </w:p>
        </w:tc>
        <w:tc>
          <w:tcPr>
            <w:tcW w:type="dxa" w:w="4422"/>
            <w:shd w:val="clear" w:color="auto" w:fill="DCE6F1"/>
          </w:tcPr>
          <w:p>
            <w:pPr>
              <w:spacing w:before="40" w:after="40" w:line="276" w:lineRule="auto"/>
              <w:jc w:val="center"/>
            </w:pPr>
            <w:r/>
            <w:r>
              <w:rPr>
                <w:rFonts w:ascii="Times New Roman" w:hAnsi="Times New Roman" w:eastAsia="黑体"/>
                <w:b/>
                <w:i w:val="0"/>
                <w:sz w:val="21"/>
              </w:rPr>
              <w:t>关键规则</w:t>
            </w:r>
          </w:p>
        </w:tc>
      </w:tr>
      <w:tr>
        <w:tc>
          <w:tcPr>
            <w:tcW w:type="dxa" w:w="1474"/>
          </w:tcPr>
          <w:p>
            <w:pPr>
              <w:spacing w:before="20" w:after="20" w:line="276" w:lineRule="auto"/>
              <w:ind w:firstLine="0"/>
            </w:pPr>
            <w:r/>
            <w:r>
              <w:rPr>
                <w:rFonts w:ascii="Times New Roman" w:hAnsi="Times New Roman" w:eastAsia="宋体"/>
                <w:b w:val="0"/>
                <w:i w:val="0"/>
                <w:sz w:val="21"/>
              </w:rPr>
              <w:t>发票录入入口与通道选择</w:t>
            </w:r>
          </w:p>
        </w:tc>
        <w:tc>
          <w:tcPr>
            <w:tcW w:type="dxa" w:w="3175"/>
          </w:tcPr>
          <w:p>
            <w:pPr>
              <w:spacing w:before="20" w:after="20" w:line="276" w:lineRule="auto"/>
              <w:ind w:firstLine="0"/>
            </w:pPr>
            <w:r/>
            <w:r>
              <w:rPr>
                <w:rFonts w:ascii="Times New Roman" w:hAnsi="Times New Roman" w:eastAsia="宋体"/>
                <w:b w:val="0"/>
                <w:i w:val="0"/>
                <w:sz w:val="21"/>
              </w:rPr>
              <w:t>新增发票时先选择进项或销项，再选择图片上传或 Excel 导入</w:t>
            </w:r>
          </w:p>
        </w:tc>
        <w:tc>
          <w:tcPr>
            <w:tcW w:type="dxa" w:w="4422"/>
          </w:tcPr>
          <w:p>
            <w:pPr>
              <w:spacing w:before="20" w:after="20" w:line="276" w:lineRule="auto"/>
              <w:ind w:firstLine="0"/>
            </w:pPr>
            <w:r/>
            <w:r>
              <w:rPr>
                <w:rFonts w:ascii="Times New Roman" w:hAnsi="Times New Roman" w:eastAsia="宋体"/>
                <w:b w:val="0"/>
                <w:i w:val="0"/>
                <w:sz w:val="21"/>
              </w:rPr>
              <w:t>第一步必须先在进项与销项之间二选一；第二步在图片上传与 Excel 导入之间二选一；Excel 导入需先下载对应模板，模板的列顺序、示例行与校验规则尚无定义</w:t>
            </w:r>
          </w:p>
        </w:tc>
      </w:tr>
      <w:tr>
        <w:tc>
          <w:tcPr>
            <w:tcW w:type="dxa" w:w="1474"/>
          </w:tcPr>
          <w:p>
            <w:pPr>
              <w:spacing w:before="20" w:after="20" w:line="276" w:lineRule="auto"/>
              <w:ind w:firstLine="0"/>
            </w:pPr>
            <w:r/>
            <w:r>
              <w:rPr>
                <w:rFonts w:ascii="Times New Roman" w:hAnsi="Times New Roman" w:eastAsia="宋体"/>
                <w:b w:val="0"/>
                <w:i w:val="0"/>
                <w:sz w:val="21"/>
              </w:rPr>
              <w:t>图片上传与 OCR 识别</w:t>
            </w:r>
          </w:p>
        </w:tc>
        <w:tc>
          <w:tcPr>
            <w:tcW w:type="dxa" w:w="3175"/>
          </w:tcPr>
          <w:p>
            <w:pPr>
              <w:spacing w:before="20" w:after="20" w:line="276" w:lineRule="auto"/>
              <w:ind w:firstLine="0"/>
            </w:pPr>
            <w:r/>
            <w:r>
              <w:rPr>
                <w:rFonts w:ascii="Times New Roman" w:hAnsi="Times New Roman" w:eastAsia="宋体"/>
                <w:b w:val="0"/>
                <w:i w:val="0"/>
                <w:sz w:val="21"/>
              </w:rPr>
              <w:t>上传本地发票文件后由 OCR 自动识别关键字段并填充表单</w:t>
            </w:r>
          </w:p>
        </w:tc>
        <w:tc>
          <w:tcPr>
            <w:tcW w:type="dxa" w:w="4422"/>
          </w:tcPr>
          <w:p>
            <w:pPr>
              <w:spacing w:before="20" w:after="20" w:line="276" w:lineRule="auto"/>
              <w:ind w:firstLine="0"/>
            </w:pPr>
            <w:r/>
            <w:r>
              <w:rPr>
                <w:rFonts w:ascii="Times New Roman" w:hAnsi="Times New Roman" w:eastAsia="宋体"/>
                <w:b w:val="0"/>
                <w:i w:val="0"/>
                <w:sz w:val="21"/>
              </w:rPr>
              <w:t>OCR 识别 9 个字段：发票代码、发票号码、开票日期、销售方与购买方名称、不含税金额、税率、税额、含税金额、价税合计大写；识别失败时降级为手动录入，提示「OCR 识别失败，请手动填写」，详情页区块提示「OCR 识别失败，请手动补录」；业务员可逐项调整识别结果</w:t>
            </w:r>
          </w:p>
        </w:tc>
      </w:tr>
      <w:tr>
        <w:tc>
          <w:tcPr>
            <w:tcW w:type="dxa" w:w="1474"/>
          </w:tcPr>
          <w:p>
            <w:pPr>
              <w:spacing w:before="20" w:after="20" w:line="276" w:lineRule="auto"/>
              <w:ind w:firstLine="0"/>
            </w:pPr>
            <w:r/>
            <w:r>
              <w:rPr>
                <w:rFonts w:ascii="Times New Roman" w:hAnsi="Times New Roman" w:eastAsia="宋体"/>
                <w:b w:val="0"/>
                <w:i w:val="0"/>
                <w:sz w:val="21"/>
              </w:rPr>
              <w:t>Excel 导入</w:t>
            </w:r>
          </w:p>
        </w:tc>
        <w:tc>
          <w:tcPr>
            <w:tcW w:type="dxa" w:w="3175"/>
          </w:tcPr>
          <w:p>
            <w:pPr>
              <w:spacing w:before="20" w:after="20" w:line="276" w:lineRule="auto"/>
              <w:ind w:firstLine="0"/>
            </w:pPr>
            <w:r/>
            <w:r>
              <w:rPr>
                <w:rFonts w:ascii="Times New Roman" w:hAnsi="Times New Roman" w:eastAsia="宋体"/>
                <w:b w:val="0"/>
                <w:i w:val="0"/>
                <w:sz w:val="21"/>
              </w:rPr>
              <w:t>下载模板录入 7 个字段后批量导入发票</w:t>
            </w:r>
          </w:p>
        </w:tc>
        <w:tc>
          <w:tcPr>
            <w:tcW w:type="dxa" w:w="4422"/>
          </w:tcPr>
          <w:p>
            <w:pPr>
              <w:spacing w:before="20" w:after="20" w:line="276" w:lineRule="auto"/>
              <w:ind w:firstLine="0"/>
            </w:pPr>
            <w:r/>
            <w:r>
              <w:rPr>
                <w:rFonts w:ascii="Times New Roman" w:hAnsi="Times New Roman" w:eastAsia="宋体"/>
                <w:b w:val="0"/>
                <w:i w:val="0"/>
                <w:sz w:val="21"/>
              </w:rPr>
              <w:t>7 个录入字段为发票代码、发票号码、开票日期、发票金额、报税合计、发票拆分金额（含税）、合同编号；除发票拆分金额在存在多合同拆分时必填外，其余字段均为必填</w:t>
            </w:r>
          </w:p>
        </w:tc>
      </w:tr>
      <w:tr>
        <w:tc>
          <w:tcPr>
            <w:tcW w:type="dxa" w:w="1474"/>
          </w:tcPr>
          <w:p>
            <w:pPr>
              <w:spacing w:before="20" w:after="20" w:line="276" w:lineRule="auto"/>
              <w:ind w:firstLine="0"/>
            </w:pPr>
            <w:r/>
            <w:r>
              <w:rPr>
                <w:rFonts w:ascii="Times New Roman" w:hAnsi="Times New Roman" w:eastAsia="宋体"/>
                <w:b w:val="0"/>
                <w:i w:val="0"/>
                <w:sz w:val="21"/>
              </w:rPr>
              <w:t>税务验真</w:t>
            </w:r>
          </w:p>
        </w:tc>
        <w:tc>
          <w:tcPr>
            <w:tcW w:type="dxa" w:w="3175"/>
          </w:tcPr>
          <w:p>
            <w:pPr>
              <w:spacing w:before="20" w:after="20" w:line="276" w:lineRule="auto"/>
              <w:ind w:firstLine="0"/>
            </w:pPr>
            <w:r/>
            <w:r>
              <w:rPr>
                <w:rFonts w:ascii="Times New Roman" w:hAnsi="Times New Roman" w:eastAsia="宋体"/>
                <w:b w:val="0"/>
                <w:i w:val="0"/>
                <w:sz w:val="21"/>
              </w:rPr>
              <w:t>调用税务验真接口校验发票真伪</w:t>
            </w:r>
          </w:p>
        </w:tc>
        <w:tc>
          <w:tcPr>
            <w:tcW w:type="dxa" w:w="4422"/>
          </w:tcPr>
          <w:p>
            <w:pPr>
              <w:spacing w:before="20" w:after="20" w:line="276" w:lineRule="auto"/>
              <w:ind w:firstLine="0"/>
            </w:pPr>
            <w:r/>
            <w:r>
              <w:rPr>
                <w:rFonts w:ascii="Times New Roman" w:hAnsi="Times New Roman" w:eastAsia="宋体"/>
                <w:b w:val="0"/>
                <w:i w:val="0"/>
                <w:sz w:val="21"/>
              </w:rPr>
              <w:t>验真通过后发票进入正常态并可入账；验真失败提示「发票验真失败：XXX」并阻止入账；接口调用失败提示「验真 API 调用失败，请稍后重试」并允许重试</w:t>
            </w:r>
          </w:p>
        </w:tc>
      </w:tr>
      <w:tr>
        <w:tc>
          <w:tcPr>
            <w:tcW w:type="dxa" w:w="1474"/>
          </w:tcPr>
          <w:p>
            <w:pPr>
              <w:spacing w:before="20" w:after="20" w:line="276" w:lineRule="auto"/>
              <w:ind w:firstLine="0"/>
            </w:pPr>
            <w:r/>
            <w:r>
              <w:rPr>
                <w:rFonts w:ascii="Times New Roman" w:hAnsi="Times New Roman" w:eastAsia="宋体"/>
                <w:b w:val="0"/>
                <w:i w:val="0"/>
                <w:sz w:val="21"/>
              </w:rPr>
              <w:t>关联合同与金额拆分</w:t>
            </w:r>
          </w:p>
        </w:tc>
        <w:tc>
          <w:tcPr>
            <w:tcW w:type="dxa" w:w="3175"/>
          </w:tcPr>
          <w:p>
            <w:pPr>
              <w:spacing w:before="20" w:after="20" w:line="276" w:lineRule="auto"/>
              <w:ind w:firstLine="0"/>
            </w:pPr>
            <w:r/>
            <w:r>
              <w:rPr>
                <w:rFonts w:ascii="Times New Roman" w:hAnsi="Times New Roman" w:eastAsia="宋体"/>
                <w:b w:val="0"/>
                <w:i w:val="0"/>
                <w:sz w:val="21"/>
              </w:rPr>
              <w:t>将发票关联到合同并确认各合同的拆分金额</w:t>
            </w:r>
          </w:p>
        </w:tc>
        <w:tc>
          <w:tcPr>
            <w:tcW w:type="dxa" w:w="4422"/>
          </w:tcPr>
          <w:p>
            <w:pPr>
              <w:spacing w:before="20" w:after="20" w:line="276" w:lineRule="auto"/>
              <w:ind w:firstLine="0"/>
            </w:pPr>
            <w:r/>
            <w:r>
              <w:rPr>
                <w:rFonts w:ascii="Times New Roman" w:hAnsi="Times New Roman" w:eastAsia="宋体"/>
                <w:b w:val="0"/>
                <w:i w:val="0"/>
                <w:sz w:val="21"/>
              </w:rPr>
              <w:t>发票至少关联 1 个合同，删除最后一个关联合同被阻止，提示「发票必须至少关联一个合同」；各合同拆分金额（含税）之和必须等于含税金额，不相等时在区块顶部右侧显示红字「差额 ¥X.XX」并阻止保存；关联合同拆分金额变更后合同已开票金额同步增减，解除关联时反向扣减</w:t>
            </w:r>
          </w:p>
        </w:tc>
      </w:tr>
      <w:tr>
        <w:tc>
          <w:tcPr>
            <w:tcW w:type="dxa" w:w="1474"/>
          </w:tcPr>
          <w:p>
            <w:pPr>
              <w:spacing w:before="20" w:after="20" w:line="276" w:lineRule="auto"/>
              <w:ind w:firstLine="0"/>
            </w:pPr>
            <w:r/>
            <w:r>
              <w:rPr>
                <w:rFonts w:ascii="Times New Roman" w:hAnsi="Times New Roman" w:eastAsia="宋体"/>
                <w:b w:val="0"/>
                <w:i w:val="0"/>
                <w:sz w:val="21"/>
              </w:rPr>
              <w:t>发票状态与终态操作</w:t>
            </w:r>
          </w:p>
        </w:tc>
        <w:tc>
          <w:tcPr>
            <w:tcW w:type="dxa" w:w="3175"/>
          </w:tcPr>
          <w:p>
            <w:pPr>
              <w:spacing w:before="20" w:after="20" w:line="276" w:lineRule="auto"/>
              <w:ind w:firstLine="0"/>
            </w:pPr>
            <w:r/>
            <w:r>
              <w:rPr>
                <w:rFonts w:ascii="Times New Roman" w:hAnsi="Times New Roman" w:eastAsia="宋体"/>
                <w:b w:val="0"/>
                <w:i w:val="0"/>
                <w:sz w:val="21"/>
              </w:rPr>
              <w:t>在列表页对发票执行红冲、作废、删除</w:t>
            </w:r>
          </w:p>
        </w:tc>
        <w:tc>
          <w:tcPr>
            <w:tcW w:type="dxa" w:w="4422"/>
          </w:tcPr>
          <w:p>
            <w:pPr>
              <w:spacing w:before="20" w:after="20" w:line="276" w:lineRule="auto"/>
              <w:ind w:firstLine="0"/>
            </w:pPr>
            <w:r/>
            <w:r>
              <w:rPr>
                <w:rFonts w:ascii="Times New Roman" w:hAnsi="Times New Roman" w:eastAsia="宋体"/>
                <w:b w:val="0"/>
                <w:i w:val="0"/>
                <w:sz w:val="21"/>
              </w:rPr>
              <w:t>状态为正常、红冲、作废、已删除四态；红冲金额必须等于原金额，否则提示「红冲金额 X 不等于原金额 Y」并阻止；作废仅适用于未入账发票；删除仅限未关联发票，已关联合同提示「该发票已关联合同，无法删除（可走作废）」；已红冲、作废、已删除的发票再次操作被阻止，分别提示「该发票状态不支持红冲」「该发票已作废或已红冲」</w:t>
            </w:r>
          </w:p>
        </w:tc>
      </w:tr>
      <w:tr>
        <w:tc>
          <w:tcPr>
            <w:tcW w:type="dxa" w:w="1474"/>
          </w:tcPr>
          <w:p>
            <w:pPr>
              <w:spacing w:before="20" w:after="20" w:line="276" w:lineRule="auto"/>
              <w:ind w:firstLine="0"/>
            </w:pPr>
            <w:r/>
            <w:r>
              <w:rPr>
                <w:rFonts w:ascii="Times New Roman" w:hAnsi="Times New Roman" w:eastAsia="宋体"/>
                <w:b w:val="0"/>
                <w:i w:val="0"/>
                <w:sz w:val="21"/>
              </w:rPr>
              <w:t>进销项分离与编辑权限</w:t>
            </w:r>
          </w:p>
        </w:tc>
        <w:tc>
          <w:tcPr>
            <w:tcW w:type="dxa" w:w="3175"/>
          </w:tcPr>
          <w:p>
            <w:pPr>
              <w:spacing w:before="20" w:after="20" w:line="276" w:lineRule="auto"/>
              <w:ind w:firstLine="0"/>
            </w:pPr>
            <w:r/>
            <w:r>
              <w:rPr>
                <w:rFonts w:ascii="Times New Roman" w:hAnsi="Times New Roman" w:eastAsia="宋体"/>
                <w:b w:val="0"/>
                <w:i w:val="0"/>
                <w:sz w:val="21"/>
              </w:rPr>
              <w:t>按进项与销项区分详情页的编辑能力</w:t>
            </w:r>
          </w:p>
        </w:tc>
        <w:tc>
          <w:tcPr>
            <w:tcW w:type="dxa" w:w="4422"/>
          </w:tcPr>
          <w:p>
            <w:pPr>
              <w:spacing w:before="20" w:after="20" w:line="276" w:lineRule="auto"/>
              <w:ind w:firstLine="0"/>
            </w:pPr>
            <w:r/>
            <w:r>
              <w:rPr>
                <w:rFonts w:ascii="Times New Roman" w:hAnsi="Times New Roman" w:eastAsia="宋体"/>
                <w:b w:val="0"/>
                <w:i w:val="0"/>
                <w:sz w:val="21"/>
              </w:rPr>
              <w:t>进项发票详情只读，不提供业务变更按钮，需通过上传进项发票入口重新发起；销项发票详情支持重新上传、关联合同与拆分金额编辑；重新上传仅支持 jpg、jpeg、png、pdf，类型不符提示「仅支持 jpg/jpeg/png/pdf」</w:t>
            </w:r>
          </w:p>
        </w:tc>
      </w:tr>
      <w:tr>
        <w:tc>
          <w:tcPr>
            <w:tcW w:type="dxa" w:w="1474"/>
          </w:tcPr>
          <w:p>
            <w:pPr>
              <w:spacing w:before="20" w:after="20" w:line="276" w:lineRule="auto"/>
              <w:ind w:firstLine="0"/>
            </w:pPr>
            <w:r/>
            <w:r>
              <w:rPr>
                <w:rFonts w:ascii="Times New Roman" w:hAnsi="Times New Roman" w:eastAsia="宋体"/>
                <w:b w:val="0"/>
                <w:i w:val="0"/>
                <w:sz w:val="21"/>
              </w:rPr>
              <w:t>发票与付款、回款联动</w:t>
            </w:r>
          </w:p>
        </w:tc>
        <w:tc>
          <w:tcPr>
            <w:tcW w:type="dxa" w:w="3175"/>
          </w:tcPr>
          <w:p>
            <w:pPr>
              <w:spacing w:before="20" w:after="20" w:line="276" w:lineRule="auto"/>
              <w:ind w:firstLine="0"/>
            </w:pPr>
            <w:r/>
            <w:r>
              <w:rPr>
                <w:rFonts w:ascii="Times New Roman" w:hAnsi="Times New Roman" w:eastAsia="宋体"/>
                <w:b w:val="0"/>
                <w:i w:val="0"/>
                <w:sz w:val="21"/>
              </w:rPr>
              <w:t>付款与回款环节校验关联合同的已开票金额</w:t>
            </w:r>
          </w:p>
        </w:tc>
        <w:tc>
          <w:tcPr>
            <w:tcW w:type="dxa" w:w="4422"/>
          </w:tcPr>
          <w:p>
            <w:pPr>
              <w:spacing w:before="20" w:after="20" w:line="276" w:lineRule="auto"/>
              <w:ind w:firstLine="0"/>
            </w:pPr>
            <w:r/>
            <w:r>
              <w:rPr>
                <w:rFonts w:ascii="Times New Roman" w:hAnsi="Times New Roman" w:eastAsia="宋体"/>
                <w:b w:val="0"/>
                <w:i w:val="0"/>
                <w:sz w:val="21"/>
              </w:rPr>
              <w:t>销项发票关联的销售合同在回款认领时检查已开票金额是否足够；进项发票关联的采购合同在付款时检查已开票金额是否足够；不通过时的提示文案与拦截级别待业务方确认</w:t>
            </w:r>
          </w:p>
        </w:tc>
      </w:tr>
      <w:tr>
        <w:tc>
          <w:tcPr>
            <w:tcW w:type="dxa" w:w="1474"/>
          </w:tcPr>
          <w:p>
            <w:pPr>
              <w:spacing w:before="20" w:after="20" w:line="276" w:lineRule="auto"/>
              <w:ind w:firstLine="0"/>
            </w:pPr>
            <w:r/>
            <w:r>
              <w:rPr>
                <w:rFonts w:ascii="Times New Roman" w:hAnsi="Times New Roman" w:eastAsia="宋体"/>
                <w:b w:val="0"/>
                <w:i w:val="0"/>
                <w:sz w:val="21"/>
              </w:rPr>
              <w:t>发票列表查询与导出</w:t>
            </w:r>
          </w:p>
        </w:tc>
        <w:tc>
          <w:tcPr>
            <w:tcW w:type="dxa" w:w="3175"/>
          </w:tcPr>
          <w:p>
            <w:pPr>
              <w:spacing w:before="20" w:after="20" w:line="276" w:lineRule="auto"/>
              <w:ind w:firstLine="0"/>
            </w:pPr>
            <w:r/>
            <w:r>
              <w:rPr>
                <w:rFonts w:ascii="Times New Roman" w:hAnsi="Times New Roman" w:eastAsia="宋体"/>
                <w:b w:val="0"/>
                <w:i w:val="0"/>
                <w:sz w:val="21"/>
              </w:rPr>
              <w:t>按状态与多字段筛选发票并导出台账</w:t>
            </w:r>
          </w:p>
        </w:tc>
        <w:tc>
          <w:tcPr>
            <w:tcW w:type="dxa" w:w="4422"/>
          </w:tcPr>
          <w:p>
            <w:pPr>
              <w:spacing w:before="20" w:after="20" w:line="276" w:lineRule="auto"/>
              <w:ind w:firstLine="0"/>
            </w:pPr>
            <w:r/>
            <w:r>
              <w:rPr>
                <w:rFonts w:ascii="Times New Roman" w:hAnsi="Times New Roman" w:eastAsia="宋体"/>
                <w:b w:val="0"/>
                <w:i w:val="0"/>
                <w:sz w:val="21"/>
              </w:rPr>
              <w:t>列表展示 14 列：发票代码、发票号码、开票日期、销售方、购买方、不含税、税额、含税、价税合计、关联合同数、关联业务线、状态、是否含附件、操作；筛选字段包含编号、销售方、购买方、开票日期、发票代码、发票号码、是否含附件、状态；支持 Excel 导出</w:t>
            </w:r>
          </w:p>
        </w:tc>
      </w:tr>
    </w:tbl>
    <w:p>
      <w:pPr>
        <w:spacing w:before="0" w:after="0" w:line="240" w:lineRule="auto"/>
      </w:pP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tblGrid>
      <w:tr>
        <w:trPr>
          <w:tblHeader w:val="true"/>
        </w:trPr>
        <w:tc>
          <w:tcPr>
            <w:tcW w:type="dxa" w:w="1247"/>
            <w:shd w:val="clear" w:color="auto" w:fill="DCE6F1"/>
          </w:tcPr>
          <w:p>
            <w:pPr>
              <w:spacing w:before="40" w:after="40" w:line="276" w:lineRule="auto"/>
              <w:jc w:val="center"/>
            </w:pPr>
            <w:r/>
            <w:r>
              <w:rPr>
                <w:rFonts w:ascii="Times New Roman" w:hAnsi="Times New Roman" w:eastAsia="黑体"/>
                <w:b/>
                <w:i w:val="0"/>
                <w:sz w:val="19"/>
              </w:rPr>
              <w:t>页面</w:t>
            </w:r>
          </w:p>
        </w:tc>
        <w:tc>
          <w:tcPr>
            <w:tcW w:type="dxa" w:w="1474"/>
            <w:shd w:val="clear" w:color="auto" w:fill="DCE6F1"/>
          </w:tcPr>
          <w:p>
            <w:pPr>
              <w:spacing w:before="40" w:after="40" w:line="276" w:lineRule="auto"/>
              <w:jc w:val="center"/>
            </w:pPr>
            <w:r/>
            <w:r>
              <w:rPr>
                <w:rFonts w:ascii="Times New Roman" w:hAnsi="Times New Roman" w:eastAsia="黑体"/>
                <w:b/>
                <w:i w:val="0"/>
                <w:sz w:val="19"/>
              </w:rPr>
              <w:t>文件</w:t>
            </w:r>
          </w:p>
        </w:tc>
        <w:tc>
          <w:tcPr>
            <w:tcW w:type="dxa" w:w="1134"/>
            <w:shd w:val="clear" w:color="auto" w:fill="DCE6F1"/>
          </w:tcPr>
          <w:p>
            <w:pPr>
              <w:spacing w:before="40" w:after="40" w:line="276" w:lineRule="auto"/>
              <w:jc w:val="center"/>
            </w:pPr>
            <w:r/>
            <w:r>
              <w:rPr>
                <w:rFonts w:ascii="Times New Roman" w:hAnsi="Times New Roman" w:eastAsia="黑体"/>
                <w:b/>
                <w:i w:val="0"/>
                <w:sz w:val="19"/>
              </w:rPr>
              <w:t>入口</w:t>
            </w:r>
          </w:p>
        </w:tc>
        <w:tc>
          <w:tcPr>
            <w:tcW w:type="dxa" w:w="2041"/>
            <w:shd w:val="clear" w:color="auto" w:fill="DCE6F1"/>
          </w:tcPr>
          <w:p>
            <w:pPr>
              <w:spacing w:before="40" w:after="40" w:line="276" w:lineRule="auto"/>
              <w:jc w:val="center"/>
            </w:pPr>
            <w:r/>
            <w:r>
              <w:rPr>
                <w:rFonts w:ascii="Times New Roman" w:hAnsi="Times New Roman" w:eastAsia="黑体"/>
                <w:b/>
                <w:i w:val="0"/>
                <w:sz w:val="19"/>
              </w:rPr>
              <w:t>主要区块</w:t>
            </w:r>
          </w:p>
        </w:tc>
        <w:tc>
          <w:tcPr>
            <w:tcW w:type="dxa" w:w="1701"/>
            <w:shd w:val="clear" w:color="auto" w:fill="DCE6F1"/>
          </w:tcPr>
          <w:p>
            <w:pPr>
              <w:spacing w:before="40" w:after="40" w:line="276" w:lineRule="auto"/>
              <w:jc w:val="center"/>
            </w:pPr>
            <w:r/>
            <w:r>
              <w:rPr>
                <w:rFonts w:ascii="Times New Roman" w:hAnsi="Times New Roman" w:eastAsia="黑体"/>
                <w:b/>
                <w:i w:val="0"/>
                <w:sz w:val="19"/>
              </w:rPr>
              <w:t>主要操作</w:t>
            </w:r>
          </w:p>
        </w:tc>
        <w:tc>
          <w:tcPr>
            <w:tcW w:type="dxa" w:w="1474"/>
            <w:shd w:val="clear" w:color="auto" w:fill="DCE6F1"/>
          </w:tcPr>
          <w:p>
            <w:pPr>
              <w:spacing w:before="40" w:after="40" w:line="276" w:lineRule="auto"/>
              <w:jc w:val="center"/>
            </w:pPr>
            <w:r/>
            <w:r>
              <w:rPr>
                <w:rFonts w:ascii="Times New Roman" w:hAnsi="Times New Roman" w:eastAsia="黑体"/>
                <w:b/>
                <w:i w:val="0"/>
                <w:sz w:val="19"/>
              </w:rPr>
              <w:t>跳转</w:t>
            </w:r>
          </w:p>
        </w:tc>
      </w:tr>
      <w:tr>
        <w:tc>
          <w:tcPr>
            <w:tcW w:type="dxa" w:w="1247"/>
          </w:tcPr>
          <w:p>
            <w:pPr>
              <w:spacing w:before="20" w:after="20" w:line="276" w:lineRule="auto"/>
              <w:ind w:firstLine="0"/>
            </w:pPr>
            <w:r/>
            <w:r>
              <w:rPr>
                <w:rFonts w:ascii="Times New Roman" w:hAnsi="Times New Roman" w:eastAsia="宋体"/>
                <w:b w:val="0"/>
                <w:i w:val="0"/>
                <w:sz w:val="19"/>
              </w:rPr>
              <w:t>进项发票（列表）</w:t>
            </w:r>
          </w:p>
        </w:tc>
        <w:tc>
          <w:tcPr>
            <w:tcW w:type="dxa" w:w="1474"/>
          </w:tcPr>
          <w:p>
            <w:pPr>
              <w:spacing w:before="20" w:after="20" w:line="276" w:lineRule="auto"/>
              <w:ind w:firstLine="0"/>
            </w:pPr>
            <w:r/>
            <w:r>
              <w:rPr>
                <w:rFonts w:ascii="Times New Roman" w:hAnsi="Times New Roman" w:eastAsia="宋体"/>
                <w:b w:val="0"/>
                <w:i w:val="0"/>
                <w:sz w:val="19"/>
              </w:rPr>
              <w:t>invoice.html</w:t>
            </w:r>
          </w:p>
        </w:tc>
        <w:tc>
          <w:tcPr>
            <w:tcW w:type="dxa" w:w="1134"/>
          </w:tcPr>
          <w:p>
            <w:pPr>
              <w:spacing w:before="20" w:after="20" w:line="276" w:lineRule="auto"/>
              <w:ind w:firstLine="0"/>
            </w:pPr>
            <w:r/>
            <w:r>
              <w:rPr>
                <w:rFonts w:ascii="Times New Roman" w:hAnsi="Times New Roman" w:eastAsia="宋体"/>
                <w:b w:val="0"/>
                <w:i w:val="0"/>
                <w:sz w:val="19"/>
              </w:rPr>
              <w:t>数字供应链 / 发票管理</w:t>
            </w:r>
          </w:p>
        </w:tc>
        <w:tc>
          <w:tcPr>
            <w:tcW w:type="dxa" w:w="2041"/>
          </w:tcPr>
          <w:p>
            <w:pPr>
              <w:spacing w:before="20" w:after="20" w:line="276" w:lineRule="auto"/>
              <w:ind w:firstLine="0"/>
            </w:pPr>
            <w:r/>
            <w:r>
              <w:rPr>
                <w:rFonts w:ascii="Times New Roman" w:hAnsi="Times New Roman" w:eastAsia="宋体"/>
                <w:b w:val="0"/>
                <w:i w:val="0"/>
                <w:sz w:val="19"/>
              </w:rPr>
              <w:t>标题与右侧按钮区 + 筛选区（编号、销售方、购买方、开票日期、发票代码、发票号码、是否含附件、状态）+ 发票表格（含状态为正常、红冲、作废、已删除）</w:t>
            </w:r>
          </w:p>
        </w:tc>
        <w:tc>
          <w:tcPr>
            <w:tcW w:type="dxa" w:w="1701"/>
          </w:tcPr>
          <w:p>
            <w:pPr>
              <w:spacing w:before="20" w:after="20" w:line="276" w:lineRule="auto"/>
              <w:ind w:firstLine="0"/>
            </w:pPr>
            <w:r/>
            <w:r>
              <w:rPr>
                <w:rFonts w:ascii="Times New Roman" w:hAnsi="Times New Roman" w:eastAsia="宋体"/>
                <w:b w:val="0"/>
                <w:i w:val="0"/>
                <w:sz w:val="19"/>
              </w:rPr>
              <w:t>Excel 导出 / 新增发票 / 筛选查询 / 重置 / 清除全部筛选 / 行内验真、红冲、作废、删除</w:t>
            </w:r>
          </w:p>
        </w:tc>
        <w:tc>
          <w:tcPr>
            <w:tcW w:type="dxa" w:w="1474"/>
          </w:tcPr>
          <w:p>
            <w:pPr>
              <w:spacing w:before="20" w:after="20" w:line="276" w:lineRule="auto"/>
              <w:ind w:firstLine="0"/>
            </w:pPr>
            <w:r/>
            <w:r>
              <w:rPr>
                <w:rFonts w:ascii="Times New Roman" w:hAnsi="Times New Roman" w:eastAsia="宋体"/>
                <w:b w:val="0"/>
                <w:i w:val="0"/>
                <w:sz w:val="19"/>
              </w:rPr>
              <w:t>行内详情跳转到进项发票详情页 invoice-detail.html；新增发票进入录入通道选择</w:t>
            </w:r>
          </w:p>
        </w:tc>
      </w:tr>
      <w:tr>
        <w:tc>
          <w:tcPr>
            <w:tcW w:type="dxa" w:w="1247"/>
          </w:tcPr>
          <w:p>
            <w:pPr>
              <w:spacing w:before="20" w:after="20" w:line="276" w:lineRule="auto"/>
              <w:ind w:firstLine="0"/>
            </w:pPr>
            <w:r/>
            <w:r>
              <w:rPr>
                <w:rFonts w:ascii="Times New Roman" w:hAnsi="Times New Roman" w:eastAsia="宋体"/>
                <w:b w:val="0"/>
                <w:i w:val="0"/>
                <w:sz w:val="19"/>
              </w:rPr>
              <w:t>进项发票详情</w:t>
            </w:r>
          </w:p>
        </w:tc>
        <w:tc>
          <w:tcPr>
            <w:tcW w:type="dxa" w:w="1474"/>
          </w:tcPr>
          <w:p>
            <w:pPr>
              <w:spacing w:before="20" w:after="20" w:line="276" w:lineRule="auto"/>
              <w:ind w:firstLine="0"/>
            </w:pPr>
            <w:r/>
            <w:r>
              <w:rPr>
                <w:rFonts w:ascii="Times New Roman" w:hAnsi="Times New Roman" w:eastAsia="宋体"/>
                <w:b w:val="0"/>
                <w:i w:val="0"/>
                <w:sz w:val="19"/>
              </w:rPr>
              <w:t>invoice-detail.html</w:t>
            </w:r>
          </w:p>
        </w:tc>
        <w:tc>
          <w:tcPr>
            <w:tcW w:type="dxa" w:w="1134"/>
          </w:tcPr>
          <w:p>
            <w:pPr>
              <w:spacing w:before="20" w:after="20" w:line="276" w:lineRule="auto"/>
              <w:ind w:firstLine="0"/>
            </w:pPr>
            <w:r/>
            <w:r>
              <w:rPr>
                <w:rFonts w:ascii="Times New Roman" w:hAnsi="Times New Roman" w:eastAsia="宋体"/>
                <w:b w:val="0"/>
                <w:i w:val="0"/>
                <w:sz w:val="19"/>
              </w:rPr>
              <w:t>进项发票列表行内「详情」</w:t>
            </w:r>
          </w:p>
        </w:tc>
        <w:tc>
          <w:tcPr>
            <w:tcW w:type="dxa" w:w="2041"/>
          </w:tcPr>
          <w:p>
            <w:pPr>
              <w:spacing w:before="20" w:after="20" w:line="276" w:lineRule="auto"/>
              <w:ind w:firstLine="0"/>
            </w:pPr>
            <w:r/>
            <w:r>
              <w:rPr>
                <w:rFonts w:ascii="Times New Roman" w:hAnsi="Times New Roman" w:eastAsia="宋体"/>
                <w:b w:val="0"/>
                <w:i w:val="0"/>
                <w:sz w:val="19"/>
              </w:rPr>
              <w:t>发票与合同关联信息（含拆分金额与顶部右侧差额）+ 发票附件 + 原发票 OCR 信息</w:t>
            </w:r>
          </w:p>
        </w:tc>
        <w:tc>
          <w:tcPr>
            <w:tcW w:type="dxa" w:w="1701"/>
          </w:tcPr>
          <w:p>
            <w:pPr>
              <w:spacing w:before="20" w:after="20" w:line="276" w:lineRule="auto"/>
              <w:ind w:firstLine="0"/>
            </w:pPr>
            <w:r/>
            <w:r>
              <w:rPr>
                <w:rFonts w:ascii="Times New Roman" w:hAnsi="Times New Roman" w:eastAsia="宋体"/>
                <w:b w:val="0"/>
                <w:i w:val="0"/>
                <w:sz w:val="19"/>
              </w:rPr>
              <w:t>查看 / 重新上传受限（进项详情只读，不提供业务变更按钮）</w:t>
            </w:r>
          </w:p>
        </w:tc>
        <w:tc>
          <w:tcPr>
            <w:tcW w:type="dxa" w:w="1474"/>
          </w:tcPr>
          <w:p>
            <w:pPr>
              <w:spacing w:before="20" w:after="20" w:line="276" w:lineRule="auto"/>
              <w:ind w:firstLine="0"/>
            </w:pPr>
            <w:r/>
            <w:r>
              <w:rPr>
                <w:rFonts w:ascii="Times New Roman" w:hAnsi="Times New Roman" w:eastAsia="宋体"/>
                <w:b w:val="0"/>
                <w:i w:val="0"/>
                <w:sz w:val="19"/>
              </w:rPr>
              <w:t>关联合同可跳转合同详情；进项发票的更正通过上传进项发票入口重新发起</w:t>
            </w:r>
          </w:p>
        </w:tc>
      </w:tr>
      <w:tr>
        <w:tc>
          <w:tcPr>
            <w:tcW w:type="dxa" w:w="1247"/>
          </w:tcPr>
          <w:p>
            <w:pPr>
              <w:spacing w:before="20" w:after="20" w:line="276" w:lineRule="auto"/>
              <w:ind w:firstLine="0"/>
            </w:pPr>
            <w:r/>
            <w:r>
              <w:rPr>
                <w:rFonts w:ascii="Times New Roman" w:hAnsi="Times New Roman" w:eastAsia="宋体"/>
                <w:b w:val="0"/>
                <w:i w:val="0"/>
                <w:sz w:val="19"/>
              </w:rPr>
              <w:t>销项发票（列表）</w:t>
            </w:r>
          </w:p>
        </w:tc>
        <w:tc>
          <w:tcPr>
            <w:tcW w:type="dxa" w:w="1474"/>
          </w:tcPr>
          <w:p>
            <w:pPr>
              <w:spacing w:before="20" w:after="20" w:line="276" w:lineRule="auto"/>
              <w:ind w:firstLine="0"/>
            </w:pPr>
            <w:r/>
            <w:r>
              <w:rPr>
                <w:rFonts w:ascii="Times New Roman" w:hAnsi="Times New Roman" w:eastAsia="宋体"/>
                <w:b w:val="0"/>
                <w:i w:val="0"/>
                <w:sz w:val="19"/>
              </w:rPr>
              <w:t>invoice-out.html</w:t>
            </w:r>
          </w:p>
        </w:tc>
        <w:tc>
          <w:tcPr>
            <w:tcW w:type="dxa" w:w="1134"/>
          </w:tcPr>
          <w:p>
            <w:pPr>
              <w:spacing w:before="20" w:after="20" w:line="276" w:lineRule="auto"/>
              <w:ind w:firstLine="0"/>
            </w:pPr>
            <w:r/>
            <w:r>
              <w:rPr>
                <w:rFonts w:ascii="Times New Roman" w:hAnsi="Times New Roman" w:eastAsia="宋体"/>
                <w:b w:val="0"/>
                <w:i w:val="0"/>
                <w:sz w:val="19"/>
              </w:rPr>
              <w:t>数字供应链 / 发票管理 / 销项发票</w:t>
            </w:r>
          </w:p>
        </w:tc>
        <w:tc>
          <w:tcPr>
            <w:tcW w:type="dxa" w:w="2041"/>
          </w:tcPr>
          <w:p>
            <w:pPr>
              <w:spacing w:before="20" w:after="20" w:line="276" w:lineRule="auto"/>
              <w:ind w:firstLine="0"/>
            </w:pPr>
            <w:r/>
            <w:r>
              <w:rPr>
                <w:rFonts w:ascii="Times New Roman" w:hAnsi="Times New Roman" w:eastAsia="宋体"/>
                <w:b w:val="0"/>
                <w:i w:val="0"/>
                <w:sz w:val="19"/>
              </w:rPr>
              <w:t>标题与右侧按钮区 + 筛选区 + 14 列发票表格（发票代码、发票号码、开票日期、销售方、购买方、不含税、税额、含税、价税合计、关联合同数、关联业务线、状态、是否含附件、操作）</w:t>
            </w:r>
          </w:p>
        </w:tc>
        <w:tc>
          <w:tcPr>
            <w:tcW w:type="dxa" w:w="1701"/>
          </w:tcPr>
          <w:p>
            <w:pPr>
              <w:spacing w:before="20" w:after="20" w:line="276" w:lineRule="auto"/>
              <w:ind w:firstLine="0"/>
            </w:pPr>
            <w:r/>
            <w:r>
              <w:rPr>
                <w:rFonts w:ascii="Times New Roman" w:hAnsi="Times New Roman" w:eastAsia="宋体"/>
                <w:b w:val="0"/>
                <w:i w:val="0"/>
                <w:sz w:val="19"/>
              </w:rPr>
              <w:t>Excel 导出 / 新增发票 / 筛选查询 / 重置 / 清除全部筛选 / 行内红冲、作废、删除</w:t>
            </w:r>
          </w:p>
        </w:tc>
        <w:tc>
          <w:tcPr>
            <w:tcW w:type="dxa" w:w="1474"/>
          </w:tcPr>
          <w:p>
            <w:pPr>
              <w:spacing w:before="20" w:after="20" w:line="276" w:lineRule="auto"/>
              <w:ind w:firstLine="0"/>
            </w:pPr>
            <w:r/>
            <w:r>
              <w:rPr>
                <w:rFonts w:ascii="Times New Roman" w:hAnsi="Times New Roman" w:eastAsia="宋体"/>
                <w:b w:val="0"/>
                <w:i w:val="0"/>
                <w:sz w:val="19"/>
              </w:rPr>
              <w:t>行内详情跳转到销项发票详情页 invoice-out-detail.html</w:t>
            </w:r>
          </w:p>
        </w:tc>
      </w:tr>
      <w:tr>
        <w:tc>
          <w:tcPr>
            <w:tcW w:type="dxa" w:w="1247"/>
          </w:tcPr>
          <w:p>
            <w:pPr>
              <w:spacing w:before="20" w:after="20" w:line="276" w:lineRule="auto"/>
              <w:ind w:firstLine="0"/>
            </w:pPr>
            <w:r/>
            <w:r>
              <w:rPr>
                <w:rFonts w:ascii="Times New Roman" w:hAnsi="Times New Roman" w:eastAsia="宋体"/>
                <w:b w:val="0"/>
                <w:i w:val="0"/>
                <w:sz w:val="19"/>
              </w:rPr>
              <w:t>销项发票详情</w:t>
            </w:r>
          </w:p>
        </w:tc>
        <w:tc>
          <w:tcPr>
            <w:tcW w:type="dxa" w:w="1474"/>
          </w:tcPr>
          <w:p>
            <w:pPr>
              <w:spacing w:before="20" w:after="20" w:line="276" w:lineRule="auto"/>
              <w:ind w:firstLine="0"/>
            </w:pPr>
            <w:r/>
            <w:r>
              <w:rPr>
                <w:rFonts w:ascii="Times New Roman" w:hAnsi="Times New Roman" w:eastAsia="宋体"/>
                <w:b w:val="0"/>
                <w:i w:val="0"/>
                <w:sz w:val="19"/>
              </w:rPr>
              <w:t>invoice-out-detail.html</w:t>
            </w:r>
          </w:p>
        </w:tc>
        <w:tc>
          <w:tcPr>
            <w:tcW w:type="dxa" w:w="1134"/>
          </w:tcPr>
          <w:p>
            <w:pPr>
              <w:spacing w:before="20" w:after="20" w:line="276" w:lineRule="auto"/>
              <w:ind w:firstLine="0"/>
            </w:pPr>
            <w:r/>
            <w:r>
              <w:rPr>
                <w:rFonts w:ascii="Times New Roman" w:hAnsi="Times New Roman" w:eastAsia="宋体"/>
                <w:b w:val="0"/>
                <w:i w:val="0"/>
                <w:sz w:val="19"/>
              </w:rPr>
              <w:t>销项发票列表行内「详情」</w:t>
            </w:r>
          </w:p>
        </w:tc>
        <w:tc>
          <w:tcPr>
            <w:tcW w:type="dxa" w:w="2041"/>
          </w:tcPr>
          <w:p>
            <w:pPr>
              <w:spacing w:before="20" w:after="20" w:line="276" w:lineRule="auto"/>
              <w:ind w:firstLine="0"/>
            </w:pPr>
            <w:r/>
            <w:r>
              <w:rPr>
                <w:rFonts w:ascii="Times New Roman" w:hAnsi="Times New Roman" w:eastAsia="宋体"/>
                <w:b w:val="0"/>
                <w:i w:val="0"/>
                <w:sz w:val="19"/>
              </w:rPr>
              <w:t>发票与合同关联信息（拆分金额含税可编辑，顶部右侧显示差额）+ 发票附件 + 原发票 OCR 信息</w:t>
            </w:r>
          </w:p>
        </w:tc>
        <w:tc>
          <w:tcPr>
            <w:tcW w:type="dxa" w:w="1701"/>
          </w:tcPr>
          <w:p>
            <w:pPr>
              <w:spacing w:before="20" w:after="20" w:line="276" w:lineRule="auto"/>
              <w:ind w:firstLine="0"/>
            </w:pPr>
            <w:r/>
            <w:r>
              <w:rPr>
                <w:rFonts w:ascii="Times New Roman" w:hAnsi="Times New Roman" w:eastAsia="宋体"/>
                <w:b w:val="0"/>
                <w:i w:val="0"/>
                <w:sz w:val="19"/>
              </w:rPr>
              <w:t>保存 / 取消 / 查询 / 确定 / 重置 / 重新上传</w:t>
            </w:r>
          </w:p>
        </w:tc>
        <w:tc>
          <w:tcPr>
            <w:tcW w:type="dxa" w:w="1474"/>
          </w:tcPr>
          <w:p>
            <w:pPr>
              <w:spacing w:before="20" w:after="20" w:line="276" w:lineRule="auto"/>
              <w:ind w:firstLine="0"/>
            </w:pPr>
            <w:r/>
            <w:r>
              <w:rPr>
                <w:rFonts w:ascii="Times New Roman" w:hAnsi="Times New Roman" w:eastAsia="宋体"/>
                <w:b w:val="0"/>
                <w:i w:val="0"/>
                <w:sz w:val="19"/>
              </w:rPr>
              <w:t>可跳转关联合同；保存后回写合同已开票金额</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4.16.5　数据关系</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474"/>
            <w:shd w:val="clear" w:color="auto" w:fill="DCE6F1"/>
          </w:tcPr>
          <w:p>
            <w:pPr>
              <w:spacing w:before="40" w:after="40" w:line="276" w:lineRule="auto"/>
              <w:jc w:val="center"/>
            </w:pPr>
            <w:r/>
            <w:r>
              <w:rPr>
                <w:rFonts w:ascii="Times New Roman" w:hAnsi="Times New Roman" w:eastAsia="黑体"/>
                <w:b/>
                <w:i w:val="0"/>
                <w:sz w:val="21"/>
              </w:rPr>
              <w:t>业务对象</w:t>
            </w:r>
          </w:p>
        </w:tc>
        <w:tc>
          <w:tcPr>
            <w:tcW w:type="dxa" w:w="4195"/>
            <w:shd w:val="clear" w:color="auto" w:fill="DCE6F1"/>
          </w:tcPr>
          <w:p>
            <w:pPr>
              <w:spacing w:before="40" w:after="40" w:line="276" w:lineRule="auto"/>
              <w:jc w:val="center"/>
            </w:pPr>
            <w:r/>
            <w:r>
              <w:rPr>
                <w:rFonts w:ascii="Times New Roman" w:hAnsi="Times New Roman" w:eastAsia="黑体"/>
                <w:b/>
                <w:i w:val="0"/>
                <w:sz w:val="21"/>
              </w:rPr>
              <w:t>关键字段与口径</w:t>
            </w:r>
          </w:p>
        </w:tc>
        <w:tc>
          <w:tcPr>
            <w:tcW w:type="dxa" w:w="3402"/>
            <w:shd w:val="clear" w:color="auto" w:fill="DCE6F1"/>
          </w:tcPr>
          <w:p>
            <w:pPr>
              <w:spacing w:before="40" w:after="40" w:line="276" w:lineRule="auto"/>
              <w:jc w:val="center"/>
            </w:pPr>
            <w:r/>
            <w:r>
              <w:rPr>
                <w:rFonts w:ascii="Times New Roman" w:hAnsi="Times New Roman" w:eastAsia="黑体"/>
                <w:b/>
                <w:i w:val="0"/>
                <w:sz w:val="21"/>
              </w:rPr>
              <w:t>与其他对象的关系</w:t>
            </w:r>
          </w:p>
        </w:tc>
      </w:tr>
      <w:tr>
        <w:tc>
          <w:tcPr>
            <w:tcW w:type="dxa" w:w="1474"/>
          </w:tcPr>
          <w:p>
            <w:pPr>
              <w:spacing w:before="20" w:after="20" w:line="276" w:lineRule="auto"/>
              <w:ind w:firstLine="0"/>
            </w:pPr>
            <w:r/>
            <w:r>
              <w:rPr>
                <w:rFonts w:ascii="Times New Roman" w:hAnsi="Times New Roman" w:eastAsia="宋体"/>
                <w:b w:val="0"/>
                <w:i w:val="0"/>
                <w:sz w:val="21"/>
              </w:rPr>
              <w:t>发票单</w:t>
            </w:r>
          </w:p>
        </w:tc>
        <w:tc>
          <w:tcPr>
            <w:tcW w:type="dxa" w:w="4195"/>
          </w:tcPr>
          <w:p>
            <w:pPr>
              <w:spacing w:before="20" w:after="20" w:line="276" w:lineRule="auto"/>
              <w:ind w:firstLine="0"/>
            </w:pPr>
            <w:r/>
            <w:r>
              <w:rPr>
                <w:rFonts w:ascii="Times New Roman" w:hAnsi="Times New Roman" w:eastAsia="宋体"/>
                <w:b w:val="0"/>
                <w:i w:val="0"/>
                <w:sz w:val="21"/>
              </w:rPr>
              <w:t>发票代码 / 发票号码：varchar(32)，发票号码重复被阻止</w:t>
            </w:r>
            <w:r>
              <w:br/>
            </w:r>
            <w:r>
              <w:rPr>
                <w:rFonts w:ascii="Times New Roman" w:hAnsi="Times New Roman" w:eastAsia="宋体"/>
                <w:b w:val="0"/>
                <w:i w:val="0"/>
                <w:sz w:val="21"/>
              </w:rPr>
              <w:t>开票日期</w:t>
            </w:r>
            <w:r>
              <w:br/>
            </w:r>
            <w:r>
              <w:rPr>
                <w:rFonts w:ascii="Times New Roman" w:hAnsi="Times New Roman" w:eastAsia="宋体"/>
                <w:b w:val="0"/>
                <w:i w:val="0"/>
                <w:sz w:val="21"/>
              </w:rPr>
              <w:t>销售方 / 购买方名称：varchar(128)</w:t>
            </w:r>
            <w:r>
              <w:br/>
            </w:r>
            <w:r>
              <w:rPr>
                <w:rFonts w:ascii="Times New Roman" w:hAnsi="Times New Roman" w:eastAsia="宋体"/>
                <w:b w:val="0"/>
                <w:i w:val="0"/>
                <w:sz w:val="21"/>
              </w:rPr>
              <w:t>不含税金额 / 税率：decimal(5,2) / 税额 / 含税金额 / 价税合计</w:t>
            </w:r>
            <w:r>
              <w:br/>
            </w:r>
            <w:r>
              <w:rPr>
                <w:rFonts w:ascii="Times New Roman" w:hAnsi="Times New Roman" w:eastAsia="宋体"/>
                <w:b w:val="0"/>
                <w:i w:val="0"/>
                <w:sz w:val="21"/>
              </w:rPr>
              <w:t>商品名称：varchar(128)，必填；规格：varchar(255)</w:t>
            </w:r>
            <w:r>
              <w:br/>
            </w:r>
            <w:r>
              <w:rPr>
                <w:rFonts w:ascii="Times New Roman" w:hAnsi="Times New Roman" w:eastAsia="宋体"/>
                <w:b w:val="0"/>
                <w:i w:val="0"/>
                <w:sz w:val="21"/>
              </w:rPr>
              <w:t>状态：正常 / 红冲 / 作废 / 已删除</w:t>
            </w:r>
            <w:r>
              <w:br/>
            </w:r>
            <w:r>
              <w:rPr>
                <w:rFonts w:ascii="Times New Roman" w:hAnsi="Times New Roman" w:eastAsia="宋体"/>
                <w:b w:val="0"/>
                <w:i w:val="0"/>
                <w:sz w:val="21"/>
              </w:rPr>
              <w:t>验真结果与是否已验真标记</w:t>
            </w:r>
            <w:r>
              <w:br/>
            </w:r>
            <w:r>
              <w:rPr>
                <w:rFonts w:ascii="Times New Roman" w:hAnsi="Times New Roman" w:eastAsia="宋体"/>
                <w:b w:val="0"/>
                <w:i w:val="0"/>
                <w:sz w:val="21"/>
              </w:rPr>
              <w:t>是否红冲、是否作废标记</w:t>
            </w:r>
          </w:p>
        </w:tc>
        <w:tc>
          <w:tcPr>
            <w:tcW w:type="dxa" w:w="3402"/>
          </w:tcPr>
          <w:p>
            <w:pPr>
              <w:spacing w:before="20" w:after="20" w:line="276" w:lineRule="auto"/>
              <w:ind w:firstLine="0"/>
            </w:pPr>
            <w:r/>
            <w:r>
              <w:rPr>
                <w:rFonts w:ascii="Times New Roman" w:hAnsi="Times New Roman" w:eastAsia="宋体"/>
                <w:b w:val="0"/>
                <w:i w:val="0"/>
                <w:sz w:val="21"/>
              </w:rPr>
              <w:t>关联结算单与付款单可进入已入账；关联合同并拆分金额后回写合同已开票金额</w:t>
            </w:r>
          </w:p>
        </w:tc>
      </w:tr>
      <w:tr>
        <w:tc>
          <w:tcPr>
            <w:tcW w:type="dxa" w:w="1474"/>
          </w:tcPr>
          <w:p>
            <w:pPr>
              <w:spacing w:before="20" w:after="20" w:line="276" w:lineRule="auto"/>
              <w:ind w:firstLine="0"/>
            </w:pPr>
            <w:r/>
            <w:r>
              <w:rPr>
                <w:rFonts w:ascii="Times New Roman" w:hAnsi="Times New Roman" w:eastAsia="宋体"/>
                <w:b w:val="0"/>
                <w:i w:val="0"/>
                <w:sz w:val="21"/>
              </w:rPr>
              <w:t>发票关联记录</w:t>
            </w:r>
          </w:p>
        </w:tc>
        <w:tc>
          <w:tcPr>
            <w:tcW w:type="dxa" w:w="4195"/>
          </w:tcPr>
          <w:p>
            <w:pPr>
              <w:spacing w:before="20" w:after="20" w:line="276" w:lineRule="auto"/>
              <w:ind w:firstLine="0"/>
            </w:pPr>
            <w:r/>
            <w:r>
              <w:rPr>
                <w:rFonts w:ascii="Times New Roman" w:hAnsi="Times New Roman" w:eastAsia="宋体"/>
                <w:b w:val="0"/>
                <w:i w:val="0"/>
                <w:sz w:val="21"/>
              </w:rPr>
              <w:t>关联对象类型：合同 / 结算单 / 付款单</w:t>
            </w:r>
            <w:r>
              <w:br/>
            </w:r>
            <w:r>
              <w:rPr>
                <w:rFonts w:ascii="Times New Roman" w:hAnsi="Times New Roman" w:eastAsia="宋体"/>
                <w:b w:val="0"/>
                <w:i w:val="0"/>
                <w:sz w:val="21"/>
              </w:rPr>
              <w:t>关联对象 ID</w:t>
            </w:r>
            <w:r>
              <w:br/>
            </w:r>
            <w:r>
              <w:rPr>
                <w:rFonts w:ascii="Times New Roman" w:hAnsi="Times New Roman" w:eastAsia="宋体"/>
                <w:b w:val="0"/>
                <w:i w:val="0"/>
                <w:sz w:val="21"/>
              </w:rPr>
              <w:t>拆分金额（含税）</w:t>
            </w:r>
          </w:p>
        </w:tc>
        <w:tc>
          <w:tcPr>
            <w:tcW w:type="dxa" w:w="3402"/>
          </w:tcPr>
          <w:p>
            <w:pPr>
              <w:spacing w:before="20" w:after="20" w:line="276" w:lineRule="auto"/>
              <w:ind w:firstLine="0"/>
            </w:pPr>
            <w:r/>
            <w:r>
              <w:rPr>
                <w:rFonts w:ascii="Times New Roman" w:hAnsi="Times New Roman" w:eastAsia="宋体"/>
                <w:b w:val="0"/>
                <w:i w:val="0"/>
                <w:sz w:val="21"/>
              </w:rPr>
              <w:t>一张发票至少关联 1 个合同；拆分金额之和必须等于含税金额</w:t>
            </w:r>
          </w:p>
        </w:tc>
      </w:tr>
      <w:tr>
        <w:tc>
          <w:tcPr>
            <w:tcW w:type="dxa" w:w="1474"/>
          </w:tcPr>
          <w:p>
            <w:pPr>
              <w:spacing w:before="20" w:after="20" w:line="276" w:lineRule="auto"/>
              <w:ind w:firstLine="0"/>
            </w:pPr>
            <w:r/>
            <w:r>
              <w:rPr>
                <w:rFonts w:ascii="Times New Roman" w:hAnsi="Times New Roman" w:eastAsia="宋体"/>
                <w:b w:val="0"/>
                <w:i w:val="0"/>
                <w:sz w:val="21"/>
              </w:rPr>
              <w:t>发票 OCR 识别结果</w:t>
            </w:r>
          </w:p>
        </w:tc>
        <w:tc>
          <w:tcPr>
            <w:tcW w:type="dxa" w:w="4195"/>
          </w:tcPr>
          <w:p>
            <w:pPr>
              <w:spacing w:before="20" w:after="20" w:line="276" w:lineRule="auto"/>
              <w:ind w:firstLine="0"/>
            </w:pPr>
            <w:r/>
            <w:r>
              <w:rPr>
                <w:rFonts w:ascii="Times New Roman" w:hAnsi="Times New Roman" w:eastAsia="宋体"/>
                <w:b w:val="0"/>
                <w:i w:val="0"/>
                <w:sz w:val="21"/>
              </w:rPr>
              <w:t>识别结果：JSON 文本</w:t>
            </w:r>
            <w:r>
              <w:br/>
            </w:r>
            <w:r>
              <w:rPr>
                <w:rFonts w:ascii="Times New Roman" w:hAnsi="Times New Roman" w:eastAsia="宋体"/>
                <w:b w:val="0"/>
                <w:i w:val="0"/>
                <w:sz w:val="21"/>
              </w:rPr>
              <w:t>识别准确率：decimal(5,2)</w:t>
            </w:r>
            <w:r>
              <w:br/>
            </w:r>
            <w:r>
              <w:rPr>
                <w:rFonts w:ascii="Times New Roman" w:hAnsi="Times New Roman" w:eastAsia="宋体"/>
                <w:b w:val="0"/>
                <w:i w:val="0"/>
                <w:sz w:val="21"/>
              </w:rPr>
              <w:t>9 个识别字段及其准确度分级</w:t>
            </w:r>
          </w:p>
        </w:tc>
        <w:tc>
          <w:tcPr>
            <w:tcW w:type="dxa" w:w="3402"/>
          </w:tcPr>
          <w:p>
            <w:pPr>
              <w:spacing w:before="20" w:after="20" w:line="276" w:lineRule="auto"/>
              <w:ind w:firstLine="0"/>
            </w:pPr>
            <w:r/>
            <w:r>
              <w:rPr>
                <w:rFonts w:ascii="Times New Roman" w:hAnsi="Times New Roman" w:eastAsia="宋体"/>
                <w:b w:val="0"/>
                <w:i w:val="0"/>
                <w:sz w:val="21"/>
              </w:rPr>
              <w:t>挂在发票单上，在详情页原发票信息区块只读展示，识别失败时用于手动补录</w:t>
            </w:r>
          </w:p>
        </w:tc>
      </w:tr>
      <w:tr>
        <w:tc>
          <w:tcPr>
            <w:tcW w:type="dxa" w:w="1474"/>
          </w:tcPr>
          <w:p>
            <w:pPr>
              <w:spacing w:before="20" w:after="20" w:line="276" w:lineRule="auto"/>
              <w:ind w:firstLine="0"/>
            </w:pPr>
            <w:r/>
            <w:r>
              <w:rPr>
                <w:rFonts w:ascii="Times New Roman" w:hAnsi="Times New Roman" w:eastAsia="宋体"/>
                <w:b w:val="0"/>
                <w:i w:val="0"/>
                <w:sz w:val="21"/>
              </w:rPr>
              <w:t>验真调用日志</w:t>
            </w:r>
          </w:p>
        </w:tc>
        <w:tc>
          <w:tcPr>
            <w:tcW w:type="dxa" w:w="4195"/>
          </w:tcPr>
          <w:p>
            <w:pPr>
              <w:spacing w:before="20" w:after="20" w:line="276" w:lineRule="auto"/>
              <w:ind w:firstLine="0"/>
            </w:pPr>
            <w:r/>
            <w:r>
              <w:rPr>
                <w:rFonts w:ascii="Times New Roman" w:hAnsi="Times New Roman" w:eastAsia="宋体"/>
                <w:b w:val="0"/>
                <w:i w:val="0"/>
                <w:sz w:val="21"/>
              </w:rPr>
              <w:t>调用时间</w:t>
            </w:r>
            <w:r>
              <w:br/>
            </w:r>
            <w:r>
              <w:rPr>
                <w:rFonts w:ascii="Times New Roman" w:hAnsi="Times New Roman" w:eastAsia="宋体"/>
                <w:b w:val="0"/>
                <w:i w:val="0"/>
                <w:sz w:val="21"/>
              </w:rPr>
              <w:t>验真结果</w:t>
            </w:r>
            <w:r>
              <w:br/>
            </w:r>
            <w:r>
              <w:rPr>
                <w:rFonts w:ascii="Times New Roman" w:hAnsi="Times New Roman" w:eastAsia="宋体"/>
                <w:b w:val="0"/>
                <w:i w:val="0"/>
                <w:sz w:val="21"/>
              </w:rPr>
              <w:t>失败原因</w:t>
            </w:r>
          </w:p>
        </w:tc>
        <w:tc>
          <w:tcPr>
            <w:tcW w:type="dxa" w:w="3402"/>
          </w:tcPr>
          <w:p>
            <w:pPr>
              <w:spacing w:before="20" w:after="20" w:line="276" w:lineRule="auto"/>
              <w:ind w:firstLine="0"/>
            </w:pPr>
            <w:r/>
            <w:r>
              <w:rPr>
                <w:rFonts w:ascii="Times New Roman" w:hAnsi="Times New Roman" w:eastAsia="宋体"/>
                <w:b w:val="0"/>
                <w:i w:val="0"/>
                <w:sz w:val="21"/>
              </w:rPr>
              <w:t>每次调用税务验真接口产生一条记录，验真结果决定发票是否可入账</w:t>
            </w:r>
          </w:p>
        </w:tc>
      </w:tr>
      <w:tr>
        <w:tc>
          <w:tcPr>
            <w:tcW w:type="dxa" w:w="1474"/>
          </w:tcPr>
          <w:p>
            <w:pPr>
              <w:spacing w:before="20" w:after="20" w:line="276" w:lineRule="auto"/>
              <w:ind w:firstLine="0"/>
            </w:pPr>
            <w:r/>
            <w:r>
              <w:rPr>
                <w:rFonts w:ascii="Times New Roman" w:hAnsi="Times New Roman" w:eastAsia="宋体"/>
                <w:b w:val="0"/>
                <w:i w:val="0"/>
                <w:sz w:val="21"/>
              </w:rPr>
              <w:t>发票附件</w:t>
            </w:r>
          </w:p>
        </w:tc>
        <w:tc>
          <w:tcPr>
            <w:tcW w:type="dxa" w:w="4195"/>
          </w:tcPr>
          <w:p>
            <w:pPr>
              <w:spacing w:before="20" w:after="20" w:line="276" w:lineRule="auto"/>
              <w:ind w:firstLine="0"/>
            </w:pPr>
            <w:r/>
            <w:r>
              <w:rPr>
                <w:rFonts w:ascii="Times New Roman" w:hAnsi="Times New Roman" w:eastAsia="宋体"/>
                <w:b w:val="0"/>
                <w:i w:val="0"/>
                <w:sz w:val="21"/>
              </w:rPr>
              <w:t>附件类型：发票图片或 PDF</w:t>
            </w:r>
            <w:r>
              <w:br/>
            </w:r>
            <w:r>
              <w:rPr>
                <w:rFonts w:ascii="Times New Roman" w:hAnsi="Times New Roman" w:eastAsia="宋体"/>
                <w:b w:val="0"/>
                <w:i w:val="0"/>
                <w:sz w:val="21"/>
              </w:rPr>
              <w:t>重新上传支持的格式：jpg、jpeg、png、pdf</w:t>
            </w:r>
          </w:p>
        </w:tc>
        <w:tc>
          <w:tcPr>
            <w:tcW w:type="dxa" w:w="3402"/>
          </w:tcPr>
          <w:p>
            <w:pPr>
              <w:spacing w:before="20" w:after="20" w:line="276" w:lineRule="auto"/>
              <w:ind w:firstLine="0"/>
            </w:pPr>
            <w:r/>
            <w:r>
              <w:rPr>
                <w:rFonts w:ascii="Times New Roman" w:hAnsi="Times New Roman" w:eastAsia="宋体"/>
                <w:b w:val="0"/>
                <w:i w:val="0"/>
                <w:sz w:val="21"/>
              </w:rPr>
              <w:t>挂在发票单上；销项支持重新上传，进项只读</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4.16.6　角色权限与数据权限</w:t>
      </w:r>
    </w:p>
    <w:p>
      <w:pPr>
        <w:spacing w:before="0" w:after="120" w:line="360" w:lineRule="auto"/>
      </w:pPr>
      <w:r>
        <w:rPr>
          <w:rFonts w:ascii="Times New Roman" w:hAnsi="Times New Roman" w:eastAsia="宋体"/>
          <w:b w:val="0"/>
          <w:i w:val="0"/>
          <w:sz w:val="24"/>
        </w:rPr>
        <w:t>本期为系统全量权限（业务方裁决 D17）；下表角色为典型使用角色，非权限分级。源文档另记录了模块级可见性差异并照实列出：进项发票详情只读、不提供业务变更按钮，销项发票详情支持重新上传、关联合同与拆分金额编辑；搜索、筛选、导出、详情对全部角色开放。</w:t>
      </w:r>
    </w:p>
    <w:p>
      <w:pPr>
        <w:spacing w:before="0" w:after="80" w:line="360" w:lineRule="auto"/>
      </w:pPr>
      <w:r>
        <w:rPr>
          <w:rFonts w:ascii="Times New Roman" w:hAnsi="Times New Roman" w:eastAsia="宋体"/>
          <w:b w:val="0"/>
          <w:i w:val="0"/>
          <w:sz w:val="24"/>
        </w:rPr>
        <w:t>数据可见性：按单据归属与业务筛选查看；手机号、统一社会信用代码等敏感字段默认打码，手动点击查看完整值且查看行为留痕。</w:t>
      </w:r>
    </w:p>
    <w:p>
      <w:pPr>
        <w:pStyle w:val="Heading3"/>
        <w:keepNext/>
        <w:spacing w:before="160" w:after="80" w:line="312" w:lineRule="auto"/>
        <w:ind w:firstLine="0"/>
      </w:pPr>
      <w:r>
        <w:rPr>
          <w:rFonts w:ascii="Times New Roman" w:hAnsi="Times New Roman" w:eastAsia="黑体"/>
          <w:b/>
          <w:i w:val="0"/>
          <w:sz w:val="24"/>
        </w:rPr>
        <w:t>4.16.7　业务流程与页面</w:t>
      </w:r>
    </w:p>
    <w:p>
      <w:pPr>
        <w:spacing w:before="120" w:after="60"/>
        <w:ind w:firstLine="0"/>
        <w:jc w:val="center"/>
      </w:pPr>
      <w:r>
        <w:drawing>
          <wp:inline xmlns:a="http://schemas.openxmlformats.org/drawingml/2006/main" xmlns:pic="http://schemas.openxmlformats.org/drawingml/2006/picture">
            <wp:extent cx="5616000" cy="1420138"/>
            <wp:docPr id="31" name="Picture 31"/>
            <wp:cNvGraphicFramePr>
              <a:graphicFrameLocks noChangeAspect="1"/>
            </wp:cNvGraphicFramePr>
            <a:graphic>
              <a:graphicData uri="http://schemas.openxmlformats.org/drawingml/2006/picture">
                <pic:pic>
                  <pic:nvPicPr>
                    <pic:cNvPr id="0" name="mermaid-invoice.png"/>
                    <pic:cNvPicPr/>
                  </pic:nvPicPr>
                  <pic:blipFill>
                    <a:blip r:embed="rId41"/>
                    <a:stretch>
                      <a:fillRect/>
                    </a:stretch>
                  </pic:blipFill>
                  <pic:spPr>
                    <a:xfrm>
                      <a:off x="0" y="0"/>
                      <a:ext cx="5616000" cy="1420138"/>
                    </a:xfrm>
                    <a:prstGeom prst="rect"/>
                  </pic:spPr>
                </pic:pic>
              </a:graphicData>
            </a:graphic>
          </wp:inline>
        </w:drawing>
      </w:r>
    </w:p>
    <w:p>
      <w:pPr>
        <w:spacing w:before="0" w:after="200" w:line="240" w:lineRule="auto"/>
        <w:ind w:firstLine="0"/>
        <w:jc w:val="center"/>
      </w:pPr>
      <w:r>
        <w:rPr>
          <w:rFonts w:ascii="Times New Roman" w:hAnsi="Times New Roman" w:eastAsia="宋体"/>
          <w:b w:val="0"/>
          <w:i w:val="0"/>
          <w:sz w:val="21"/>
        </w:rPr>
        <w:t>图 4-16-1　发票管理 主业务流程</w:t>
      </w:r>
    </w:p>
    <w:p>
      <w:pPr>
        <w:spacing w:before="0" w:after="60" w:line="360" w:lineRule="auto"/>
      </w:pPr>
      <w:r>
        <w:rPr>
          <w:rFonts w:ascii="Times New Roman" w:hAnsi="Times New Roman" w:eastAsia="宋体"/>
          <w:b/>
          <w:i w:val="0"/>
          <w:sz w:val="24"/>
        </w:rPr>
        <w:t>主流程步骤：</w:t>
      </w:r>
    </w:p>
    <w:p>
      <w:pPr>
        <w:spacing w:before="0" w:after="60" w:line="336" w:lineRule="auto"/>
        <w:ind w:left="510" w:hanging="510"/>
      </w:pPr>
      <w:r>
        <w:rPr>
          <w:rFonts w:ascii="Times New Roman" w:hAnsi="Times New Roman" w:eastAsia="宋体"/>
          <w:b w:val="0"/>
          <w:i w:val="0"/>
          <w:sz w:val="24"/>
        </w:rPr>
        <w:t>1. 业务员点击新增发票，先选择进项或销项，再选择图片上传或 Excel 导入</w:t>
      </w:r>
    </w:p>
    <w:p>
      <w:pPr>
        <w:spacing w:before="0" w:after="60" w:line="336" w:lineRule="auto"/>
        <w:ind w:left="510" w:hanging="510"/>
      </w:pPr>
      <w:r>
        <w:rPr>
          <w:rFonts w:ascii="Times New Roman" w:hAnsi="Times New Roman" w:eastAsia="宋体"/>
          <w:b w:val="0"/>
          <w:i w:val="0"/>
          <w:sz w:val="24"/>
        </w:rPr>
        <w:t>2. 图片上传通道：上传本地发票文件后等待 OCR 识别，系统自动识别 9 个关键字段并填充表单；Excel 导入通道：下载模板录入 7 个字段后导入</w:t>
      </w:r>
    </w:p>
    <w:p>
      <w:pPr>
        <w:spacing w:before="0" w:after="60" w:line="336" w:lineRule="auto"/>
        <w:ind w:left="510" w:hanging="510"/>
      </w:pPr>
      <w:r>
        <w:rPr>
          <w:rFonts w:ascii="Times New Roman" w:hAnsi="Times New Roman" w:eastAsia="宋体"/>
          <w:b w:val="0"/>
          <w:i w:val="0"/>
          <w:sz w:val="24"/>
        </w:rPr>
        <w:t>3. 业务员核对并调整识别或导入的字段，识别失败时改为手动补录</w:t>
      </w:r>
    </w:p>
    <w:p>
      <w:pPr>
        <w:spacing w:before="0" w:after="60" w:line="336" w:lineRule="auto"/>
        <w:ind w:left="510" w:hanging="510"/>
      </w:pPr>
      <w:r>
        <w:rPr>
          <w:rFonts w:ascii="Times New Roman" w:hAnsi="Times New Roman" w:eastAsia="宋体"/>
          <w:b w:val="0"/>
          <w:i w:val="0"/>
          <w:sz w:val="24"/>
        </w:rPr>
        <w:t>4. 发票提交后调用税务验真接口，验真通过则进入正常态，验真失败阻止入账，接口失败允许重试</w:t>
      </w:r>
    </w:p>
    <w:p>
      <w:pPr>
        <w:spacing w:before="0" w:after="60" w:line="336" w:lineRule="auto"/>
        <w:ind w:left="510" w:hanging="510"/>
      </w:pPr>
      <w:r>
        <w:rPr>
          <w:rFonts w:ascii="Times New Roman" w:hAnsi="Times New Roman" w:eastAsia="宋体"/>
          <w:b w:val="0"/>
          <w:i w:val="0"/>
          <w:sz w:val="24"/>
        </w:rPr>
        <w:t>5. 将发票关联到对应合同，确认发票价格是否需要拆分并录入各合同的拆分金额</w:t>
      </w:r>
    </w:p>
    <w:p>
      <w:pPr>
        <w:spacing w:before="0" w:after="60" w:line="336" w:lineRule="auto"/>
        <w:ind w:left="510" w:hanging="510"/>
      </w:pPr>
      <w:r>
        <w:rPr>
          <w:rFonts w:ascii="Times New Roman" w:hAnsi="Times New Roman" w:eastAsia="宋体"/>
          <w:b w:val="0"/>
          <w:i w:val="0"/>
          <w:sz w:val="24"/>
        </w:rPr>
        <w:t>6. 系统校验发票至少关联 1 个合同，且各合同拆分金额之和等于含税金额，不符时显示差额并阻止保存</w:t>
      </w:r>
    </w:p>
    <w:p>
      <w:pPr>
        <w:spacing w:before="0" w:after="60" w:line="336" w:lineRule="auto"/>
        <w:ind w:left="510" w:hanging="510"/>
      </w:pPr>
      <w:r>
        <w:rPr>
          <w:rFonts w:ascii="Times New Roman" w:hAnsi="Times New Roman" w:eastAsia="宋体"/>
          <w:b w:val="0"/>
          <w:i w:val="0"/>
          <w:sz w:val="24"/>
        </w:rPr>
        <w:t>7. 保存后发票入账，销项发票可在详情页重新上传、关联合同与编辑拆分金额，进项发票详情只读</w:t>
      </w:r>
    </w:p>
    <w:p>
      <w:pPr>
        <w:spacing w:before="0" w:after="60" w:line="336" w:lineRule="auto"/>
        <w:ind w:left="510" w:hanging="510"/>
      </w:pPr>
      <w:r>
        <w:rPr>
          <w:rFonts w:ascii="Times New Roman" w:hAnsi="Times New Roman" w:eastAsia="宋体"/>
          <w:b w:val="0"/>
          <w:i w:val="0"/>
          <w:sz w:val="24"/>
        </w:rPr>
        <w:t>8. 已红冲或已作废的发票在详情页顶部橙色提示无法修改关联合同和拆分金额；发票状态与合同已开票金额同步更新</w:t>
      </w:r>
    </w:p>
    <w:p>
      <w:pPr>
        <w:spacing w:before="120" w:after="60" w:line="360" w:lineRule="auto"/>
      </w:pPr>
      <w:r>
        <w:rPr>
          <w:rFonts w:ascii="Times New Roman" w:hAnsi="Times New Roman" w:eastAsia="宋体"/>
          <w:b/>
          <w:i w:val="0"/>
          <w:sz w:val="24"/>
        </w:rPr>
        <w:t>异常分支：</w:t>
      </w:r>
    </w:p>
    <w:tbl>
      <w:tblPr>
        <w:tblStyle w:val="TableGrid"/>
        <w:tblW w:type="auto" w:w="0"/>
        <w:jc w:val="center"/>
        <w:tblLayout w:type="fixed"/>
        <w:tblLook w:firstColumn="1" w:firstRow="1" w:lastColumn="0" w:lastRow="0" w:noHBand="0" w:noVBand="1" w:val="04A0"/>
      </w:tblPr>
      <w:tblGrid>
        <w:gridCol w:w="4479"/>
        <w:gridCol w:w="4479"/>
      </w:tblGrid>
      <w:tr>
        <w:trPr>
          <w:tblHeader w:val="true"/>
        </w:trPr>
        <w:tc>
          <w:tcPr>
            <w:tcW w:type="dxa" w:w="2835"/>
            <w:shd w:val="clear" w:color="auto" w:fill="DCE6F1"/>
          </w:tcPr>
          <w:p>
            <w:pPr>
              <w:spacing w:before="40" w:after="40" w:line="276" w:lineRule="auto"/>
              <w:jc w:val="center"/>
            </w:pPr>
            <w:r/>
            <w:r>
              <w:rPr>
                <w:rFonts w:ascii="Times New Roman" w:hAnsi="Times New Roman" w:eastAsia="黑体"/>
                <w:b/>
                <w:i w:val="0"/>
                <w:sz w:val="21"/>
              </w:rPr>
              <w:t>异常场景</w:t>
            </w:r>
          </w:p>
        </w:tc>
        <w:tc>
          <w:tcPr>
            <w:tcW w:type="dxa" w:w="6236"/>
            <w:shd w:val="clear" w:color="auto" w:fill="DCE6F1"/>
          </w:tcPr>
          <w:p>
            <w:pPr>
              <w:spacing w:before="40" w:after="40" w:line="276" w:lineRule="auto"/>
              <w:jc w:val="center"/>
            </w:pPr>
            <w:r/>
            <w:r>
              <w:rPr>
                <w:rFonts w:ascii="Times New Roman" w:hAnsi="Times New Roman" w:eastAsia="黑体"/>
                <w:b/>
                <w:i w:val="0"/>
                <w:sz w:val="21"/>
              </w:rPr>
              <w:t>系统处理</w:t>
            </w:r>
          </w:p>
        </w:tc>
      </w:tr>
      <w:tr>
        <w:tc>
          <w:tcPr>
            <w:tcW w:type="dxa" w:w="2835"/>
          </w:tcPr>
          <w:p>
            <w:pPr>
              <w:spacing w:before="20" w:after="20" w:line="276" w:lineRule="auto"/>
              <w:ind w:firstLine="0"/>
            </w:pPr>
            <w:r/>
            <w:r>
              <w:rPr>
                <w:rFonts w:ascii="Times New Roman" w:hAnsi="Times New Roman" w:eastAsia="宋体"/>
                <w:b w:val="0"/>
                <w:i w:val="0"/>
                <w:sz w:val="21"/>
              </w:rPr>
              <w:t>OCR 识别失败</w:t>
            </w:r>
          </w:p>
        </w:tc>
        <w:tc>
          <w:tcPr>
            <w:tcW w:type="dxa" w:w="6236"/>
          </w:tcPr>
          <w:p>
            <w:pPr>
              <w:spacing w:before="20" w:after="20" w:line="276" w:lineRule="auto"/>
              <w:ind w:firstLine="0"/>
            </w:pPr>
            <w:r/>
            <w:r>
              <w:rPr>
                <w:rFonts w:ascii="Times New Roman" w:hAnsi="Times New Roman" w:eastAsia="宋体"/>
                <w:b w:val="0"/>
                <w:i w:val="0"/>
                <w:sz w:val="21"/>
              </w:rPr>
              <w:t>列表页提示「OCR 识别失败，请手动填写」，详情页提示「OCR 识别失败，请手动补录」，允许人工录入，不阻止流程</w:t>
            </w:r>
          </w:p>
        </w:tc>
      </w:tr>
      <w:tr>
        <w:tc>
          <w:tcPr>
            <w:tcW w:type="dxa" w:w="2835"/>
          </w:tcPr>
          <w:p>
            <w:pPr>
              <w:spacing w:before="20" w:after="20" w:line="276" w:lineRule="auto"/>
              <w:ind w:firstLine="0"/>
            </w:pPr>
            <w:r/>
            <w:r>
              <w:rPr>
                <w:rFonts w:ascii="Times New Roman" w:hAnsi="Times New Roman" w:eastAsia="宋体"/>
                <w:b w:val="0"/>
                <w:i w:val="0"/>
                <w:sz w:val="21"/>
              </w:rPr>
              <w:t>验真接口调用失败</w:t>
            </w:r>
          </w:p>
        </w:tc>
        <w:tc>
          <w:tcPr>
            <w:tcW w:type="dxa" w:w="6236"/>
          </w:tcPr>
          <w:p>
            <w:pPr>
              <w:spacing w:before="20" w:after="20" w:line="276" w:lineRule="auto"/>
              <w:ind w:firstLine="0"/>
            </w:pPr>
            <w:r/>
            <w:r>
              <w:rPr>
                <w:rFonts w:ascii="Times New Roman" w:hAnsi="Times New Roman" w:eastAsia="宋体"/>
                <w:b w:val="0"/>
                <w:i w:val="0"/>
                <w:sz w:val="21"/>
              </w:rPr>
              <w:t>提示「验真 API 调用失败，请稍后重试」，允许重试</w:t>
            </w:r>
          </w:p>
        </w:tc>
      </w:tr>
      <w:tr>
        <w:tc>
          <w:tcPr>
            <w:tcW w:type="dxa" w:w="2835"/>
          </w:tcPr>
          <w:p>
            <w:pPr>
              <w:spacing w:before="20" w:after="20" w:line="276" w:lineRule="auto"/>
              <w:ind w:firstLine="0"/>
            </w:pPr>
            <w:r/>
            <w:r>
              <w:rPr>
                <w:rFonts w:ascii="Times New Roman" w:hAnsi="Times New Roman" w:eastAsia="宋体"/>
                <w:b w:val="0"/>
                <w:i w:val="0"/>
                <w:sz w:val="21"/>
              </w:rPr>
              <w:t>发票验真不通过</w:t>
            </w:r>
          </w:p>
        </w:tc>
        <w:tc>
          <w:tcPr>
            <w:tcW w:type="dxa" w:w="6236"/>
          </w:tcPr>
          <w:p>
            <w:pPr>
              <w:spacing w:before="20" w:after="20" w:line="276" w:lineRule="auto"/>
              <w:ind w:firstLine="0"/>
            </w:pPr>
            <w:r/>
            <w:r>
              <w:rPr>
                <w:rFonts w:ascii="Times New Roman" w:hAnsi="Times New Roman" w:eastAsia="宋体"/>
                <w:b w:val="0"/>
                <w:i w:val="0"/>
                <w:sz w:val="21"/>
              </w:rPr>
              <w:t>提示「发票验真失败：XXX」，阻止入账</w:t>
            </w:r>
          </w:p>
        </w:tc>
      </w:tr>
      <w:tr>
        <w:tc>
          <w:tcPr>
            <w:tcW w:type="dxa" w:w="2835"/>
          </w:tcPr>
          <w:p>
            <w:pPr>
              <w:spacing w:before="20" w:after="20" w:line="276" w:lineRule="auto"/>
              <w:ind w:firstLine="0"/>
            </w:pPr>
            <w:r/>
            <w:r>
              <w:rPr>
                <w:rFonts w:ascii="Times New Roman" w:hAnsi="Times New Roman" w:eastAsia="宋体"/>
                <w:b w:val="0"/>
                <w:i w:val="0"/>
                <w:sz w:val="21"/>
              </w:rPr>
              <w:t>发票号码重复</w:t>
            </w:r>
          </w:p>
        </w:tc>
        <w:tc>
          <w:tcPr>
            <w:tcW w:type="dxa" w:w="6236"/>
          </w:tcPr>
          <w:p>
            <w:pPr>
              <w:spacing w:before="20" w:after="20" w:line="276" w:lineRule="auto"/>
              <w:ind w:firstLine="0"/>
            </w:pPr>
            <w:r/>
            <w:r>
              <w:rPr>
                <w:rFonts w:ascii="Times New Roman" w:hAnsi="Times New Roman" w:eastAsia="宋体"/>
                <w:b w:val="0"/>
                <w:i w:val="0"/>
                <w:sz w:val="21"/>
              </w:rPr>
              <w:t>提示「发票号码 X 已存在」，阻止录入</w:t>
            </w:r>
          </w:p>
        </w:tc>
      </w:tr>
      <w:tr>
        <w:tc>
          <w:tcPr>
            <w:tcW w:type="dxa" w:w="2835"/>
          </w:tcPr>
          <w:p>
            <w:pPr>
              <w:spacing w:before="20" w:after="20" w:line="276" w:lineRule="auto"/>
              <w:ind w:firstLine="0"/>
            </w:pPr>
            <w:r/>
            <w:r>
              <w:rPr>
                <w:rFonts w:ascii="Times New Roman" w:hAnsi="Times New Roman" w:eastAsia="宋体"/>
                <w:b w:val="0"/>
                <w:i w:val="0"/>
                <w:sz w:val="21"/>
              </w:rPr>
              <w:t>拆分金额之和不等于含税金额，或删除最后一个关联合同</w:t>
            </w:r>
          </w:p>
        </w:tc>
        <w:tc>
          <w:tcPr>
            <w:tcW w:type="dxa" w:w="6236"/>
          </w:tcPr>
          <w:p>
            <w:pPr>
              <w:spacing w:before="20" w:after="20" w:line="276" w:lineRule="auto"/>
              <w:ind w:firstLine="0"/>
            </w:pPr>
            <w:r/>
            <w:r>
              <w:rPr>
                <w:rFonts w:ascii="Times New Roman" w:hAnsi="Times New Roman" w:eastAsia="宋体"/>
                <w:b w:val="0"/>
                <w:i w:val="0"/>
                <w:sz w:val="21"/>
              </w:rPr>
              <w:t>前者顶部右侧显示红字「差额 ¥X.XX」并阻止保存，后者提示「发票必须至少关联一个合同」并阻止删除</w:t>
            </w:r>
          </w:p>
        </w:tc>
      </w:tr>
      <w:tr>
        <w:tc>
          <w:tcPr>
            <w:tcW w:type="dxa" w:w="2835"/>
          </w:tcPr>
          <w:p>
            <w:pPr>
              <w:spacing w:before="20" w:after="20" w:line="276" w:lineRule="auto"/>
              <w:ind w:firstLine="0"/>
            </w:pPr>
            <w:r/>
            <w:r>
              <w:rPr>
                <w:rFonts w:ascii="Times New Roman" w:hAnsi="Times New Roman" w:eastAsia="宋体"/>
                <w:b w:val="0"/>
                <w:i w:val="0"/>
                <w:sz w:val="21"/>
              </w:rPr>
              <w:t>对已红冲、已作废或已删除的发票再次操作或编辑</w:t>
            </w:r>
          </w:p>
        </w:tc>
        <w:tc>
          <w:tcPr>
            <w:tcW w:type="dxa" w:w="6236"/>
          </w:tcPr>
          <w:p>
            <w:pPr>
              <w:spacing w:before="20" w:after="20" w:line="276" w:lineRule="auto"/>
              <w:ind w:firstLine="0"/>
            </w:pPr>
            <w:r/>
            <w:r>
              <w:rPr>
                <w:rFonts w:ascii="Times New Roman" w:hAnsi="Times New Roman" w:eastAsia="宋体"/>
                <w:b w:val="0"/>
                <w:i w:val="0"/>
                <w:sz w:val="21"/>
              </w:rPr>
              <w:t>分别提示「该发票状态不支持红冲」「该发票已作废或已红冲」，并在详情页顶部橙色提示「该发票已红冲/作废，无法修改关联合同和拆分金额」</w:t>
            </w:r>
          </w:p>
        </w:tc>
      </w:tr>
    </w:tbl>
    <w:p>
      <w:pPr>
        <w:spacing w:before="0" w:after="0" w:line="240" w:lineRule="auto"/>
      </w:pPr>
    </w:p>
    <w:p>
      <w:pPr>
        <w:spacing w:before="120" w:after="60"/>
        <w:ind w:firstLine="0"/>
        <w:jc w:val="center"/>
      </w:pPr>
      <w:r>
        <w:drawing>
          <wp:inline xmlns:a="http://schemas.openxmlformats.org/drawingml/2006/main" xmlns:pic="http://schemas.openxmlformats.org/drawingml/2006/picture">
            <wp:extent cx="5616000" cy="3334500"/>
            <wp:docPr id="32" name="Picture 32"/>
            <wp:cNvGraphicFramePr>
              <a:graphicFrameLocks noChangeAspect="1"/>
            </wp:cNvGraphicFramePr>
            <a:graphic>
              <a:graphicData uri="http://schemas.openxmlformats.org/drawingml/2006/picture">
                <pic:pic>
                  <pic:nvPicPr>
                    <pic:cNvPr id="0" name="invoice.png"/>
                    <pic:cNvPicPr/>
                  </pic:nvPicPr>
                  <pic:blipFill>
                    <a:blip r:embed="rId42"/>
                    <a:stretch>
                      <a:fillRect/>
                    </a:stretch>
                  </pic:blipFill>
                  <pic:spPr>
                    <a:xfrm>
                      <a:off x="0" y="0"/>
                      <a:ext cx="5616000" cy="3334500"/>
                    </a:xfrm>
                    <a:prstGeom prst="rect"/>
                  </pic:spPr>
                </pic:pic>
              </a:graphicData>
            </a:graphic>
          </wp:inline>
        </w:drawing>
      </w:r>
    </w:p>
    <w:p>
      <w:pPr>
        <w:spacing w:before="0" w:after="200" w:line="240" w:lineRule="auto"/>
        <w:ind w:firstLine="0"/>
        <w:jc w:val="center"/>
      </w:pPr>
      <w:r>
        <w:rPr>
          <w:rFonts w:ascii="Times New Roman" w:hAnsi="Times New Roman" w:eastAsia="宋体"/>
          <w:b w:val="0"/>
          <w:i w:val="0"/>
          <w:sz w:val="21"/>
        </w:rPr>
        <w:t>图 4-16-2　发票管理 原型页面</w:t>
      </w:r>
    </w:p>
    <w:p>
      <w:pPr>
        <w:spacing w:before="80" w:after="60" w:line="360" w:lineRule="auto"/>
      </w:pPr>
      <w:r>
        <w:rPr>
          <w:rFonts w:ascii="Times New Roman" w:hAnsi="Times New Roman" w:eastAsia="宋体"/>
          <w:b/>
          <w:i w:val="0"/>
          <w:sz w:val="24"/>
        </w:rPr>
        <w:t>页面级说明：</w:t>
      </w: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tblGrid>
      <w:tr>
        <w:trPr>
          <w:tblHeader w:val="true"/>
        </w:trPr>
        <w:tc>
          <w:tcPr>
            <w:tcW w:type="dxa" w:w="1178"/>
            <w:shd w:val="clear" w:color="auto" w:fill="DCE6F1"/>
          </w:tcPr>
          <w:p>
            <w:pPr>
              <w:spacing w:before="40" w:after="40" w:line="276" w:lineRule="auto"/>
              <w:jc w:val="center"/>
            </w:pPr>
            <w:r/>
            <w:r>
              <w:rPr>
                <w:rFonts w:ascii="Times New Roman" w:hAnsi="Times New Roman" w:eastAsia="黑体"/>
                <w:b/>
                <w:i w:val="0"/>
                <w:sz w:val="19"/>
              </w:rPr>
              <w:t>页面</w:t>
            </w:r>
          </w:p>
        </w:tc>
        <w:tc>
          <w:tcPr>
            <w:tcW w:type="dxa" w:w="1531"/>
            <w:shd w:val="clear" w:color="auto" w:fill="DCE6F1"/>
          </w:tcPr>
          <w:p>
            <w:pPr>
              <w:spacing w:before="40" w:after="40" w:line="276" w:lineRule="auto"/>
              <w:jc w:val="center"/>
            </w:pPr>
            <w:r/>
            <w:r>
              <w:rPr>
                <w:rFonts w:ascii="Times New Roman" w:hAnsi="Times New Roman" w:eastAsia="黑体"/>
                <w:b/>
                <w:i w:val="0"/>
                <w:sz w:val="19"/>
              </w:rPr>
              <w:t>原型文件</w:t>
            </w:r>
          </w:p>
        </w:tc>
        <w:tc>
          <w:tcPr>
            <w:tcW w:type="dxa" w:w="1119"/>
            <w:shd w:val="clear" w:color="auto" w:fill="DCE6F1"/>
          </w:tcPr>
          <w:p>
            <w:pPr>
              <w:spacing w:before="40" w:after="40" w:line="276" w:lineRule="auto"/>
              <w:jc w:val="center"/>
            </w:pPr>
            <w:r/>
            <w:r>
              <w:rPr>
                <w:rFonts w:ascii="Times New Roman" w:hAnsi="Times New Roman" w:eastAsia="黑体"/>
                <w:b/>
                <w:i w:val="0"/>
                <w:sz w:val="19"/>
              </w:rPr>
              <w:t>进入方式</w:t>
            </w:r>
          </w:p>
        </w:tc>
        <w:tc>
          <w:tcPr>
            <w:tcW w:type="dxa" w:w="2062"/>
            <w:shd w:val="clear" w:color="auto" w:fill="DCE6F1"/>
          </w:tcPr>
          <w:p>
            <w:pPr>
              <w:spacing w:before="40" w:after="40" w:line="276" w:lineRule="auto"/>
              <w:jc w:val="center"/>
            </w:pPr>
            <w:r/>
            <w:r>
              <w:rPr>
                <w:rFonts w:ascii="Times New Roman" w:hAnsi="Times New Roman" w:eastAsia="黑体"/>
                <w:b/>
                <w:i w:val="0"/>
                <w:sz w:val="19"/>
              </w:rPr>
              <w:t>关键区块</w:t>
            </w:r>
          </w:p>
        </w:tc>
        <w:tc>
          <w:tcPr>
            <w:tcW w:type="dxa" w:w="1767"/>
            <w:shd w:val="clear" w:color="auto" w:fill="DCE6F1"/>
          </w:tcPr>
          <w:p>
            <w:pPr>
              <w:spacing w:before="40" w:after="40" w:line="276" w:lineRule="auto"/>
              <w:jc w:val="center"/>
            </w:pPr>
            <w:r/>
            <w:r>
              <w:rPr>
                <w:rFonts w:ascii="Times New Roman" w:hAnsi="Times New Roman" w:eastAsia="黑体"/>
                <w:b/>
                <w:i w:val="0"/>
                <w:sz w:val="19"/>
              </w:rPr>
              <w:t>主要按钮与行为</w:t>
            </w:r>
          </w:p>
        </w:tc>
        <w:tc>
          <w:tcPr>
            <w:tcW w:type="dxa" w:w="1414"/>
            <w:shd w:val="clear" w:color="auto" w:fill="DCE6F1"/>
          </w:tcPr>
          <w:p>
            <w:pPr>
              <w:spacing w:before="40" w:after="40" w:line="276" w:lineRule="auto"/>
              <w:jc w:val="center"/>
            </w:pPr>
            <w:r/>
            <w:r>
              <w:rPr>
                <w:rFonts w:ascii="Times New Roman" w:hAnsi="Times New Roman" w:eastAsia="黑体"/>
                <w:b/>
                <w:i w:val="0"/>
                <w:sz w:val="19"/>
              </w:rPr>
              <w:t>跳转去向</w:t>
            </w:r>
          </w:p>
        </w:tc>
      </w:tr>
      <w:tr>
        <w:tc>
          <w:tcPr>
            <w:tcW w:type="dxa" w:w="1178"/>
          </w:tcPr>
          <w:p>
            <w:pPr>
              <w:spacing w:before="20" w:after="20" w:line="276" w:lineRule="auto"/>
              <w:ind w:firstLine="0"/>
            </w:pPr>
            <w:r/>
            <w:r>
              <w:rPr>
                <w:rFonts w:ascii="Times New Roman" w:hAnsi="Times New Roman" w:eastAsia="宋体"/>
                <w:b w:val="0"/>
                <w:i w:val="0"/>
                <w:sz w:val="19"/>
              </w:rPr>
              <w:t>进项发票（列表）</w:t>
            </w:r>
          </w:p>
        </w:tc>
        <w:tc>
          <w:tcPr>
            <w:tcW w:type="dxa" w:w="1531"/>
          </w:tcPr>
          <w:p>
            <w:pPr>
              <w:spacing w:before="20" w:after="20" w:line="276" w:lineRule="auto"/>
              <w:ind w:firstLine="0"/>
            </w:pPr>
            <w:r/>
            <w:r>
              <w:rPr>
                <w:rFonts w:ascii="Times New Roman" w:hAnsi="Times New Roman" w:eastAsia="宋体"/>
                <w:b w:val="0"/>
                <w:i w:val="0"/>
                <w:sz w:val="19"/>
              </w:rPr>
              <w:t>invoice.html</w:t>
            </w:r>
          </w:p>
        </w:tc>
        <w:tc>
          <w:tcPr>
            <w:tcW w:type="dxa" w:w="1119"/>
          </w:tcPr>
          <w:p>
            <w:pPr>
              <w:spacing w:before="20" w:after="20" w:line="276" w:lineRule="auto"/>
              <w:ind w:firstLine="0"/>
            </w:pPr>
            <w:r/>
            <w:r>
              <w:rPr>
                <w:rFonts w:ascii="Times New Roman" w:hAnsi="Times New Roman" w:eastAsia="宋体"/>
                <w:b w:val="0"/>
                <w:i w:val="0"/>
                <w:sz w:val="19"/>
              </w:rPr>
              <w:t>数字供应链 / 发票管理</w:t>
            </w:r>
          </w:p>
        </w:tc>
        <w:tc>
          <w:tcPr>
            <w:tcW w:type="dxa" w:w="2062"/>
          </w:tcPr>
          <w:p>
            <w:pPr>
              <w:spacing w:before="20" w:after="20" w:line="276" w:lineRule="auto"/>
              <w:ind w:firstLine="0"/>
            </w:pPr>
            <w:r/>
            <w:r>
              <w:rPr>
                <w:rFonts w:ascii="Times New Roman" w:hAnsi="Times New Roman" w:eastAsia="宋体"/>
                <w:b w:val="0"/>
                <w:i w:val="0"/>
                <w:sz w:val="19"/>
              </w:rPr>
              <w:t>标题与右侧按钮区 + 筛选区（编号、销售方、购买方、开票日期、发票代码、发票号码、是否含附件、状态）+ 发票表格（含状态为正常、红冲、作废、已删除）</w:t>
            </w:r>
          </w:p>
        </w:tc>
        <w:tc>
          <w:tcPr>
            <w:tcW w:type="dxa" w:w="1767"/>
          </w:tcPr>
          <w:p>
            <w:pPr>
              <w:spacing w:before="20" w:after="20" w:line="276" w:lineRule="auto"/>
              <w:ind w:firstLine="0"/>
            </w:pPr>
            <w:r/>
            <w:r>
              <w:rPr>
                <w:rFonts w:ascii="Times New Roman" w:hAnsi="Times New Roman" w:eastAsia="宋体"/>
                <w:b w:val="0"/>
                <w:i w:val="0"/>
                <w:sz w:val="19"/>
              </w:rPr>
              <w:t>Excel 导出 / 新增发票 / 筛选查询 / 重置 / 清除全部筛选 / 行内验真、红冲、作废、删除</w:t>
            </w:r>
          </w:p>
        </w:tc>
        <w:tc>
          <w:tcPr>
            <w:tcW w:type="dxa" w:w="1414"/>
          </w:tcPr>
          <w:p>
            <w:pPr>
              <w:spacing w:before="20" w:after="20" w:line="276" w:lineRule="auto"/>
              <w:ind w:firstLine="0"/>
            </w:pPr>
            <w:r/>
            <w:r>
              <w:rPr>
                <w:rFonts w:ascii="Times New Roman" w:hAnsi="Times New Roman" w:eastAsia="宋体"/>
                <w:b w:val="0"/>
                <w:i w:val="0"/>
                <w:sz w:val="19"/>
              </w:rPr>
              <w:t>行内详情跳转到进项发票详情页 invoice-detail.html；新增发票进入录入通道选择</w:t>
            </w:r>
          </w:p>
        </w:tc>
      </w:tr>
      <w:tr>
        <w:tc>
          <w:tcPr>
            <w:tcW w:type="dxa" w:w="1178"/>
          </w:tcPr>
          <w:p>
            <w:pPr>
              <w:spacing w:before="20" w:after="20" w:line="276" w:lineRule="auto"/>
              <w:ind w:firstLine="0"/>
            </w:pPr>
            <w:r/>
            <w:r>
              <w:rPr>
                <w:rFonts w:ascii="Times New Roman" w:hAnsi="Times New Roman" w:eastAsia="宋体"/>
                <w:b w:val="0"/>
                <w:i w:val="0"/>
                <w:sz w:val="19"/>
              </w:rPr>
              <w:t>进项发票详情</w:t>
            </w:r>
          </w:p>
        </w:tc>
        <w:tc>
          <w:tcPr>
            <w:tcW w:type="dxa" w:w="1531"/>
          </w:tcPr>
          <w:p>
            <w:pPr>
              <w:spacing w:before="20" w:after="20" w:line="276" w:lineRule="auto"/>
              <w:ind w:firstLine="0"/>
            </w:pPr>
            <w:r/>
            <w:r>
              <w:rPr>
                <w:rFonts w:ascii="Times New Roman" w:hAnsi="Times New Roman" w:eastAsia="宋体"/>
                <w:b w:val="0"/>
                <w:i w:val="0"/>
                <w:sz w:val="19"/>
              </w:rPr>
              <w:t>invoice-detail.html</w:t>
            </w:r>
          </w:p>
        </w:tc>
        <w:tc>
          <w:tcPr>
            <w:tcW w:type="dxa" w:w="1119"/>
          </w:tcPr>
          <w:p>
            <w:pPr>
              <w:spacing w:before="20" w:after="20" w:line="276" w:lineRule="auto"/>
              <w:ind w:firstLine="0"/>
            </w:pPr>
            <w:r/>
            <w:r>
              <w:rPr>
                <w:rFonts w:ascii="Times New Roman" w:hAnsi="Times New Roman" w:eastAsia="宋体"/>
                <w:b w:val="0"/>
                <w:i w:val="0"/>
                <w:sz w:val="19"/>
              </w:rPr>
              <w:t>进项发票列表行内「详情」</w:t>
            </w:r>
          </w:p>
        </w:tc>
        <w:tc>
          <w:tcPr>
            <w:tcW w:type="dxa" w:w="2062"/>
          </w:tcPr>
          <w:p>
            <w:pPr>
              <w:spacing w:before="20" w:after="20" w:line="276" w:lineRule="auto"/>
              <w:ind w:firstLine="0"/>
            </w:pPr>
            <w:r/>
            <w:r>
              <w:rPr>
                <w:rFonts w:ascii="Times New Roman" w:hAnsi="Times New Roman" w:eastAsia="宋体"/>
                <w:b w:val="0"/>
                <w:i w:val="0"/>
                <w:sz w:val="19"/>
              </w:rPr>
              <w:t>发票与合同关联信息（含拆分金额与顶部右侧差额）+ 发票附件 + 原发票 OCR 信息</w:t>
            </w:r>
          </w:p>
        </w:tc>
        <w:tc>
          <w:tcPr>
            <w:tcW w:type="dxa" w:w="1767"/>
          </w:tcPr>
          <w:p>
            <w:pPr>
              <w:spacing w:before="20" w:after="20" w:line="276" w:lineRule="auto"/>
              <w:ind w:firstLine="0"/>
            </w:pPr>
            <w:r/>
            <w:r>
              <w:rPr>
                <w:rFonts w:ascii="Times New Roman" w:hAnsi="Times New Roman" w:eastAsia="宋体"/>
                <w:b w:val="0"/>
                <w:i w:val="0"/>
                <w:sz w:val="19"/>
              </w:rPr>
              <w:t>查看 / 重新上传受限（进项详情只读，不提供业务变更按钮）</w:t>
            </w:r>
          </w:p>
        </w:tc>
        <w:tc>
          <w:tcPr>
            <w:tcW w:type="dxa" w:w="1414"/>
          </w:tcPr>
          <w:p>
            <w:pPr>
              <w:spacing w:before="20" w:after="20" w:line="276" w:lineRule="auto"/>
              <w:ind w:firstLine="0"/>
            </w:pPr>
            <w:r/>
            <w:r>
              <w:rPr>
                <w:rFonts w:ascii="Times New Roman" w:hAnsi="Times New Roman" w:eastAsia="宋体"/>
                <w:b w:val="0"/>
                <w:i w:val="0"/>
                <w:sz w:val="19"/>
              </w:rPr>
              <w:t>关联合同可跳转合同详情；进项发票的更正通过上传进项发票入口重新发起</w:t>
            </w:r>
          </w:p>
        </w:tc>
      </w:tr>
      <w:tr>
        <w:tc>
          <w:tcPr>
            <w:tcW w:type="dxa" w:w="1178"/>
          </w:tcPr>
          <w:p>
            <w:pPr>
              <w:spacing w:before="20" w:after="20" w:line="276" w:lineRule="auto"/>
              <w:ind w:firstLine="0"/>
            </w:pPr>
            <w:r/>
            <w:r>
              <w:rPr>
                <w:rFonts w:ascii="Times New Roman" w:hAnsi="Times New Roman" w:eastAsia="宋体"/>
                <w:b w:val="0"/>
                <w:i w:val="0"/>
                <w:sz w:val="19"/>
              </w:rPr>
              <w:t>销项发票（列表）</w:t>
            </w:r>
          </w:p>
        </w:tc>
        <w:tc>
          <w:tcPr>
            <w:tcW w:type="dxa" w:w="1531"/>
          </w:tcPr>
          <w:p>
            <w:pPr>
              <w:spacing w:before="20" w:after="20" w:line="276" w:lineRule="auto"/>
              <w:ind w:firstLine="0"/>
            </w:pPr>
            <w:r/>
            <w:r>
              <w:rPr>
                <w:rFonts w:ascii="Times New Roman" w:hAnsi="Times New Roman" w:eastAsia="宋体"/>
                <w:b w:val="0"/>
                <w:i w:val="0"/>
                <w:sz w:val="19"/>
              </w:rPr>
              <w:t>invoice-out.html</w:t>
            </w:r>
          </w:p>
        </w:tc>
        <w:tc>
          <w:tcPr>
            <w:tcW w:type="dxa" w:w="1119"/>
          </w:tcPr>
          <w:p>
            <w:pPr>
              <w:spacing w:before="20" w:after="20" w:line="276" w:lineRule="auto"/>
              <w:ind w:firstLine="0"/>
            </w:pPr>
            <w:r/>
            <w:r>
              <w:rPr>
                <w:rFonts w:ascii="Times New Roman" w:hAnsi="Times New Roman" w:eastAsia="宋体"/>
                <w:b w:val="0"/>
                <w:i w:val="0"/>
                <w:sz w:val="19"/>
              </w:rPr>
              <w:t>数字供应链 / 发票管理 / 销项发票</w:t>
            </w:r>
          </w:p>
        </w:tc>
        <w:tc>
          <w:tcPr>
            <w:tcW w:type="dxa" w:w="2062"/>
          </w:tcPr>
          <w:p>
            <w:pPr>
              <w:spacing w:before="20" w:after="20" w:line="276" w:lineRule="auto"/>
              <w:ind w:firstLine="0"/>
            </w:pPr>
            <w:r/>
            <w:r>
              <w:rPr>
                <w:rFonts w:ascii="Times New Roman" w:hAnsi="Times New Roman" w:eastAsia="宋体"/>
                <w:b w:val="0"/>
                <w:i w:val="0"/>
                <w:sz w:val="19"/>
              </w:rPr>
              <w:t>标题与右侧按钮区 + 筛选区 + 14 列发票表格（发票代码、发票号码、开票日期、销售方、购买方、不含税、税额、含税、价税合计、关联合同数、关联业务线、状态、是否含附件、操作）</w:t>
            </w:r>
          </w:p>
        </w:tc>
        <w:tc>
          <w:tcPr>
            <w:tcW w:type="dxa" w:w="1767"/>
          </w:tcPr>
          <w:p>
            <w:pPr>
              <w:spacing w:before="20" w:after="20" w:line="276" w:lineRule="auto"/>
              <w:ind w:firstLine="0"/>
            </w:pPr>
            <w:r/>
            <w:r>
              <w:rPr>
                <w:rFonts w:ascii="Times New Roman" w:hAnsi="Times New Roman" w:eastAsia="宋体"/>
                <w:b w:val="0"/>
                <w:i w:val="0"/>
                <w:sz w:val="19"/>
              </w:rPr>
              <w:t>Excel 导出 / 新增发票 / 筛选查询 / 重置 / 清除全部筛选 / 行内红冲、作废、删除</w:t>
            </w:r>
          </w:p>
        </w:tc>
        <w:tc>
          <w:tcPr>
            <w:tcW w:type="dxa" w:w="1414"/>
          </w:tcPr>
          <w:p>
            <w:pPr>
              <w:spacing w:before="20" w:after="20" w:line="276" w:lineRule="auto"/>
              <w:ind w:firstLine="0"/>
            </w:pPr>
            <w:r/>
            <w:r>
              <w:rPr>
                <w:rFonts w:ascii="Times New Roman" w:hAnsi="Times New Roman" w:eastAsia="宋体"/>
                <w:b w:val="0"/>
                <w:i w:val="0"/>
                <w:sz w:val="19"/>
              </w:rPr>
              <w:t>行内详情跳转到销项发票详情页 invoice-out-detail.html</w:t>
            </w:r>
          </w:p>
        </w:tc>
      </w:tr>
      <w:tr>
        <w:tc>
          <w:tcPr>
            <w:tcW w:type="dxa" w:w="1178"/>
          </w:tcPr>
          <w:p>
            <w:pPr>
              <w:spacing w:before="20" w:after="20" w:line="276" w:lineRule="auto"/>
              <w:ind w:firstLine="0"/>
            </w:pPr>
            <w:r/>
            <w:r>
              <w:rPr>
                <w:rFonts w:ascii="Times New Roman" w:hAnsi="Times New Roman" w:eastAsia="宋体"/>
                <w:b w:val="0"/>
                <w:i w:val="0"/>
                <w:sz w:val="19"/>
              </w:rPr>
              <w:t>销项发票详情</w:t>
            </w:r>
          </w:p>
        </w:tc>
        <w:tc>
          <w:tcPr>
            <w:tcW w:type="dxa" w:w="1531"/>
          </w:tcPr>
          <w:p>
            <w:pPr>
              <w:spacing w:before="20" w:after="20" w:line="276" w:lineRule="auto"/>
              <w:ind w:firstLine="0"/>
            </w:pPr>
            <w:r/>
            <w:r>
              <w:rPr>
                <w:rFonts w:ascii="Times New Roman" w:hAnsi="Times New Roman" w:eastAsia="宋体"/>
                <w:b w:val="0"/>
                <w:i w:val="0"/>
                <w:sz w:val="19"/>
              </w:rPr>
              <w:t>invoice-out-detail.html</w:t>
            </w:r>
          </w:p>
        </w:tc>
        <w:tc>
          <w:tcPr>
            <w:tcW w:type="dxa" w:w="1119"/>
          </w:tcPr>
          <w:p>
            <w:pPr>
              <w:spacing w:before="20" w:after="20" w:line="276" w:lineRule="auto"/>
              <w:ind w:firstLine="0"/>
            </w:pPr>
            <w:r/>
            <w:r>
              <w:rPr>
                <w:rFonts w:ascii="Times New Roman" w:hAnsi="Times New Roman" w:eastAsia="宋体"/>
                <w:b w:val="0"/>
                <w:i w:val="0"/>
                <w:sz w:val="19"/>
              </w:rPr>
              <w:t>销项发票列表行内「详情」</w:t>
            </w:r>
          </w:p>
        </w:tc>
        <w:tc>
          <w:tcPr>
            <w:tcW w:type="dxa" w:w="2062"/>
          </w:tcPr>
          <w:p>
            <w:pPr>
              <w:spacing w:before="20" w:after="20" w:line="276" w:lineRule="auto"/>
              <w:ind w:firstLine="0"/>
            </w:pPr>
            <w:r/>
            <w:r>
              <w:rPr>
                <w:rFonts w:ascii="Times New Roman" w:hAnsi="Times New Roman" w:eastAsia="宋体"/>
                <w:b w:val="0"/>
                <w:i w:val="0"/>
                <w:sz w:val="19"/>
              </w:rPr>
              <w:t>发票与合同关联信息（拆分金额含税可编辑，顶部右侧显示差额）+ 发票附件 + 原发票 OCR 信息</w:t>
            </w:r>
          </w:p>
        </w:tc>
        <w:tc>
          <w:tcPr>
            <w:tcW w:type="dxa" w:w="1767"/>
          </w:tcPr>
          <w:p>
            <w:pPr>
              <w:spacing w:before="20" w:after="20" w:line="276" w:lineRule="auto"/>
              <w:ind w:firstLine="0"/>
            </w:pPr>
            <w:r/>
            <w:r>
              <w:rPr>
                <w:rFonts w:ascii="Times New Roman" w:hAnsi="Times New Roman" w:eastAsia="宋体"/>
                <w:b w:val="0"/>
                <w:i w:val="0"/>
                <w:sz w:val="19"/>
              </w:rPr>
              <w:t>保存 / 取消 / 查询 / 确定 / 重置 / 重新上传</w:t>
            </w:r>
          </w:p>
        </w:tc>
        <w:tc>
          <w:tcPr>
            <w:tcW w:type="dxa" w:w="1414"/>
          </w:tcPr>
          <w:p>
            <w:pPr>
              <w:spacing w:before="20" w:after="20" w:line="276" w:lineRule="auto"/>
              <w:ind w:firstLine="0"/>
            </w:pPr>
            <w:r/>
            <w:r>
              <w:rPr>
                <w:rFonts w:ascii="Times New Roman" w:hAnsi="Times New Roman" w:eastAsia="宋体"/>
                <w:b w:val="0"/>
                <w:i w:val="0"/>
                <w:sz w:val="19"/>
              </w:rPr>
              <w:t>可跳转关联合同；保存后回写合同已开票金额</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4.16.8　验收标准与待确认项</w:t>
      </w:r>
    </w:p>
    <w:tbl>
      <w:tblPr>
        <w:tblStyle w:val="TableGrid"/>
        <w:tblW w:type="auto" w:w="0"/>
        <w:jc w:val="center"/>
        <w:tblLayout w:type="fixed"/>
        <w:tblLook w:firstColumn="1" w:firstRow="1" w:lastColumn="0" w:lastRow="0" w:noHBand="0" w:noVBand="1" w:val="04A0"/>
      </w:tblPr>
      <w:tblGrid>
        <w:gridCol w:w="4479"/>
        <w:gridCol w:w="4479"/>
      </w:tblGrid>
      <w:tr>
        <w:trPr>
          <w:tblHeader w:val="true"/>
        </w:trPr>
        <w:tc>
          <w:tcPr>
            <w:tcW w:type="dxa" w:w="1701"/>
            <w:shd w:val="clear" w:color="auto" w:fill="DCE6F1"/>
          </w:tcPr>
          <w:p>
            <w:pPr>
              <w:spacing w:before="40" w:after="40" w:line="276" w:lineRule="auto"/>
              <w:jc w:val="center"/>
            </w:pPr>
            <w:r/>
            <w:r>
              <w:rPr>
                <w:rFonts w:ascii="Times New Roman" w:hAnsi="Times New Roman" w:eastAsia="黑体"/>
                <w:b/>
                <w:i w:val="0"/>
                <w:sz w:val="21"/>
              </w:rPr>
              <w:t>功能</w:t>
            </w:r>
          </w:p>
        </w:tc>
        <w:tc>
          <w:tcPr>
            <w:tcW w:type="dxa" w:w="7370"/>
            <w:shd w:val="clear" w:color="auto" w:fill="DCE6F1"/>
          </w:tcPr>
          <w:p>
            <w:pPr>
              <w:spacing w:before="40" w:after="40" w:line="276" w:lineRule="auto"/>
              <w:jc w:val="center"/>
            </w:pPr>
            <w:r/>
            <w:r>
              <w:rPr>
                <w:rFonts w:ascii="Times New Roman" w:hAnsi="Times New Roman" w:eastAsia="黑体"/>
                <w:b/>
                <w:i w:val="0"/>
                <w:sz w:val="21"/>
              </w:rPr>
              <w:t>验收要点（由关键规则转写）</w:t>
            </w:r>
          </w:p>
        </w:tc>
      </w:tr>
      <w:tr>
        <w:tc>
          <w:tcPr>
            <w:tcW w:type="dxa" w:w="1701"/>
          </w:tcPr>
          <w:p>
            <w:pPr>
              <w:spacing w:before="20" w:after="20" w:line="276" w:lineRule="auto"/>
              <w:ind w:firstLine="0"/>
            </w:pPr>
            <w:r/>
            <w:r>
              <w:rPr>
                <w:rFonts w:ascii="Times New Roman" w:hAnsi="Times New Roman" w:eastAsia="宋体"/>
                <w:b w:val="0"/>
                <w:i w:val="0"/>
                <w:sz w:val="21"/>
              </w:rPr>
              <w:t>发票录入入口与通道选择</w:t>
            </w:r>
          </w:p>
        </w:tc>
        <w:tc>
          <w:tcPr>
            <w:tcW w:type="dxa" w:w="7370"/>
          </w:tcPr>
          <w:p>
            <w:pPr>
              <w:spacing w:before="20" w:after="20" w:line="276" w:lineRule="auto"/>
              <w:ind w:firstLine="0"/>
            </w:pPr>
            <w:r/>
            <w:r>
              <w:rPr>
                <w:rFonts w:ascii="Times New Roman" w:hAnsi="Times New Roman" w:eastAsia="宋体"/>
                <w:b w:val="0"/>
                <w:i w:val="0"/>
                <w:sz w:val="21"/>
              </w:rPr>
              <w:t>第一步必须先在进项与销项之间二选一；第二步在图片上传与 Excel 导入之间二选一；Excel 导入需先下载对应模板，模板的列顺序、示例行与校验规则尚无定义</w:t>
            </w:r>
          </w:p>
        </w:tc>
      </w:tr>
      <w:tr>
        <w:tc>
          <w:tcPr>
            <w:tcW w:type="dxa" w:w="1701"/>
          </w:tcPr>
          <w:p>
            <w:pPr>
              <w:spacing w:before="20" w:after="20" w:line="276" w:lineRule="auto"/>
              <w:ind w:firstLine="0"/>
            </w:pPr>
            <w:r/>
            <w:r>
              <w:rPr>
                <w:rFonts w:ascii="Times New Roman" w:hAnsi="Times New Roman" w:eastAsia="宋体"/>
                <w:b w:val="0"/>
                <w:i w:val="0"/>
                <w:sz w:val="21"/>
              </w:rPr>
              <w:t>图片上传与 OCR 识别</w:t>
            </w:r>
          </w:p>
        </w:tc>
        <w:tc>
          <w:tcPr>
            <w:tcW w:type="dxa" w:w="7370"/>
          </w:tcPr>
          <w:p>
            <w:pPr>
              <w:spacing w:before="20" w:after="20" w:line="276" w:lineRule="auto"/>
              <w:ind w:firstLine="0"/>
            </w:pPr>
            <w:r/>
            <w:r>
              <w:rPr>
                <w:rFonts w:ascii="Times New Roman" w:hAnsi="Times New Roman" w:eastAsia="宋体"/>
                <w:b w:val="0"/>
                <w:i w:val="0"/>
                <w:sz w:val="21"/>
              </w:rPr>
              <w:t>OCR 识别 9 个字段：发票代码、发票号码、开票日期、销售方与购买方名称、不含税金额、税率、税额、含税金额、价税合计大写；识别失败时降级为手动录入，提示「OCR 识别失败，请手动填写」，详情页区块提示「OCR 识别失败，请手动补录」；业务员可逐项调整识别结果</w:t>
            </w:r>
          </w:p>
        </w:tc>
      </w:tr>
      <w:tr>
        <w:tc>
          <w:tcPr>
            <w:tcW w:type="dxa" w:w="1701"/>
          </w:tcPr>
          <w:p>
            <w:pPr>
              <w:spacing w:before="20" w:after="20" w:line="276" w:lineRule="auto"/>
              <w:ind w:firstLine="0"/>
            </w:pPr>
            <w:r/>
            <w:r>
              <w:rPr>
                <w:rFonts w:ascii="Times New Roman" w:hAnsi="Times New Roman" w:eastAsia="宋体"/>
                <w:b w:val="0"/>
                <w:i w:val="0"/>
                <w:sz w:val="21"/>
              </w:rPr>
              <w:t>Excel 导入</w:t>
            </w:r>
          </w:p>
        </w:tc>
        <w:tc>
          <w:tcPr>
            <w:tcW w:type="dxa" w:w="7370"/>
          </w:tcPr>
          <w:p>
            <w:pPr>
              <w:spacing w:before="20" w:after="20" w:line="276" w:lineRule="auto"/>
              <w:ind w:firstLine="0"/>
            </w:pPr>
            <w:r/>
            <w:r>
              <w:rPr>
                <w:rFonts w:ascii="Times New Roman" w:hAnsi="Times New Roman" w:eastAsia="宋体"/>
                <w:b w:val="0"/>
                <w:i w:val="0"/>
                <w:sz w:val="21"/>
              </w:rPr>
              <w:t>7 个录入字段为发票代码、发票号码、开票日期、发票金额、报税合计、发票拆分金额（含税）、合同编号；除发票拆分金额在存在多合同拆分时必填外，其余字段均为必填</w:t>
            </w:r>
          </w:p>
        </w:tc>
      </w:tr>
      <w:tr>
        <w:tc>
          <w:tcPr>
            <w:tcW w:type="dxa" w:w="1701"/>
          </w:tcPr>
          <w:p>
            <w:pPr>
              <w:spacing w:before="20" w:after="20" w:line="276" w:lineRule="auto"/>
              <w:ind w:firstLine="0"/>
            </w:pPr>
            <w:r/>
            <w:r>
              <w:rPr>
                <w:rFonts w:ascii="Times New Roman" w:hAnsi="Times New Roman" w:eastAsia="宋体"/>
                <w:b w:val="0"/>
                <w:i w:val="0"/>
                <w:sz w:val="21"/>
              </w:rPr>
              <w:t>税务验真</w:t>
            </w:r>
          </w:p>
        </w:tc>
        <w:tc>
          <w:tcPr>
            <w:tcW w:type="dxa" w:w="7370"/>
          </w:tcPr>
          <w:p>
            <w:pPr>
              <w:spacing w:before="20" w:after="20" w:line="276" w:lineRule="auto"/>
              <w:ind w:firstLine="0"/>
            </w:pPr>
            <w:r/>
            <w:r>
              <w:rPr>
                <w:rFonts w:ascii="Times New Roman" w:hAnsi="Times New Roman" w:eastAsia="宋体"/>
                <w:b w:val="0"/>
                <w:i w:val="0"/>
                <w:sz w:val="21"/>
              </w:rPr>
              <w:t>验真通过后发票进入正常态并可入账；验真失败提示「发票验真失败：XXX」并阻止入账；接口调用失败提示「验真 API 调用失败，请稍后重试」并允许重试</w:t>
            </w:r>
          </w:p>
        </w:tc>
      </w:tr>
      <w:tr>
        <w:tc>
          <w:tcPr>
            <w:tcW w:type="dxa" w:w="1701"/>
          </w:tcPr>
          <w:p>
            <w:pPr>
              <w:spacing w:before="20" w:after="20" w:line="276" w:lineRule="auto"/>
              <w:ind w:firstLine="0"/>
            </w:pPr>
            <w:r/>
            <w:r>
              <w:rPr>
                <w:rFonts w:ascii="Times New Roman" w:hAnsi="Times New Roman" w:eastAsia="宋体"/>
                <w:b w:val="0"/>
                <w:i w:val="0"/>
                <w:sz w:val="21"/>
              </w:rPr>
              <w:t>关联合同与金额拆分</w:t>
            </w:r>
          </w:p>
        </w:tc>
        <w:tc>
          <w:tcPr>
            <w:tcW w:type="dxa" w:w="7370"/>
          </w:tcPr>
          <w:p>
            <w:pPr>
              <w:spacing w:before="20" w:after="20" w:line="276" w:lineRule="auto"/>
              <w:ind w:firstLine="0"/>
            </w:pPr>
            <w:r/>
            <w:r>
              <w:rPr>
                <w:rFonts w:ascii="Times New Roman" w:hAnsi="Times New Roman" w:eastAsia="宋体"/>
                <w:b w:val="0"/>
                <w:i w:val="0"/>
                <w:sz w:val="21"/>
              </w:rPr>
              <w:t>发票至少关联 1 个合同，删除最后一个关联合同被阻止，提示「发票必须至少关联一个合同」；各合同拆分金额（含税）之和必须等于含税金额，不相等时在区块顶部右侧显示红字「差额 ¥X.XX」并阻止保存；关联合同拆分金额变更后合同已开票金额同步增减，解除关联时反向扣减</w:t>
            </w:r>
          </w:p>
        </w:tc>
      </w:tr>
      <w:tr>
        <w:tc>
          <w:tcPr>
            <w:tcW w:type="dxa" w:w="1701"/>
          </w:tcPr>
          <w:p>
            <w:pPr>
              <w:spacing w:before="20" w:after="20" w:line="276" w:lineRule="auto"/>
              <w:ind w:firstLine="0"/>
            </w:pPr>
            <w:r/>
            <w:r>
              <w:rPr>
                <w:rFonts w:ascii="Times New Roman" w:hAnsi="Times New Roman" w:eastAsia="宋体"/>
                <w:b w:val="0"/>
                <w:i w:val="0"/>
                <w:sz w:val="21"/>
              </w:rPr>
              <w:t>发票状态与终态操作</w:t>
            </w:r>
          </w:p>
        </w:tc>
        <w:tc>
          <w:tcPr>
            <w:tcW w:type="dxa" w:w="7370"/>
          </w:tcPr>
          <w:p>
            <w:pPr>
              <w:spacing w:before="20" w:after="20" w:line="276" w:lineRule="auto"/>
              <w:ind w:firstLine="0"/>
            </w:pPr>
            <w:r/>
            <w:r>
              <w:rPr>
                <w:rFonts w:ascii="Times New Roman" w:hAnsi="Times New Roman" w:eastAsia="宋体"/>
                <w:b w:val="0"/>
                <w:i w:val="0"/>
                <w:sz w:val="21"/>
              </w:rPr>
              <w:t>状态为正常、红冲、作废、已删除四态；红冲金额必须等于原金额，否则提示「红冲金额 X 不等于原金额 Y」并阻止；作废仅适用于未入账发票；删除仅限未关联发票，已关联合同提示「该发票已关联合同，无法删除（可走作废）」；已红冲、作废、已删除的发票再次操作被阻止，分别提示「该发票状态不支持红冲」「该发票已作废或已红冲」</w:t>
            </w:r>
          </w:p>
        </w:tc>
      </w:tr>
      <w:tr>
        <w:tc>
          <w:tcPr>
            <w:tcW w:type="dxa" w:w="1701"/>
          </w:tcPr>
          <w:p>
            <w:pPr>
              <w:spacing w:before="20" w:after="20" w:line="276" w:lineRule="auto"/>
              <w:ind w:firstLine="0"/>
            </w:pPr>
            <w:r/>
            <w:r>
              <w:rPr>
                <w:rFonts w:ascii="Times New Roman" w:hAnsi="Times New Roman" w:eastAsia="宋体"/>
                <w:b w:val="0"/>
                <w:i w:val="0"/>
                <w:sz w:val="21"/>
              </w:rPr>
              <w:t>进销项分离与编辑权限</w:t>
            </w:r>
          </w:p>
        </w:tc>
        <w:tc>
          <w:tcPr>
            <w:tcW w:type="dxa" w:w="7370"/>
          </w:tcPr>
          <w:p>
            <w:pPr>
              <w:spacing w:before="20" w:after="20" w:line="276" w:lineRule="auto"/>
              <w:ind w:firstLine="0"/>
            </w:pPr>
            <w:r/>
            <w:r>
              <w:rPr>
                <w:rFonts w:ascii="Times New Roman" w:hAnsi="Times New Roman" w:eastAsia="宋体"/>
                <w:b w:val="0"/>
                <w:i w:val="0"/>
                <w:sz w:val="21"/>
              </w:rPr>
              <w:t>进项发票详情只读，不提供业务变更按钮，需通过上传进项发票入口重新发起；销项发票详情支持重新上传、关联合同与拆分金额编辑；重新上传仅支持 jpg、jpeg、png、pdf，类型不符提示「仅支持 jpg/jpeg/png/pdf」</w:t>
            </w:r>
          </w:p>
        </w:tc>
      </w:tr>
      <w:tr>
        <w:tc>
          <w:tcPr>
            <w:tcW w:type="dxa" w:w="1701"/>
          </w:tcPr>
          <w:p>
            <w:pPr>
              <w:spacing w:before="20" w:after="20" w:line="276" w:lineRule="auto"/>
              <w:ind w:firstLine="0"/>
            </w:pPr>
            <w:r/>
            <w:r>
              <w:rPr>
                <w:rFonts w:ascii="Times New Roman" w:hAnsi="Times New Roman" w:eastAsia="宋体"/>
                <w:b w:val="0"/>
                <w:i w:val="0"/>
                <w:sz w:val="21"/>
              </w:rPr>
              <w:t>发票与付款、回款联动</w:t>
            </w:r>
          </w:p>
        </w:tc>
        <w:tc>
          <w:tcPr>
            <w:tcW w:type="dxa" w:w="7370"/>
          </w:tcPr>
          <w:p>
            <w:pPr>
              <w:spacing w:before="20" w:after="20" w:line="276" w:lineRule="auto"/>
              <w:ind w:firstLine="0"/>
            </w:pPr>
            <w:r/>
            <w:r>
              <w:rPr>
                <w:rFonts w:ascii="Times New Roman" w:hAnsi="Times New Roman" w:eastAsia="宋体"/>
                <w:b w:val="0"/>
                <w:i w:val="0"/>
                <w:sz w:val="21"/>
              </w:rPr>
              <w:t>销项发票关联的销售合同在回款认领时检查已开票金额是否足够；进项发票关联的采购合同在付款时检查已开票金额是否足够；不通过时的提示文案与拦截级别待业务方确认</w:t>
            </w:r>
          </w:p>
        </w:tc>
      </w:tr>
      <w:tr>
        <w:tc>
          <w:tcPr>
            <w:tcW w:type="dxa" w:w="1701"/>
          </w:tcPr>
          <w:p>
            <w:pPr>
              <w:spacing w:before="20" w:after="20" w:line="276" w:lineRule="auto"/>
              <w:ind w:firstLine="0"/>
            </w:pPr>
            <w:r/>
            <w:r>
              <w:rPr>
                <w:rFonts w:ascii="Times New Roman" w:hAnsi="Times New Roman" w:eastAsia="宋体"/>
                <w:b w:val="0"/>
                <w:i w:val="0"/>
                <w:sz w:val="21"/>
              </w:rPr>
              <w:t>发票列表查询与导出</w:t>
            </w:r>
          </w:p>
        </w:tc>
        <w:tc>
          <w:tcPr>
            <w:tcW w:type="dxa" w:w="7370"/>
          </w:tcPr>
          <w:p>
            <w:pPr>
              <w:spacing w:before="20" w:after="20" w:line="276" w:lineRule="auto"/>
              <w:ind w:firstLine="0"/>
            </w:pPr>
            <w:r/>
            <w:r>
              <w:rPr>
                <w:rFonts w:ascii="Times New Roman" w:hAnsi="Times New Roman" w:eastAsia="宋体"/>
                <w:b w:val="0"/>
                <w:i w:val="0"/>
                <w:sz w:val="21"/>
              </w:rPr>
              <w:t>列表展示 14 列：发票代码、发票号码、开票日期、销售方、购买方、不含税、税额、含税、价税合计、关联合同数、关联业务线、状态、是否含附件、操作；筛选字段包含编号、销售方、购买方、开票日期、发票代码、发票号码、是否含附件、状态；支持 Excel 导出</w:t>
            </w:r>
          </w:p>
        </w:tc>
      </w:tr>
    </w:tbl>
    <w:p>
      <w:pPr>
        <w:spacing w:before="0" w:after="0" w:line="240" w:lineRule="auto"/>
      </w:pPr>
    </w:p>
    <w:p>
      <w:pPr>
        <w:spacing w:before="120" w:after="60" w:line="360" w:lineRule="auto"/>
      </w:pPr>
      <w:r>
        <w:rPr>
          <w:rFonts w:ascii="Times New Roman" w:hAnsi="Times New Roman" w:eastAsia="宋体"/>
          <w:b/>
          <w:i w:val="0"/>
          <w:sz w:val="24"/>
        </w:rPr>
        <w:t>待业务方确认：</w:t>
      </w:r>
    </w:p>
    <w:p>
      <w:pPr>
        <w:spacing w:before="0" w:after="60" w:line="336" w:lineRule="auto"/>
        <w:ind w:left="340" w:firstLine="0"/>
      </w:pPr>
      <w:r>
        <w:rPr>
          <w:rFonts w:ascii="Times New Roman" w:hAnsi="Times New Roman" w:eastAsia="宋体"/>
          <w:b w:val="0"/>
          <w:i w:val="0"/>
          <w:sz w:val="24"/>
        </w:rPr>
        <w:t>· 待业务方确认：发票状态机——源文档 v1.0 为 7 状态且带英文枚举，用户手册为 4 状态（正常、红冲、作废、删除）且无英文枚举，两套无枚举重合，原型页面按 4 状态实现。</w:t>
      </w:r>
    </w:p>
    <w:p>
      <w:pPr>
        <w:spacing w:before="0" w:after="60" w:line="336" w:lineRule="auto"/>
        <w:ind w:left="340" w:firstLine="0"/>
      </w:pPr>
      <w:r>
        <w:rPr>
          <w:rFonts w:ascii="Times New Roman" w:hAnsi="Times New Roman" w:eastAsia="宋体"/>
          <w:b w:val="0"/>
          <w:i w:val="0"/>
          <w:sz w:val="24"/>
        </w:rPr>
        <w:t>· 待业务方确认：业务范围——源文档声明「仅进项发票，销项暂不写」，而进销项分离的销项页面与编辑能力已落地，两套范围口径需统一。</w:t>
      </w:r>
    </w:p>
    <w:p>
      <w:pPr>
        <w:spacing w:before="0" w:after="60" w:line="336" w:lineRule="auto"/>
        <w:ind w:left="340" w:firstLine="0"/>
      </w:pPr>
      <w:r>
        <w:rPr>
          <w:rFonts w:ascii="Times New Roman" w:hAnsi="Times New Roman" w:eastAsia="宋体"/>
          <w:b w:val="0"/>
          <w:i w:val="0"/>
          <w:sz w:val="24"/>
        </w:rPr>
        <w:t>· 待业务方确认：红冲与删除缺少落库字段——红冲发票号、红冲金额、红冲时间、红冲人以及逻辑删除标记均无字段承载。</w:t>
      </w:r>
    </w:p>
    <w:p>
      <w:pPr>
        <w:spacing w:before="0" w:after="60" w:line="336" w:lineRule="auto"/>
        <w:ind w:left="340" w:firstLine="0"/>
      </w:pPr>
      <w:r>
        <w:rPr>
          <w:rFonts w:ascii="Times New Roman" w:hAnsi="Times New Roman" w:eastAsia="宋体"/>
          <w:b w:val="0"/>
          <w:i w:val="0"/>
          <w:sz w:val="24"/>
        </w:rPr>
        <w:t>· 待业务方确认：OCR 识别失败时「手动填写」与「手动补录」两套提示文案的适用范围。</w:t>
      </w:r>
    </w:p>
    <w:p>
      <w:pPr>
        <w:spacing w:before="0" w:after="60" w:line="336" w:lineRule="auto"/>
        <w:ind w:left="340" w:firstLine="0"/>
      </w:pPr>
      <w:r>
        <w:rPr>
          <w:rFonts w:ascii="Times New Roman" w:hAnsi="Times New Roman" w:eastAsia="宋体"/>
          <w:b w:val="0"/>
          <w:i w:val="0"/>
          <w:sz w:val="24"/>
        </w:rPr>
        <w:t>· 待业务方确认：图片上传通道到底只接受 PDF，还是接受 jpg、jpeg、png、pdf 四种格式。</w:t>
      </w:r>
    </w:p>
    <w:p>
      <w:pPr>
        <w:spacing w:before="0" w:after="60" w:line="336" w:lineRule="auto"/>
        <w:ind w:left="340" w:firstLine="0"/>
      </w:pPr>
      <w:r>
        <w:rPr>
          <w:rFonts w:ascii="Times New Roman" w:hAnsi="Times New Roman" w:eastAsia="宋体"/>
          <w:b w:val="0"/>
          <w:i w:val="0"/>
          <w:sz w:val="24"/>
        </w:rPr>
        <w:t>· 待业务方确认：Excel 录入字段中的「报税合计」与「价税合计」是否同一字段，以及「发票金额」对应哪个落库字段。</w:t>
      </w:r>
    </w:p>
    <w:p>
      <w:pPr>
        <w:spacing w:before="0" w:after="60" w:line="336" w:lineRule="auto"/>
        <w:ind w:left="340" w:firstLine="0"/>
      </w:pPr>
      <w:r>
        <w:rPr>
          <w:rFonts w:ascii="Times New Roman" w:hAnsi="Times New Roman" w:eastAsia="宋体"/>
          <w:b w:val="0"/>
          <w:i w:val="0"/>
          <w:sz w:val="24"/>
        </w:rPr>
        <w:t>· 待业务方确认：付款与回款环节校验已开票金额不足时的提示文案与拦截级别。</w:t>
      </w:r>
    </w:p>
    <w:p>
      <w:r>
        <w:br w:type="page"/>
      </w:r>
    </w:p>
    <w:p>
      <w:pPr>
        <w:pStyle w:val="Heading2"/>
        <w:keepNext/>
        <w:spacing w:before="240" w:after="120" w:line="312" w:lineRule="auto"/>
        <w:ind w:firstLine="0"/>
      </w:pPr>
      <w:r>
        <w:rPr>
          <w:rFonts w:ascii="Times New Roman" w:hAnsi="Times New Roman" w:eastAsia="黑体"/>
          <w:b/>
          <w:i w:val="0"/>
          <w:sz w:val="28"/>
        </w:rPr>
        <w:t>4.17　盯市管理</w:t>
      </w:r>
    </w:p>
    <w:p>
      <w:pPr>
        <w:spacing w:before="0" w:after="160" w:line="360" w:lineRule="auto"/>
      </w:pPr>
      <w:r>
        <w:rPr>
          <w:rFonts w:ascii="Times New Roman" w:hAnsi="Times New Roman" w:eastAsia="宋体"/>
          <w:b w:val="0"/>
          <w:i w:val="0"/>
          <w:color w:val="595959"/>
          <w:sz w:val="21"/>
        </w:rPr>
        <w:t>菜单路径：数字供应链 / 盯市管理</w:t>
      </w:r>
    </w:p>
    <w:p>
      <w:pPr>
        <w:pStyle w:val="Heading3"/>
        <w:keepNext/>
        <w:spacing w:before="160" w:after="80" w:line="312" w:lineRule="auto"/>
        <w:ind w:firstLine="0"/>
      </w:pPr>
      <w:r>
        <w:rPr>
          <w:rFonts w:ascii="Times New Roman" w:hAnsi="Times New Roman" w:eastAsia="黑体"/>
          <w:b/>
          <w:i w:val="0"/>
          <w:sz w:val="24"/>
        </w:rPr>
        <w:t>4.17.1　一页结论</w:t>
      </w:r>
    </w:p>
    <w:p>
      <w:pPr>
        <w:spacing w:before="0" w:after="120" w:line="360" w:lineRule="auto"/>
      </w:pPr>
      <w:r>
        <w:rPr>
          <w:rFonts w:ascii="Times New Roman" w:hAnsi="Times New Roman" w:eastAsia="宋体"/>
          <w:b w:val="0"/>
          <w:i w:val="0"/>
          <w:sz w:val="24"/>
        </w:rPr>
        <w:t>统一汇聚三方价格指数与平台自建指数，集中展示大宗商品最新价与涨跌，并在跌破预警线或红线时自动触发追保函与价格波动预警。</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928"/>
            <w:shd w:val="clear" w:color="auto" w:fill="DCE6F1"/>
          </w:tcPr>
          <w:p>
            <w:pPr>
              <w:spacing w:before="40" w:after="40" w:line="276" w:lineRule="auto"/>
              <w:jc w:val="center"/>
            </w:pPr>
            <w:r/>
            <w:r>
              <w:rPr>
                <w:rFonts w:ascii="Times New Roman" w:hAnsi="Times New Roman" w:eastAsia="黑体"/>
                <w:b/>
                <w:i w:val="0"/>
                <w:sz w:val="21"/>
              </w:rPr>
              <w:t>问题</w:t>
            </w:r>
          </w:p>
        </w:tc>
        <w:tc>
          <w:tcPr>
            <w:tcW w:type="dxa" w:w="3572"/>
            <w:shd w:val="clear" w:color="auto" w:fill="DCE6F1"/>
          </w:tcPr>
          <w:p>
            <w:pPr>
              <w:spacing w:before="40" w:after="40" w:line="276" w:lineRule="auto"/>
              <w:jc w:val="center"/>
            </w:pPr>
            <w:r/>
            <w:r>
              <w:rPr>
                <w:rFonts w:ascii="Times New Roman" w:hAnsi="Times New Roman" w:eastAsia="黑体"/>
                <w:b/>
                <w:i w:val="0"/>
                <w:sz w:val="21"/>
              </w:rPr>
              <w:t>当前做法</w:t>
            </w:r>
          </w:p>
        </w:tc>
        <w:tc>
          <w:tcPr>
            <w:tcW w:type="dxa" w:w="3572"/>
            <w:shd w:val="clear" w:color="auto" w:fill="DCE6F1"/>
          </w:tcPr>
          <w:p>
            <w:pPr>
              <w:spacing w:before="40" w:after="40" w:line="276" w:lineRule="auto"/>
              <w:jc w:val="center"/>
            </w:pPr>
            <w:r/>
            <w:r>
              <w:rPr>
                <w:rFonts w:ascii="Times New Roman" w:hAnsi="Times New Roman" w:eastAsia="黑体"/>
                <w:b/>
                <w:i w:val="0"/>
                <w:sz w:val="21"/>
              </w:rPr>
              <w:t>本模块解法</w:t>
            </w:r>
          </w:p>
        </w:tc>
      </w:tr>
      <w:tr>
        <w:tc>
          <w:tcPr>
            <w:tcW w:type="dxa" w:w="1928"/>
          </w:tcPr>
          <w:p>
            <w:pPr>
              <w:spacing w:before="20" w:after="20" w:line="276" w:lineRule="auto"/>
              <w:ind w:firstLine="0"/>
            </w:pPr>
            <w:r/>
            <w:r>
              <w:rPr>
                <w:rFonts w:ascii="Times New Roman" w:hAnsi="Times New Roman" w:eastAsia="宋体"/>
                <w:b w:val="0"/>
                <w:i w:val="0"/>
                <w:sz w:val="21"/>
              </w:rPr>
              <w:t>价格数据分散在多个外部指数网站，查看与比对成本高</w:t>
            </w:r>
          </w:p>
        </w:tc>
        <w:tc>
          <w:tcPr>
            <w:tcW w:type="dxa" w:w="3572"/>
          </w:tcPr>
          <w:p>
            <w:pPr>
              <w:spacing w:before="20" w:after="20" w:line="276" w:lineRule="auto"/>
              <w:ind w:firstLine="0"/>
            </w:pPr>
            <w:r/>
            <w:r>
              <w:rPr>
                <w:rFonts w:ascii="Times New Roman" w:hAnsi="Times New Roman" w:eastAsia="宋体"/>
                <w:b w:val="0"/>
                <w:i w:val="0"/>
                <w:sz w:val="21"/>
              </w:rPr>
              <w:t>业务人员需要分别打开多个公开指数站点与自建指数来源，逐一抄录价格</w:t>
            </w:r>
          </w:p>
        </w:tc>
        <w:tc>
          <w:tcPr>
            <w:tcW w:type="dxa" w:w="3572"/>
          </w:tcPr>
          <w:p>
            <w:pPr>
              <w:spacing w:before="20" w:after="20" w:line="276" w:lineRule="auto"/>
              <w:ind w:firstLine="0"/>
            </w:pPr>
            <w:r/>
            <w:r>
              <w:rPr>
                <w:rFonts w:ascii="Times New Roman" w:hAnsi="Times New Roman" w:eastAsia="宋体"/>
                <w:b w:val="0"/>
                <w:i w:val="0"/>
                <w:sz w:val="21"/>
              </w:rPr>
              <w:t>在同一看板内聚合三方指数与平台自建数链指数，支持数据源、商品种类、对应地点、更新频次四类筛选与指数名称模糊搜索</w:t>
            </w:r>
          </w:p>
        </w:tc>
      </w:tr>
      <w:tr>
        <w:tc>
          <w:tcPr>
            <w:tcW w:type="dxa" w:w="1928"/>
          </w:tcPr>
          <w:p>
            <w:pPr>
              <w:spacing w:before="20" w:after="20" w:line="276" w:lineRule="auto"/>
              <w:ind w:firstLine="0"/>
            </w:pPr>
            <w:r/>
            <w:r>
              <w:rPr>
                <w:rFonts w:ascii="Times New Roman" w:hAnsi="Times New Roman" w:eastAsia="宋体"/>
                <w:b w:val="0"/>
                <w:i w:val="0"/>
                <w:sz w:val="21"/>
              </w:rPr>
              <w:t>只有最新价没有涨跌幅度，异动无法被及时识别</w:t>
            </w:r>
          </w:p>
        </w:tc>
        <w:tc>
          <w:tcPr>
            <w:tcW w:type="dxa" w:w="3572"/>
          </w:tcPr>
          <w:p>
            <w:pPr>
              <w:spacing w:before="20" w:after="20" w:line="276" w:lineRule="auto"/>
              <w:ind w:firstLine="0"/>
            </w:pPr>
            <w:r/>
            <w:r>
              <w:rPr>
                <w:rFonts w:ascii="Times New Roman" w:hAnsi="Times New Roman" w:eastAsia="宋体"/>
                <w:b w:val="0"/>
                <w:i w:val="0"/>
                <w:sz w:val="21"/>
              </w:rPr>
              <w:t>指数页面仅呈现一个价格数值，无法判断当日波动幅度与方向</w:t>
            </w:r>
          </w:p>
        </w:tc>
        <w:tc>
          <w:tcPr>
            <w:tcW w:type="dxa" w:w="3572"/>
          </w:tcPr>
          <w:p>
            <w:pPr>
              <w:spacing w:before="20" w:after="20" w:line="276" w:lineRule="auto"/>
              <w:ind w:firstLine="0"/>
            </w:pPr>
            <w:r/>
            <w:r>
              <w:rPr>
                <w:rFonts w:ascii="Times New Roman" w:hAnsi="Times New Roman" w:eastAsia="宋体"/>
                <w:b w:val="0"/>
                <w:i w:val="0"/>
                <w:sz w:val="21"/>
              </w:rPr>
              <w:t>每张指数卡片同时给出最新价、变化值、变化百分比与趋势图，统一按红涨绿跌配色，变化口径为最新价减昨日价</w:t>
            </w:r>
          </w:p>
        </w:tc>
      </w:tr>
      <w:tr>
        <w:tc>
          <w:tcPr>
            <w:tcW w:type="dxa" w:w="1928"/>
          </w:tcPr>
          <w:p>
            <w:pPr>
              <w:spacing w:before="20" w:after="20" w:line="276" w:lineRule="auto"/>
              <w:ind w:firstLine="0"/>
            </w:pPr>
            <w:r/>
            <w:r>
              <w:rPr>
                <w:rFonts w:ascii="Times New Roman" w:hAnsi="Times New Roman" w:eastAsia="宋体"/>
                <w:b w:val="0"/>
                <w:i w:val="0"/>
                <w:sz w:val="21"/>
              </w:rPr>
              <w:t>价格异动依赖人工盯盘，风险发现滞后</w:t>
            </w:r>
          </w:p>
        </w:tc>
        <w:tc>
          <w:tcPr>
            <w:tcW w:type="dxa" w:w="3572"/>
          </w:tcPr>
          <w:p>
            <w:pPr>
              <w:spacing w:before="20" w:after="20" w:line="276" w:lineRule="auto"/>
              <w:ind w:firstLine="0"/>
            </w:pPr>
            <w:r/>
            <w:r>
              <w:rPr>
                <w:rFonts w:ascii="Times New Roman" w:hAnsi="Times New Roman" w:eastAsia="宋体"/>
                <w:b w:val="0"/>
                <w:i w:val="0"/>
                <w:sz w:val="21"/>
              </w:rPr>
              <w:t>价格跌破预警线或红线时，由业务人员人工发现并发起后续追保动作</w:t>
            </w:r>
          </w:p>
        </w:tc>
        <w:tc>
          <w:tcPr>
            <w:tcW w:type="dxa" w:w="3572"/>
          </w:tcPr>
          <w:p>
            <w:pPr>
              <w:spacing w:before="20" w:after="20" w:line="276" w:lineRule="auto"/>
              <w:ind w:firstLine="0"/>
            </w:pPr>
            <w:r/>
            <w:r>
              <w:rPr>
                <w:rFonts w:ascii="Times New Roman" w:hAnsi="Times New Roman" w:eastAsia="宋体"/>
                <w:b w:val="0"/>
                <w:i w:val="0"/>
                <w:sz w:val="21"/>
              </w:rPr>
              <w:t>聚合价跌破预警线或红线时自动触发追保函并向预警中心推送价格波动预警，同时记录触发指数、触发价格与两条阈值</w:t>
            </w:r>
          </w:p>
        </w:tc>
      </w:tr>
      <w:tr>
        <w:tc>
          <w:tcPr>
            <w:tcW w:type="dxa" w:w="1928"/>
          </w:tcPr>
          <w:p>
            <w:pPr>
              <w:spacing w:before="20" w:after="20" w:line="276" w:lineRule="auto"/>
              <w:ind w:firstLine="0"/>
            </w:pPr>
            <w:r/>
            <w:r>
              <w:rPr>
                <w:rFonts w:ascii="Times New Roman" w:hAnsi="Times New Roman" w:eastAsia="宋体"/>
                <w:b w:val="0"/>
                <w:i w:val="0"/>
                <w:sz w:val="21"/>
              </w:rPr>
              <w:t>多数据源报价不一致时无法判别哪一路报价异常</w:t>
            </w:r>
          </w:p>
        </w:tc>
        <w:tc>
          <w:tcPr>
            <w:tcW w:type="dxa" w:w="3572"/>
          </w:tcPr>
          <w:p>
            <w:pPr>
              <w:spacing w:before="20" w:after="20" w:line="276" w:lineRule="auto"/>
              <w:ind w:firstLine="0"/>
            </w:pPr>
            <w:r/>
            <w:r>
              <w:rPr>
                <w:rFonts w:ascii="Times New Roman" w:hAnsi="Times New Roman" w:eastAsia="宋体"/>
                <w:b w:val="0"/>
                <w:i w:val="0"/>
                <w:sz w:val="21"/>
              </w:rPr>
              <w:t>三方指数与自建指数的报价差异只能靠人工比对，可能把数据质量问题误判为价格风险</w:t>
            </w:r>
          </w:p>
        </w:tc>
        <w:tc>
          <w:tcPr>
            <w:tcW w:type="dxa" w:w="3572"/>
          </w:tcPr>
          <w:p>
            <w:pPr>
              <w:spacing w:before="20" w:after="20" w:line="276" w:lineRule="auto"/>
              <w:ind w:firstLine="0"/>
            </w:pPr>
            <w:r/>
            <w:r>
              <w:rPr>
                <w:rFonts w:ascii="Times New Roman" w:hAnsi="Times New Roman" w:eastAsia="宋体"/>
                <w:b w:val="0"/>
                <w:i w:val="0"/>
                <w:sz w:val="21"/>
              </w:rPr>
              <w:t>双源差异超过 5% 时给出黄灯提醒提示需人工确认，单日缺价时该指数标记为暂无数据，异常只提醒不阻断业务</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4.17.2　背景与目标</w:t>
      </w:r>
    </w:p>
    <w:tbl>
      <w:tblPr>
        <w:tblStyle w:val="TableGrid"/>
        <w:tblW w:type="auto" w:w="0"/>
        <w:jc w:val="center"/>
        <w:tblLayout w:type="fixed"/>
        <w:tblLook w:firstColumn="1" w:firstRow="1" w:lastColumn="0" w:lastRow="0" w:noHBand="0" w:noVBand="1" w:val="04A0"/>
      </w:tblPr>
      <w:tblGrid>
        <w:gridCol w:w="8958"/>
      </w:tblGrid>
      <w:tr>
        <w:trPr>
          <w:tblHeader w:val="true"/>
        </w:trPr>
        <w:tc>
          <w:tcPr>
            <w:tcW w:type="dxa" w:w="9071"/>
            <w:shd w:val="clear" w:color="auto" w:fill="DCE6F1"/>
          </w:tcPr>
          <w:p>
            <w:pPr>
              <w:spacing w:before="40" w:after="40" w:line="276" w:lineRule="auto"/>
              <w:jc w:val="center"/>
            </w:pPr>
            <w:r/>
            <w:r>
              <w:rPr>
                <w:rFonts w:ascii="Times New Roman" w:hAnsi="Times New Roman" w:eastAsia="黑体"/>
                <w:b/>
                <w:i w:val="0"/>
                <w:sz w:val="21"/>
              </w:rPr>
              <w:t>目标 / 衡量口径</w:t>
            </w:r>
          </w:p>
        </w:tc>
      </w:tr>
      <w:tr>
        <w:tc>
          <w:tcPr>
            <w:tcW w:type="dxa" w:w="9071"/>
          </w:tcPr>
          <w:p>
            <w:pPr>
              <w:spacing w:before="20" w:after="20" w:line="276" w:lineRule="auto"/>
              <w:ind w:firstLine="0"/>
            </w:pPr>
            <w:r/>
            <w:r>
              <w:rPr>
                <w:rFonts w:ascii="Times New Roman" w:hAnsi="Times New Roman" w:eastAsia="宋体"/>
                <w:b w:val="0"/>
                <w:i w:val="0"/>
                <w:sz w:val="21"/>
              </w:rPr>
              <w:t>三方指数与平台自建数链指数在同一页面统一展示，提供看板、列表、趋势对比 3 种视图</w:t>
            </w:r>
          </w:p>
        </w:tc>
      </w:tr>
      <w:tr>
        <w:tc>
          <w:tcPr>
            <w:tcW w:type="dxa" w:w="9071"/>
          </w:tcPr>
          <w:p>
            <w:pPr>
              <w:spacing w:before="20" w:after="20" w:line="276" w:lineRule="auto"/>
              <w:ind w:firstLine="0"/>
            </w:pPr>
            <w:r/>
            <w:r>
              <w:rPr>
                <w:rFonts w:ascii="Times New Roman" w:hAnsi="Times New Roman" w:eastAsia="宋体"/>
                <w:b w:val="0"/>
                <w:i w:val="0"/>
                <w:sz w:val="21"/>
              </w:rPr>
              <w:t>价格变化口径全局统一：变化值为最新价减昨日价，变化百分比为变化值除以昨日价乘 100%，涨跌配色为红涨绿跌</w:t>
            </w:r>
          </w:p>
        </w:tc>
      </w:tr>
      <w:tr>
        <w:tc>
          <w:tcPr>
            <w:tcW w:type="dxa" w:w="9071"/>
          </w:tcPr>
          <w:p>
            <w:pPr>
              <w:spacing w:before="20" w:after="20" w:line="276" w:lineRule="auto"/>
              <w:ind w:firstLine="0"/>
            </w:pPr>
            <w:r/>
            <w:r>
              <w:rPr>
                <w:rFonts w:ascii="Times New Roman" w:hAnsi="Times New Roman" w:eastAsia="宋体"/>
                <w:b w:val="0"/>
                <w:i w:val="0"/>
                <w:sz w:val="21"/>
              </w:rPr>
              <w:t>指数跌破预警线或红线时自动触发追保函与价格波动预警，触发链路可追溯到具体指数、触发价格与两条阈值</w:t>
            </w:r>
          </w:p>
        </w:tc>
      </w:tr>
      <w:tr>
        <w:tc>
          <w:tcPr>
            <w:tcW w:type="dxa" w:w="9071"/>
          </w:tcPr>
          <w:p>
            <w:pPr>
              <w:spacing w:before="20" w:after="20" w:line="276" w:lineRule="auto"/>
              <w:ind w:firstLine="0"/>
            </w:pPr>
            <w:r/>
            <w:r>
              <w:rPr>
                <w:rFonts w:ascii="Times New Roman" w:hAnsi="Times New Roman" w:eastAsia="宋体"/>
                <w:b w:val="0"/>
                <w:i w:val="0"/>
                <w:sz w:val="21"/>
              </w:rPr>
              <w:t>价格波动规则支持 15 种对比价格基准、3 档风险等级与考核项加配置项的双向约束；规则命中规模以系统运行报表为准</w:t>
            </w:r>
          </w:p>
        </w:tc>
      </w:tr>
    </w:tbl>
    <w:p>
      <w:pPr>
        <w:spacing w:before="0" w:after="0" w:line="240" w:lineRule="auto"/>
      </w:pPr>
    </w:p>
    <w:p>
      <w:pPr>
        <w:spacing w:before="80" w:after="120" w:line="360" w:lineRule="auto"/>
      </w:pPr>
      <w:r>
        <w:rPr>
          <w:rFonts w:ascii="Times New Roman" w:hAnsi="Times New Roman" w:eastAsia="宋体"/>
          <w:b w:val="0"/>
          <w:i w:val="0"/>
          <w:color w:val="595959"/>
          <w:sz w:val="21"/>
        </w:rPr>
        <w:t>说明：文中口径以业务方已确认结论为准；未确认项集中列于本章末与第 5 章。</w:t>
      </w:r>
    </w:p>
    <w:p>
      <w:pPr>
        <w:pStyle w:val="Heading3"/>
        <w:keepNext/>
        <w:spacing w:before="160" w:after="80" w:line="312" w:lineRule="auto"/>
        <w:ind w:firstLine="0"/>
      </w:pPr>
      <w:r>
        <w:rPr>
          <w:rFonts w:ascii="Times New Roman" w:hAnsi="Times New Roman" w:eastAsia="黑体"/>
          <w:b/>
          <w:i w:val="0"/>
          <w:sz w:val="24"/>
        </w:rPr>
        <w:t>4.17.3　角色与用户需求</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361"/>
            <w:shd w:val="clear" w:color="auto" w:fill="DCE6F1"/>
          </w:tcPr>
          <w:p>
            <w:pPr>
              <w:spacing w:before="40" w:after="40" w:line="276" w:lineRule="auto"/>
              <w:jc w:val="center"/>
            </w:pPr>
            <w:r/>
            <w:r>
              <w:rPr>
                <w:rFonts w:ascii="Times New Roman" w:hAnsi="Times New Roman" w:eastAsia="黑体"/>
                <w:b/>
                <w:i w:val="0"/>
                <w:sz w:val="21"/>
              </w:rPr>
              <w:t>角色</w:t>
            </w:r>
          </w:p>
        </w:tc>
        <w:tc>
          <w:tcPr>
            <w:tcW w:type="dxa" w:w="1247"/>
            <w:shd w:val="clear" w:color="auto" w:fill="DCE6F1"/>
          </w:tcPr>
          <w:p>
            <w:pPr>
              <w:spacing w:before="40" w:after="40" w:line="276" w:lineRule="auto"/>
              <w:jc w:val="center"/>
            </w:pPr>
            <w:r/>
            <w:r>
              <w:rPr>
                <w:rFonts w:ascii="Times New Roman" w:hAnsi="Times New Roman" w:eastAsia="黑体"/>
                <w:b/>
                <w:i w:val="0"/>
                <w:sz w:val="21"/>
              </w:rPr>
              <w:t>所属部门</w:t>
            </w:r>
          </w:p>
        </w:tc>
        <w:tc>
          <w:tcPr>
            <w:tcW w:type="dxa" w:w="6463"/>
            <w:shd w:val="clear" w:color="auto" w:fill="DCE6F1"/>
          </w:tcPr>
          <w:p>
            <w:pPr>
              <w:spacing w:before="40" w:after="40" w:line="276" w:lineRule="auto"/>
              <w:jc w:val="center"/>
            </w:pPr>
            <w:r/>
            <w:r>
              <w:rPr>
                <w:rFonts w:ascii="Times New Roman" w:hAnsi="Times New Roman" w:eastAsia="黑体"/>
                <w:b/>
                <w:i w:val="0"/>
                <w:sz w:val="21"/>
              </w:rPr>
              <w:t>用户需求（我要…以便…）</w:t>
            </w:r>
          </w:p>
        </w:tc>
      </w:tr>
      <w:tr>
        <w:tc>
          <w:tcPr>
            <w:tcW w:type="dxa" w:w="1361"/>
          </w:tcPr>
          <w:p>
            <w:pPr>
              <w:spacing w:before="20" w:after="20" w:line="276" w:lineRule="auto"/>
              <w:ind w:firstLine="0"/>
            </w:pPr>
            <w:r/>
            <w:r>
              <w:rPr>
                <w:rFonts w:ascii="Times New Roman" w:hAnsi="Times New Roman" w:eastAsia="宋体"/>
                <w:b w:val="0"/>
                <w:i w:val="0"/>
                <w:sz w:val="21"/>
              </w:rPr>
              <w:t>业务员</w:t>
            </w:r>
          </w:p>
        </w:tc>
        <w:tc>
          <w:tcPr>
            <w:tcW w:type="dxa" w:w="1247"/>
          </w:tcPr>
          <w:p>
            <w:pPr>
              <w:spacing w:before="20" w:after="20" w:line="276" w:lineRule="auto"/>
              <w:ind w:firstLine="0"/>
            </w:pPr>
            <w:r/>
            <w:r>
              <w:rPr>
                <w:rFonts w:ascii="Times New Roman" w:hAnsi="Times New Roman" w:eastAsia="宋体"/>
                <w:b w:val="0"/>
                <w:i w:val="0"/>
                <w:sz w:val="21"/>
              </w:rPr>
              <w:t>业务部</w:t>
            </w:r>
          </w:p>
        </w:tc>
        <w:tc>
          <w:tcPr>
            <w:tcW w:type="dxa" w:w="6463"/>
          </w:tcPr>
          <w:p>
            <w:pPr>
              <w:spacing w:before="20" w:after="20" w:line="276" w:lineRule="auto"/>
              <w:ind w:firstLine="0"/>
            </w:pPr>
            <w:r/>
            <w:r>
              <w:rPr>
                <w:rFonts w:ascii="Times New Roman" w:hAnsi="Times New Roman" w:eastAsia="宋体"/>
                <w:b w:val="0"/>
                <w:i w:val="0"/>
                <w:sz w:val="21"/>
              </w:rPr>
              <w:t>我要在一个页面同时看到各指数的最新价与涨跌，以便快速判断市场行情变化</w:t>
            </w:r>
          </w:p>
        </w:tc>
      </w:tr>
      <w:tr>
        <w:tc>
          <w:tcPr>
            <w:tcW w:type="dxa" w:w="1361"/>
          </w:tcPr>
          <w:p>
            <w:pPr>
              <w:spacing w:before="20" w:after="20" w:line="276" w:lineRule="auto"/>
              <w:ind w:firstLine="0"/>
            </w:pPr>
            <w:r/>
            <w:r>
              <w:rPr>
                <w:rFonts w:ascii="Times New Roman" w:hAnsi="Times New Roman" w:eastAsia="宋体"/>
                <w:b w:val="0"/>
                <w:i w:val="0"/>
                <w:sz w:val="21"/>
              </w:rPr>
              <w:t>风控规则管理员</w:t>
            </w:r>
          </w:p>
        </w:tc>
        <w:tc>
          <w:tcPr>
            <w:tcW w:type="dxa" w:w="1247"/>
          </w:tcPr>
          <w:p>
            <w:pPr>
              <w:spacing w:before="20" w:after="20" w:line="276" w:lineRule="auto"/>
              <w:ind w:firstLine="0"/>
            </w:pPr>
            <w:r/>
            <w:r>
              <w:rPr>
                <w:rFonts w:ascii="Times New Roman" w:hAnsi="Times New Roman" w:eastAsia="宋体"/>
                <w:b w:val="0"/>
                <w:i w:val="0"/>
                <w:sz w:val="21"/>
              </w:rPr>
              <w:t>风控部</w:t>
            </w:r>
          </w:p>
        </w:tc>
        <w:tc>
          <w:tcPr>
            <w:tcW w:type="dxa" w:w="6463"/>
          </w:tcPr>
          <w:p>
            <w:pPr>
              <w:spacing w:before="20" w:after="20" w:line="276" w:lineRule="auto"/>
              <w:ind w:firstLine="0"/>
            </w:pPr>
            <w:r/>
            <w:r>
              <w:rPr>
                <w:rFonts w:ascii="Times New Roman" w:hAnsi="Times New Roman" w:eastAsia="宋体"/>
                <w:b w:val="0"/>
                <w:i w:val="0"/>
                <w:sz w:val="21"/>
              </w:rPr>
              <w:t>我要配置价格波动规则并设定风险等级与考核项，以便价格异动按我设定的口径自动升级</w:t>
            </w:r>
          </w:p>
        </w:tc>
      </w:tr>
      <w:tr>
        <w:tc>
          <w:tcPr>
            <w:tcW w:type="dxa" w:w="1361"/>
          </w:tcPr>
          <w:p>
            <w:pPr>
              <w:spacing w:before="20" w:after="20" w:line="276" w:lineRule="auto"/>
              <w:ind w:firstLine="0"/>
            </w:pPr>
            <w:r/>
            <w:r>
              <w:rPr>
                <w:rFonts w:ascii="Times New Roman" w:hAnsi="Times New Roman" w:eastAsia="宋体"/>
                <w:b w:val="0"/>
                <w:i w:val="0"/>
                <w:sz w:val="21"/>
              </w:rPr>
              <w:t>指数数据维护人员</w:t>
            </w:r>
          </w:p>
        </w:tc>
        <w:tc>
          <w:tcPr>
            <w:tcW w:type="dxa" w:w="1247"/>
          </w:tcPr>
          <w:p>
            <w:pPr>
              <w:spacing w:before="20" w:after="20" w:line="276" w:lineRule="auto"/>
              <w:ind w:firstLine="0"/>
            </w:pPr>
            <w:r/>
            <w:r>
              <w:rPr>
                <w:rFonts w:ascii="Times New Roman" w:hAnsi="Times New Roman" w:eastAsia="宋体"/>
                <w:b w:val="0"/>
                <w:i w:val="0"/>
                <w:sz w:val="21"/>
              </w:rPr>
              <w:t>运营管理部</w:t>
            </w:r>
          </w:p>
        </w:tc>
        <w:tc>
          <w:tcPr>
            <w:tcW w:type="dxa" w:w="6463"/>
          </w:tcPr>
          <w:p>
            <w:pPr>
              <w:spacing w:before="20" w:after="20" w:line="276" w:lineRule="auto"/>
              <w:ind w:firstLine="0"/>
            </w:pPr>
            <w:r/>
            <w:r>
              <w:rPr>
                <w:rFonts w:ascii="Times New Roman" w:hAnsi="Times New Roman" w:eastAsia="宋体"/>
                <w:b w:val="0"/>
                <w:i w:val="0"/>
                <w:sz w:val="21"/>
              </w:rPr>
              <w:t>我要录入平台自建指数的每日价格，以便自建指数与三方指数在同一看板可比</w:t>
            </w:r>
          </w:p>
        </w:tc>
      </w:tr>
      <w:tr>
        <w:tc>
          <w:tcPr>
            <w:tcW w:type="dxa" w:w="1361"/>
          </w:tcPr>
          <w:p>
            <w:pPr>
              <w:spacing w:before="20" w:after="20" w:line="276" w:lineRule="auto"/>
              <w:ind w:firstLine="0"/>
            </w:pPr>
            <w:r/>
            <w:r>
              <w:rPr>
                <w:rFonts w:ascii="Times New Roman" w:hAnsi="Times New Roman" w:eastAsia="宋体"/>
                <w:b w:val="0"/>
                <w:i w:val="0"/>
                <w:sz w:val="21"/>
              </w:rPr>
              <w:t>风控处置人员</w:t>
            </w:r>
          </w:p>
        </w:tc>
        <w:tc>
          <w:tcPr>
            <w:tcW w:type="dxa" w:w="1247"/>
          </w:tcPr>
          <w:p>
            <w:pPr>
              <w:spacing w:before="20" w:after="20" w:line="276" w:lineRule="auto"/>
              <w:ind w:firstLine="0"/>
            </w:pPr>
            <w:r/>
            <w:r>
              <w:rPr>
                <w:rFonts w:ascii="Times New Roman" w:hAnsi="Times New Roman" w:eastAsia="宋体"/>
                <w:b w:val="0"/>
                <w:i w:val="0"/>
                <w:sz w:val="21"/>
              </w:rPr>
              <w:t>风控部</w:t>
            </w:r>
          </w:p>
        </w:tc>
        <w:tc>
          <w:tcPr>
            <w:tcW w:type="dxa" w:w="6463"/>
          </w:tcPr>
          <w:p>
            <w:pPr>
              <w:spacing w:before="20" w:after="20" w:line="276" w:lineRule="auto"/>
              <w:ind w:firstLine="0"/>
            </w:pPr>
            <w:r/>
            <w:r>
              <w:rPr>
                <w:rFonts w:ascii="Times New Roman" w:hAnsi="Times New Roman" w:eastAsia="宋体"/>
                <w:b w:val="0"/>
                <w:i w:val="0"/>
                <w:sz w:val="21"/>
              </w:rPr>
              <w:t>我要按商品种类与对应地点筛查异常指数，以便优先处理风险集中的品种与区域</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4.17.4　功能结构与范围</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474"/>
            <w:shd w:val="clear" w:color="auto" w:fill="DCE6F1"/>
          </w:tcPr>
          <w:p>
            <w:pPr>
              <w:spacing w:before="40" w:after="40" w:line="276" w:lineRule="auto"/>
              <w:jc w:val="center"/>
            </w:pPr>
            <w:r/>
            <w:r>
              <w:rPr>
                <w:rFonts w:ascii="Times New Roman" w:hAnsi="Times New Roman" w:eastAsia="黑体"/>
                <w:b/>
                <w:i w:val="0"/>
                <w:sz w:val="21"/>
              </w:rPr>
              <w:t>功能</w:t>
            </w:r>
          </w:p>
        </w:tc>
        <w:tc>
          <w:tcPr>
            <w:tcW w:type="dxa" w:w="3175"/>
            <w:shd w:val="clear" w:color="auto" w:fill="DCE6F1"/>
          </w:tcPr>
          <w:p>
            <w:pPr>
              <w:spacing w:before="40" w:after="40" w:line="276" w:lineRule="auto"/>
              <w:jc w:val="center"/>
            </w:pPr>
            <w:r/>
            <w:r>
              <w:rPr>
                <w:rFonts w:ascii="Times New Roman" w:hAnsi="Times New Roman" w:eastAsia="黑体"/>
                <w:b/>
                <w:i w:val="0"/>
                <w:sz w:val="21"/>
              </w:rPr>
              <w:t>功能说明</w:t>
            </w:r>
          </w:p>
        </w:tc>
        <w:tc>
          <w:tcPr>
            <w:tcW w:type="dxa" w:w="4422"/>
            <w:shd w:val="clear" w:color="auto" w:fill="DCE6F1"/>
          </w:tcPr>
          <w:p>
            <w:pPr>
              <w:spacing w:before="40" w:after="40" w:line="276" w:lineRule="auto"/>
              <w:jc w:val="center"/>
            </w:pPr>
            <w:r/>
            <w:r>
              <w:rPr>
                <w:rFonts w:ascii="Times New Roman" w:hAnsi="Times New Roman" w:eastAsia="黑体"/>
                <w:b/>
                <w:i w:val="0"/>
                <w:sz w:val="21"/>
              </w:rPr>
              <w:t>关键规则</w:t>
            </w:r>
          </w:p>
        </w:tc>
      </w:tr>
      <w:tr>
        <w:tc>
          <w:tcPr>
            <w:tcW w:type="dxa" w:w="1474"/>
          </w:tcPr>
          <w:p>
            <w:pPr>
              <w:spacing w:before="20" w:after="20" w:line="276" w:lineRule="auto"/>
              <w:ind w:firstLine="0"/>
            </w:pPr>
            <w:r/>
            <w:r>
              <w:rPr>
                <w:rFonts w:ascii="Times New Roman" w:hAnsi="Times New Roman" w:eastAsia="宋体"/>
                <w:b w:val="0"/>
                <w:i w:val="0"/>
                <w:sz w:val="21"/>
              </w:rPr>
              <w:t>价格指数看板与三视图切换</w:t>
            </w:r>
          </w:p>
        </w:tc>
        <w:tc>
          <w:tcPr>
            <w:tcW w:type="dxa" w:w="3175"/>
          </w:tcPr>
          <w:p>
            <w:pPr>
              <w:spacing w:before="20" w:after="20" w:line="276" w:lineRule="auto"/>
              <w:ind w:firstLine="0"/>
            </w:pPr>
            <w:r/>
            <w:r>
              <w:rPr>
                <w:rFonts w:ascii="Times New Roman" w:hAnsi="Times New Roman" w:eastAsia="宋体"/>
                <w:b w:val="0"/>
                <w:i w:val="0"/>
                <w:sz w:val="21"/>
              </w:rPr>
              <w:t>以看板模式为默认视图展示指数卡片，并支持列表模式与趋势对比模式切换</w:t>
            </w:r>
          </w:p>
        </w:tc>
        <w:tc>
          <w:tcPr>
            <w:tcW w:type="dxa" w:w="4422"/>
          </w:tcPr>
          <w:p>
            <w:pPr>
              <w:spacing w:before="20" w:after="20" w:line="276" w:lineRule="auto"/>
              <w:ind w:firstLine="0"/>
            </w:pPr>
            <w:r/>
            <w:r>
              <w:rPr>
                <w:rFonts w:ascii="Times New Roman" w:hAnsi="Times New Roman" w:eastAsia="宋体"/>
                <w:b w:val="0"/>
                <w:i w:val="0"/>
                <w:sz w:val="21"/>
              </w:rPr>
              <w:t>看板模式为进入页面的默认视图，每行 3 张指数卡片；列表模式为表格形态，列为指数名称、最新价、变化值、变化百分比、更新时间、操作共 6 列；趋势对比模式可同时叠加 2 至 4 个指数，少于 2 个时不允许进入并提示至少选择 2 个指数</w:t>
            </w:r>
          </w:p>
        </w:tc>
      </w:tr>
      <w:tr>
        <w:tc>
          <w:tcPr>
            <w:tcW w:type="dxa" w:w="1474"/>
          </w:tcPr>
          <w:p>
            <w:pPr>
              <w:spacing w:before="20" w:after="20" w:line="276" w:lineRule="auto"/>
              <w:ind w:firstLine="0"/>
            </w:pPr>
            <w:r/>
            <w:r>
              <w:rPr>
                <w:rFonts w:ascii="Times New Roman" w:hAnsi="Times New Roman" w:eastAsia="宋体"/>
                <w:b w:val="0"/>
                <w:i w:val="0"/>
                <w:sz w:val="21"/>
              </w:rPr>
              <w:t>指数多维筛选</w:t>
            </w:r>
          </w:p>
        </w:tc>
        <w:tc>
          <w:tcPr>
            <w:tcW w:type="dxa" w:w="3175"/>
          </w:tcPr>
          <w:p>
            <w:pPr>
              <w:spacing w:before="20" w:after="20" w:line="276" w:lineRule="auto"/>
              <w:ind w:firstLine="0"/>
            </w:pPr>
            <w:r/>
            <w:r>
              <w:rPr>
                <w:rFonts w:ascii="Times New Roman" w:hAnsi="Times New Roman" w:eastAsia="宋体"/>
                <w:b w:val="0"/>
                <w:i w:val="0"/>
                <w:sz w:val="21"/>
              </w:rPr>
              <w:t>左侧筛选区按指数名称、数据来源、商品种类、对应地点、更新频次过滤指数列表</w:t>
            </w:r>
          </w:p>
        </w:tc>
        <w:tc>
          <w:tcPr>
            <w:tcW w:type="dxa" w:w="4422"/>
          </w:tcPr>
          <w:p>
            <w:pPr>
              <w:spacing w:before="20" w:after="20" w:line="276" w:lineRule="auto"/>
              <w:ind w:firstLine="0"/>
            </w:pPr>
            <w:r/>
            <w:r>
              <w:rPr>
                <w:rFonts w:ascii="Times New Roman" w:hAnsi="Times New Roman" w:eastAsia="宋体"/>
                <w:b w:val="0"/>
                <w:i w:val="0"/>
                <w:sz w:val="21"/>
              </w:rPr>
              <w:t>数据来源取值为三方指数与数链指数两类；商品种类取值为动力煤、炼焦煤、水泥煤、铁矿石、焦炭、兰炭共 6 项；对应地点取值为北方港、华东、华南、巴彦淖尔、其他共 5 项，另设全部选项；已选条件以条件标签展示，可单独删除或一键清除</w:t>
            </w:r>
          </w:p>
        </w:tc>
      </w:tr>
      <w:tr>
        <w:tc>
          <w:tcPr>
            <w:tcW w:type="dxa" w:w="1474"/>
          </w:tcPr>
          <w:p>
            <w:pPr>
              <w:spacing w:before="20" w:after="20" w:line="276" w:lineRule="auto"/>
              <w:ind w:firstLine="0"/>
            </w:pPr>
            <w:r/>
            <w:r>
              <w:rPr>
                <w:rFonts w:ascii="Times New Roman" w:hAnsi="Times New Roman" w:eastAsia="宋体"/>
                <w:b w:val="0"/>
                <w:i w:val="0"/>
                <w:sz w:val="21"/>
              </w:rPr>
              <w:t>价格变化计算与展示</w:t>
            </w:r>
          </w:p>
        </w:tc>
        <w:tc>
          <w:tcPr>
            <w:tcW w:type="dxa" w:w="3175"/>
          </w:tcPr>
          <w:p>
            <w:pPr>
              <w:spacing w:before="20" w:after="20" w:line="276" w:lineRule="auto"/>
              <w:ind w:firstLine="0"/>
            </w:pPr>
            <w:r/>
            <w:r>
              <w:rPr>
                <w:rFonts w:ascii="Times New Roman" w:hAnsi="Times New Roman" w:eastAsia="宋体"/>
                <w:b w:val="0"/>
                <w:i w:val="0"/>
                <w:sz w:val="21"/>
              </w:rPr>
              <w:t>按统一口径计算并展示指数当日变化值与变化百分比</w:t>
            </w:r>
          </w:p>
        </w:tc>
        <w:tc>
          <w:tcPr>
            <w:tcW w:type="dxa" w:w="4422"/>
          </w:tcPr>
          <w:p>
            <w:pPr>
              <w:spacing w:before="20" w:after="20" w:line="276" w:lineRule="auto"/>
              <w:ind w:firstLine="0"/>
            </w:pPr>
            <w:r/>
            <w:r>
              <w:rPr>
                <w:rFonts w:ascii="Times New Roman" w:hAnsi="Times New Roman" w:eastAsia="宋体"/>
                <w:b w:val="0"/>
                <w:i w:val="0"/>
                <w:sz w:val="21"/>
              </w:rPr>
              <w:t>变化值等于最新价减昨日价；变化百分比等于变化值除以昨日价乘 100%；变化值为正时数值与趋势图用红色，为负时用绿色；价格单位统一为元每吨，并标注更新频次</w:t>
            </w:r>
          </w:p>
        </w:tc>
      </w:tr>
      <w:tr>
        <w:tc>
          <w:tcPr>
            <w:tcW w:type="dxa" w:w="1474"/>
          </w:tcPr>
          <w:p>
            <w:pPr>
              <w:spacing w:before="20" w:after="20" w:line="276" w:lineRule="auto"/>
              <w:ind w:firstLine="0"/>
            </w:pPr>
            <w:r/>
            <w:r>
              <w:rPr>
                <w:rFonts w:ascii="Times New Roman" w:hAnsi="Times New Roman" w:eastAsia="宋体"/>
                <w:b w:val="0"/>
                <w:i w:val="0"/>
                <w:sz w:val="21"/>
              </w:rPr>
              <w:t>指数指标详情</w:t>
            </w:r>
          </w:p>
        </w:tc>
        <w:tc>
          <w:tcPr>
            <w:tcW w:type="dxa" w:w="3175"/>
          </w:tcPr>
          <w:p>
            <w:pPr>
              <w:spacing w:before="20" w:after="20" w:line="276" w:lineRule="auto"/>
              <w:ind w:firstLine="0"/>
            </w:pPr>
            <w:r/>
            <w:r>
              <w:rPr>
                <w:rFonts w:ascii="Times New Roman" w:hAnsi="Times New Roman" w:eastAsia="宋体"/>
                <w:b w:val="0"/>
                <w:i w:val="0"/>
                <w:sz w:val="21"/>
              </w:rPr>
              <w:t>从看板卡片进入单个指数的详情，查看历史价格走势与逐日价格数据</w:t>
            </w:r>
          </w:p>
        </w:tc>
        <w:tc>
          <w:tcPr>
            <w:tcW w:type="dxa" w:w="4422"/>
          </w:tcPr>
          <w:p>
            <w:pPr>
              <w:spacing w:before="20" w:after="20" w:line="276" w:lineRule="auto"/>
              <w:ind w:firstLine="0"/>
            </w:pPr>
            <w:r/>
            <w:r>
              <w:rPr>
                <w:rFonts w:ascii="Times New Roman" w:hAnsi="Times New Roman" w:eastAsia="宋体"/>
                <w:b w:val="0"/>
                <w:i w:val="0"/>
                <w:sz w:val="21"/>
              </w:rPr>
              <w:t>点击卡片进入指标详情页，详情页含指数趋势与指数数据 2 个区块；指数趋势展示最新价格与对比上期、对比月初、对比上月同期、对比年初等对比维度并绘制价格与涨跌幅双轴走势图；指数数据按日期、价格、单位 3 列分页展示</w:t>
            </w:r>
          </w:p>
        </w:tc>
      </w:tr>
      <w:tr>
        <w:tc>
          <w:tcPr>
            <w:tcW w:type="dxa" w:w="1474"/>
          </w:tcPr>
          <w:p>
            <w:pPr>
              <w:spacing w:before="20" w:after="20" w:line="276" w:lineRule="auto"/>
              <w:ind w:firstLine="0"/>
            </w:pPr>
            <w:r/>
            <w:r>
              <w:rPr>
                <w:rFonts w:ascii="Times New Roman" w:hAnsi="Times New Roman" w:eastAsia="宋体"/>
                <w:b w:val="0"/>
                <w:i w:val="0"/>
                <w:sz w:val="21"/>
              </w:rPr>
              <w:t>预警线与红线监控</w:t>
            </w:r>
          </w:p>
        </w:tc>
        <w:tc>
          <w:tcPr>
            <w:tcW w:type="dxa" w:w="3175"/>
          </w:tcPr>
          <w:p>
            <w:pPr>
              <w:spacing w:before="20" w:after="20" w:line="276" w:lineRule="auto"/>
              <w:ind w:firstLine="0"/>
            </w:pPr>
            <w:r/>
            <w:r>
              <w:rPr>
                <w:rFonts w:ascii="Times New Roman" w:hAnsi="Times New Roman" w:eastAsia="宋体"/>
                <w:b w:val="0"/>
                <w:i w:val="0"/>
                <w:sz w:val="21"/>
              </w:rPr>
              <w:t>对指数配置预警线与红线两条阈值，聚合价格跌破时触发下游动作</w:t>
            </w:r>
          </w:p>
        </w:tc>
        <w:tc>
          <w:tcPr>
            <w:tcW w:type="dxa" w:w="4422"/>
          </w:tcPr>
          <w:p>
            <w:pPr>
              <w:spacing w:before="20" w:after="20" w:line="276" w:lineRule="auto"/>
              <w:ind w:firstLine="0"/>
            </w:pPr>
            <w:r/>
            <w:r>
              <w:rPr>
                <w:rFonts w:ascii="Times New Roman" w:hAnsi="Times New Roman" w:eastAsia="宋体"/>
                <w:b w:val="0"/>
                <w:i w:val="0"/>
                <w:sz w:val="21"/>
              </w:rPr>
              <w:t>聚合价小于等于预警线或小于等于红线时触发追保函；聚合价高于预警线时继续监控不产生动作；触发时自动记录触发指数、触发指数价格、预警线与红线四个字段，作为追保函的生成依据</w:t>
            </w:r>
          </w:p>
        </w:tc>
      </w:tr>
      <w:tr>
        <w:tc>
          <w:tcPr>
            <w:tcW w:type="dxa" w:w="1474"/>
          </w:tcPr>
          <w:p>
            <w:pPr>
              <w:spacing w:before="20" w:after="20" w:line="276" w:lineRule="auto"/>
              <w:ind w:firstLine="0"/>
            </w:pPr>
            <w:r/>
            <w:r>
              <w:rPr>
                <w:rFonts w:ascii="Times New Roman" w:hAnsi="Times New Roman" w:eastAsia="宋体"/>
                <w:b w:val="0"/>
                <w:i w:val="0"/>
                <w:sz w:val="21"/>
              </w:rPr>
              <w:t>价格波动规则配置</w:t>
            </w:r>
          </w:p>
        </w:tc>
        <w:tc>
          <w:tcPr>
            <w:tcW w:type="dxa" w:w="3175"/>
          </w:tcPr>
          <w:p>
            <w:pPr>
              <w:spacing w:before="20" w:after="20" w:line="276" w:lineRule="auto"/>
              <w:ind w:firstLine="0"/>
            </w:pPr>
            <w:r/>
            <w:r>
              <w:rPr>
                <w:rFonts w:ascii="Times New Roman" w:hAnsi="Times New Roman" w:eastAsia="宋体"/>
                <w:b w:val="0"/>
                <w:i w:val="0"/>
                <w:sz w:val="21"/>
              </w:rPr>
              <w:t>按 11 步向导配置价格波动规则，覆盖是否关联合同、业务类型、规则类型、风险等级、考核项、配置项等要素</w:t>
            </w:r>
          </w:p>
        </w:tc>
        <w:tc>
          <w:tcPr>
            <w:tcW w:type="dxa" w:w="4422"/>
          </w:tcPr>
          <w:p>
            <w:pPr>
              <w:spacing w:before="20" w:after="20" w:line="276" w:lineRule="auto"/>
              <w:ind w:firstLine="0"/>
            </w:pPr>
            <w:r/>
            <w:r>
              <w:rPr>
                <w:rFonts w:ascii="Times New Roman" w:hAnsi="Times New Roman" w:eastAsia="宋体"/>
                <w:b w:val="0"/>
                <w:i w:val="0"/>
                <w:sz w:val="21"/>
              </w:rPr>
              <w:t>规则名称长度上限 99 位且在全局范围内唯一，重复时提示规则名称已存在并阻止保存；考核项与配置项必须同属百分比口径或金额口径，不一致时提示配置项必须与考核项匹配并阻止保存；业务类型当前仅存货业务可选；规则明细由系统自动生成且只读，业务人员无需手动填写</w:t>
            </w:r>
          </w:p>
        </w:tc>
      </w:tr>
      <w:tr>
        <w:tc>
          <w:tcPr>
            <w:tcW w:type="dxa" w:w="1474"/>
          </w:tcPr>
          <w:p>
            <w:pPr>
              <w:spacing w:before="20" w:after="20" w:line="276" w:lineRule="auto"/>
              <w:ind w:firstLine="0"/>
            </w:pPr>
            <w:r/>
            <w:r>
              <w:rPr>
                <w:rFonts w:ascii="Times New Roman" w:hAnsi="Times New Roman" w:eastAsia="宋体"/>
                <w:b w:val="0"/>
                <w:i w:val="0"/>
                <w:sz w:val="21"/>
              </w:rPr>
              <w:t>规则风险等级与阈值判定</w:t>
            </w:r>
          </w:p>
        </w:tc>
        <w:tc>
          <w:tcPr>
            <w:tcW w:type="dxa" w:w="3175"/>
          </w:tcPr>
          <w:p>
            <w:pPr>
              <w:spacing w:before="20" w:after="20" w:line="276" w:lineRule="auto"/>
              <w:ind w:firstLine="0"/>
            </w:pPr>
            <w:r/>
            <w:r>
              <w:rPr>
                <w:rFonts w:ascii="Times New Roman" w:hAnsi="Times New Roman" w:eastAsia="宋体"/>
                <w:b w:val="0"/>
                <w:i w:val="0"/>
                <w:sz w:val="21"/>
              </w:rPr>
              <w:t>按波动幅度或波动金额把命中规则的行情判定为高中低三档风险等级</w:t>
            </w:r>
          </w:p>
        </w:tc>
        <w:tc>
          <w:tcPr>
            <w:tcW w:type="dxa" w:w="4422"/>
          </w:tcPr>
          <w:p>
            <w:pPr>
              <w:spacing w:before="20" w:after="20" w:line="276" w:lineRule="auto"/>
              <w:ind w:firstLine="0"/>
            </w:pPr>
            <w:r/>
            <w:r>
              <w:rPr>
                <w:rFonts w:ascii="Times New Roman" w:hAnsi="Times New Roman" w:eastAsia="宋体"/>
                <w:b w:val="0"/>
                <w:i w:val="0"/>
                <w:sz w:val="21"/>
              </w:rPr>
              <w:t>高风险阈值为波动幅度大于等于 30% 或波动金额大于等于 100 万元；中风险为幅度 15% 至 30% 或金额 50 万元至 100 万元；低风险为幅度小于 15% 或金额小于 50 万元；多条规则同时命中时高风险规则优先推送预警</w:t>
            </w:r>
          </w:p>
        </w:tc>
      </w:tr>
      <w:tr>
        <w:tc>
          <w:tcPr>
            <w:tcW w:type="dxa" w:w="1474"/>
          </w:tcPr>
          <w:p>
            <w:pPr>
              <w:spacing w:before="20" w:after="20" w:line="276" w:lineRule="auto"/>
              <w:ind w:firstLine="0"/>
            </w:pPr>
            <w:r/>
            <w:r>
              <w:rPr>
                <w:rFonts w:ascii="Times New Roman" w:hAnsi="Times New Roman" w:eastAsia="宋体"/>
                <w:b w:val="0"/>
                <w:i w:val="0"/>
                <w:sz w:val="21"/>
              </w:rPr>
              <w:t>监控合同关联</w:t>
            </w:r>
          </w:p>
        </w:tc>
        <w:tc>
          <w:tcPr>
            <w:tcW w:type="dxa" w:w="3175"/>
          </w:tcPr>
          <w:p>
            <w:pPr>
              <w:spacing w:before="20" w:after="20" w:line="276" w:lineRule="auto"/>
              <w:ind w:firstLine="0"/>
            </w:pPr>
            <w:r/>
            <w:r>
              <w:rPr>
                <w:rFonts w:ascii="Times New Roman" w:hAnsi="Times New Roman" w:eastAsia="宋体"/>
                <w:b w:val="0"/>
                <w:i w:val="0"/>
                <w:sz w:val="21"/>
              </w:rPr>
              <w:t>为价格波动规则绑定需要监控的合同，可多选框架合同与单批次合同</w:t>
            </w:r>
          </w:p>
        </w:tc>
        <w:tc>
          <w:tcPr>
            <w:tcW w:type="dxa" w:w="4422"/>
          </w:tcPr>
          <w:p>
            <w:pPr>
              <w:spacing w:before="20" w:after="20" w:line="276" w:lineRule="auto"/>
              <w:ind w:firstLine="0"/>
            </w:pPr>
            <w:r/>
            <w:r>
              <w:rPr>
                <w:rFonts w:ascii="Times New Roman" w:hAnsi="Times New Roman" w:eastAsia="宋体"/>
                <w:b w:val="0"/>
                <w:i w:val="0"/>
                <w:sz w:val="21"/>
              </w:rPr>
              <w:t>可选合同范围仅包含状态为执行中或待上传双签合同的合同；选择已作废合同时提示该合同已作废，无法监控并阻止保存；选择非执行中或待上传双签合同状态的合同时提示请选择执行中或待上传双签合同并阻止保存；一个规则可绑定多个合同，页面顶部回显当前合同编号，多选时显示加 N 个</w:t>
            </w:r>
          </w:p>
        </w:tc>
      </w:tr>
      <w:tr>
        <w:tc>
          <w:tcPr>
            <w:tcW w:type="dxa" w:w="1474"/>
          </w:tcPr>
          <w:p>
            <w:pPr>
              <w:spacing w:before="20" w:after="20" w:line="276" w:lineRule="auto"/>
              <w:ind w:firstLine="0"/>
            </w:pPr>
            <w:r/>
            <w:r>
              <w:rPr>
                <w:rFonts w:ascii="Times New Roman" w:hAnsi="Times New Roman" w:eastAsia="宋体"/>
                <w:b w:val="0"/>
                <w:i w:val="0"/>
                <w:sz w:val="21"/>
              </w:rPr>
              <w:t>数据源异常提示与降级</w:t>
            </w:r>
          </w:p>
        </w:tc>
        <w:tc>
          <w:tcPr>
            <w:tcW w:type="dxa" w:w="3175"/>
          </w:tcPr>
          <w:p>
            <w:pPr>
              <w:spacing w:before="20" w:after="20" w:line="276" w:lineRule="auto"/>
              <w:ind w:firstLine="0"/>
            </w:pPr>
            <w:r/>
            <w:r>
              <w:rPr>
                <w:rFonts w:ascii="Times New Roman" w:hAnsi="Times New Roman" w:eastAsia="宋体"/>
                <w:b w:val="0"/>
                <w:i w:val="0"/>
                <w:sz w:val="21"/>
              </w:rPr>
              <w:t>对抓取失败、缺价、异动、双源不一致四类数据异常给出不同处理</w:t>
            </w:r>
          </w:p>
        </w:tc>
        <w:tc>
          <w:tcPr>
            <w:tcW w:type="dxa" w:w="4422"/>
          </w:tcPr>
          <w:p>
            <w:pPr>
              <w:spacing w:before="20" w:after="20" w:line="276" w:lineRule="auto"/>
              <w:ind w:firstLine="0"/>
            </w:pPr>
            <w:r/>
            <w:r>
              <w:rPr>
                <w:rFonts w:ascii="Times New Roman" w:hAnsi="Times New Roman" w:eastAsia="宋体"/>
                <w:b w:val="0"/>
                <w:i w:val="0"/>
                <w:sz w:val="21"/>
              </w:rPr>
              <w:t>三方指数抓取失败时提示三方指数抓取失败，请联系管理员，并执行重试与邮件通知；某指数某日无报价时提示指数在对应日期无数据并将该卡片标记为暂无数据；指数变化幅度超过 20% 时提示指数变化异常并请人工确认，以黄灯提醒不阻断浏览；三方指数与数链指数价格差异超过 5% 时提示价格差异并以黄灯提醒不阻断浏览</w:t>
            </w:r>
          </w:p>
        </w:tc>
      </w:tr>
    </w:tbl>
    <w:p>
      <w:pPr>
        <w:spacing w:before="0" w:after="0" w:line="240" w:lineRule="auto"/>
      </w:pP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tblGrid>
      <w:tr>
        <w:trPr>
          <w:tblHeader w:val="true"/>
        </w:trPr>
        <w:tc>
          <w:tcPr>
            <w:tcW w:type="dxa" w:w="1247"/>
            <w:shd w:val="clear" w:color="auto" w:fill="DCE6F1"/>
          </w:tcPr>
          <w:p>
            <w:pPr>
              <w:spacing w:before="40" w:after="40" w:line="276" w:lineRule="auto"/>
              <w:jc w:val="center"/>
            </w:pPr>
            <w:r/>
            <w:r>
              <w:rPr>
                <w:rFonts w:ascii="Times New Roman" w:hAnsi="Times New Roman" w:eastAsia="黑体"/>
                <w:b/>
                <w:i w:val="0"/>
                <w:sz w:val="19"/>
              </w:rPr>
              <w:t>页面</w:t>
            </w:r>
          </w:p>
        </w:tc>
        <w:tc>
          <w:tcPr>
            <w:tcW w:type="dxa" w:w="1474"/>
            <w:shd w:val="clear" w:color="auto" w:fill="DCE6F1"/>
          </w:tcPr>
          <w:p>
            <w:pPr>
              <w:spacing w:before="40" w:after="40" w:line="276" w:lineRule="auto"/>
              <w:jc w:val="center"/>
            </w:pPr>
            <w:r/>
            <w:r>
              <w:rPr>
                <w:rFonts w:ascii="Times New Roman" w:hAnsi="Times New Roman" w:eastAsia="黑体"/>
                <w:b/>
                <w:i w:val="0"/>
                <w:sz w:val="19"/>
              </w:rPr>
              <w:t>文件</w:t>
            </w:r>
          </w:p>
        </w:tc>
        <w:tc>
          <w:tcPr>
            <w:tcW w:type="dxa" w:w="1134"/>
            <w:shd w:val="clear" w:color="auto" w:fill="DCE6F1"/>
          </w:tcPr>
          <w:p>
            <w:pPr>
              <w:spacing w:before="40" w:after="40" w:line="276" w:lineRule="auto"/>
              <w:jc w:val="center"/>
            </w:pPr>
            <w:r/>
            <w:r>
              <w:rPr>
                <w:rFonts w:ascii="Times New Roman" w:hAnsi="Times New Roman" w:eastAsia="黑体"/>
                <w:b/>
                <w:i w:val="0"/>
                <w:sz w:val="19"/>
              </w:rPr>
              <w:t>入口</w:t>
            </w:r>
          </w:p>
        </w:tc>
        <w:tc>
          <w:tcPr>
            <w:tcW w:type="dxa" w:w="2041"/>
            <w:shd w:val="clear" w:color="auto" w:fill="DCE6F1"/>
          </w:tcPr>
          <w:p>
            <w:pPr>
              <w:spacing w:before="40" w:after="40" w:line="276" w:lineRule="auto"/>
              <w:jc w:val="center"/>
            </w:pPr>
            <w:r/>
            <w:r>
              <w:rPr>
                <w:rFonts w:ascii="Times New Roman" w:hAnsi="Times New Roman" w:eastAsia="黑体"/>
                <w:b/>
                <w:i w:val="0"/>
                <w:sz w:val="19"/>
              </w:rPr>
              <w:t>主要区块</w:t>
            </w:r>
          </w:p>
        </w:tc>
        <w:tc>
          <w:tcPr>
            <w:tcW w:type="dxa" w:w="1701"/>
            <w:shd w:val="clear" w:color="auto" w:fill="DCE6F1"/>
          </w:tcPr>
          <w:p>
            <w:pPr>
              <w:spacing w:before="40" w:after="40" w:line="276" w:lineRule="auto"/>
              <w:jc w:val="center"/>
            </w:pPr>
            <w:r/>
            <w:r>
              <w:rPr>
                <w:rFonts w:ascii="Times New Roman" w:hAnsi="Times New Roman" w:eastAsia="黑体"/>
                <w:b/>
                <w:i w:val="0"/>
                <w:sz w:val="19"/>
              </w:rPr>
              <w:t>主要操作</w:t>
            </w:r>
          </w:p>
        </w:tc>
        <w:tc>
          <w:tcPr>
            <w:tcW w:type="dxa" w:w="1474"/>
            <w:shd w:val="clear" w:color="auto" w:fill="DCE6F1"/>
          </w:tcPr>
          <w:p>
            <w:pPr>
              <w:spacing w:before="40" w:after="40" w:line="276" w:lineRule="auto"/>
              <w:jc w:val="center"/>
            </w:pPr>
            <w:r/>
            <w:r>
              <w:rPr>
                <w:rFonts w:ascii="Times New Roman" w:hAnsi="Times New Roman" w:eastAsia="黑体"/>
                <w:b/>
                <w:i w:val="0"/>
                <w:sz w:val="19"/>
              </w:rPr>
              <w:t>跳转</w:t>
            </w:r>
          </w:p>
        </w:tc>
      </w:tr>
      <w:tr>
        <w:tc>
          <w:tcPr>
            <w:tcW w:type="dxa" w:w="1247"/>
          </w:tcPr>
          <w:p>
            <w:pPr>
              <w:spacing w:before="20" w:after="20" w:line="276" w:lineRule="auto"/>
              <w:ind w:firstLine="0"/>
            </w:pPr>
            <w:r/>
            <w:r>
              <w:rPr>
                <w:rFonts w:ascii="Times New Roman" w:hAnsi="Times New Roman" w:eastAsia="宋体"/>
                <w:b w:val="0"/>
                <w:i w:val="0"/>
                <w:sz w:val="19"/>
              </w:rPr>
              <w:t>盯市价格管理</w:t>
            </w:r>
          </w:p>
        </w:tc>
        <w:tc>
          <w:tcPr>
            <w:tcW w:type="dxa" w:w="1474"/>
          </w:tcPr>
          <w:p>
            <w:pPr>
              <w:spacing w:before="20" w:after="20" w:line="276" w:lineRule="auto"/>
              <w:ind w:firstLine="0"/>
            </w:pPr>
            <w:r/>
            <w:r>
              <w:rPr>
                <w:rFonts w:ascii="Times New Roman" w:hAnsi="Times New Roman" w:eastAsia="宋体"/>
                <w:b w:val="0"/>
                <w:i w:val="0"/>
                <w:sz w:val="19"/>
              </w:rPr>
              <w:t>market-price.html</w:t>
            </w:r>
          </w:p>
        </w:tc>
        <w:tc>
          <w:tcPr>
            <w:tcW w:type="dxa" w:w="1134"/>
          </w:tcPr>
          <w:p>
            <w:pPr>
              <w:spacing w:before="20" w:after="20" w:line="276" w:lineRule="auto"/>
              <w:ind w:firstLine="0"/>
            </w:pPr>
            <w:r/>
            <w:r>
              <w:rPr>
                <w:rFonts w:ascii="Times New Roman" w:hAnsi="Times New Roman" w:eastAsia="宋体"/>
                <w:b w:val="0"/>
                <w:i w:val="0"/>
                <w:sz w:val="19"/>
              </w:rPr>
              <w:t>数字供应链 / 盯市管理 / 盯市价格管理</w:t>
            </w:r>
          </w:p>
        </w:tc>
        <w:tc>
          <w:tcPr>
            <w:tcW w:type="dxa" w:w="2041"/>
          </w:tcPr>
          <w:p>
            <w:pPr>
              <w:spacing w:before="20" w:after="20" w:line="276" w:lineRule="auto"/>
              <w:ind w:firstLine="0"/>
            </w:pPr>
            <w:r/>
            <w:r>
              <w:rPr>
                <w:rFonts w:ascii="Times New Roman" w:hAnsi="Times New Roman" w:eastAsia="宋体"/>
                <w:b w:val="0"/>
                <w:i w:val="0"/>
                <w:sz w:val="19"/>
              </w:rPr>
              <w:t>3 个视图模式切换（看板、列表、趋势对比）；已选筛选条件标签与清除全部；左侧 5 个筛选区（指数名称、数据来源、商品种类、对应地点、更新频次）；指数卡片区，每张卡片含指数名与副标题、价格（元每吨与更新频次）、变化值与变化百分比胶囊、折线趋势图；右下角视图切换浮动按钮</w:t>
            </w:r>
          </w:p>
        </w:tc>
        <w:tc>
          <w:tcPr>
            <w:tcW w:type="dxa" w:w="1701"/>
          </w:tcPr>
          <w:p>
            <w:pPr>
              <w:spacing w:before="20" w:after="20" w:line="276" w:lineRule="auto"/>
              <w:ind w:firstLine="0"/>
            </w:pPr>
            <w:r/>
            <w:r>
              <w:rPr>
                <w:rFonts w:ascii="Times New Roman" w:hAnsi="Times New Roman" w:eastAsia="宋体"/>
                <w:b w:val="0"/>
                <w:i w:val="0"/>
                <w:sz w:val="19"/>
              </w:rPr>
              <w:t>看板模式、列表模式、趋势对比模式切换；条件标签单个删除与一键清除；点击指数卡片进入指标详情；点击浮动按钮切换列表模式</w:t>
            </w:r>
          </w:p>
        </w:tc>
        <w:tc>
          <w:tcPr>
            <w:tcW w:type="dxa" w:w="1474"/>
          </w:tcPr>
          <w:p>
            <w:pPr>
              <w:spacing w:before="20" w:after="20" w:line="276" w:lineRule="auto"/>
              <w:ind w:firstLine="0"/>
            </w:pPr>
            <w:r/>
            <w:r>
              <w:rPr>
                <w:rFonts w:ascii="Times New Roman" w:hAnsi="Times New Roman" w:eastAsia="宋体"/>
                <w:b w:val="0"/>
                <w:i w:val="0"/>
                <w:sz w:val="19"/>
              </w:rPr>
              <w:t>点击指数卡片跳转指标详情页 market-price-detail.html</w:t>
            </w:r>
          </w:p>
        </w:tc>
      </w:tr>
      <w:tr>
        <w:tc>
          <w:tcPr>
            <w:tcW w:type="dxa" w:w="1247"/>
          </w:tcPr>
          <w:p>
            <w:pPr>
              <w:spacing w:before="20" w:after="20" w:line="276" w:lineRule="auto"/>
              <w:ind w:firstLine="0"/>
            </w:pPr>
            <w:r/>
            <w:r>
              <w:rPr>
                <w:rFonts w:ascii="Times New Roman" w:hAnsi="Times New Roman" w:eastAsia="宋体"/>
                <w:b w:val="0"/>
                <w:i w:val="0"/>
                <w:sz w:val="19"/>
              </w:rPr>
              <w:t>指标详情</w:t>
            </w:r>
          </w:p>
        </w:tc>
        <w:tc>
          <w:tcPr>
            <w:tcW w:type="dxa" w:w="1474"/>
          </w:tcPr>
          <w:p>
            <w:pPr>
              <w:spacing w:before="20" w:after="20" w:line="276" w:lineRule="auto"/>
              <w:ind w:firstLine="0"/>
            </w:pPr>
            <w:r/>
            <w:r>
              <w:rPr>
                <w:rFonts w:ascii="Times New Roman" w:hAnsi="Times New Roman" w:eastAsia="宋体"/>
                <w:b w:val="0"/>
                <w:i w:val="0"/>
                <w:sz w:val="19"/>
              </w:rPr>
              <w:t>market-price-detail.html</w:t>
            </w:r>
          </w:p>
        </w:tc>
        <w:tc>
          <w:tcPr>
            <w:tcW w:type="dxa" w:w="1134"/>
          </w:tcPr>
          <w:p>
            <w:pPr>
              <w:spacing w:before="20" w:after="20" w:line="276" w:lineRule="auto"/>
              <w:ind w:firstLine="0"/>
            </w:pPr>
            <w:r/>
            <w:r>
              <w:rPr>
                <w:rFonts w:ascii="Times New Roman" w:hAnsi="Times New Roman" w:eastAsia="宋体"/>
                <w:b w:val="0"/>
                <w:i w:val="0"/>
                <w:sz w:val="19"/>
              </w:rPr>
              <w:t>数字供应链 / 盯市管理 / 盯市价格管理 / 点击指数卡片</w:t>
            </w:r>
          </w:p>
        </w:tc>
        <w:tc>
          <w:tcPr>
            <w:tcW w:type="dxa" w:w="2041"/>
          </w:tcPr>
          <w:p>
            <w:pPr>
              <w:spacing w:before="20" w:after="20" w:line="276" w:lineRule="auto"/>
              <w:ind w:firstLine="0"/>
            </w:pPr>
            <w:r/>
            <w:r>
              <w:rPr>
                <w:rFonts w:ascii="Times New Roman" w:hAnsi="Times New Roman" w:eastAsia="宋体"/>
                <w:b w:val="0"/>
                <w:i w:val="0"/>
                <w:sz w:val="19"/>
              </w:rPr>
              <w:t>面包屑（数字供应链 / 盯市价格管理 / 指标详情）；指数名称与元信息（更新频次、单位元每吨）；3 个信息标签（数据来源、商品种类、区域）；指数趋势区块含 6 张对比卡片与双轴大趋势图及缩略图；指数数据区块含日期、价格、单位 3 列表格与分页</w:t>
            </w:r>
          </w:p>
        </w:tc>
        <w:tc>
          <w:tcPr>
            <w:tcW w:type="dxa" w:w="1701"/>
          </w:tcPr>
          <w:p>
            <w:pPr>
              <w:spacing w:before="20" w:after="20" w:line="276" w:lineRule="auto"/>
              <w:ind w:firstLine="0"/>
            </w:pPr>
            <w:r/>
            <w:r>
              <w:rPr>
                <w:rFonts w:ascii="Times New Roman" w:hAnsi="Times New Roman" w:eastAsia="宋体"/>
                <w:b w:val="0"/>
                <w:i w:val="0"/>
                <w:sz w:val="19"/>
              </w:rPr>
              <w:t>指数趋势与指数数据 2 个页签切换；返回按钮</w:t>
            </w:r>
          </w:p>
        </w:tc>
        <w:tc>
          <w:tcPr>
            <w:tcW w:type="dxa" w:w="1474"/>
          </w:tcPr>
          <w:p>
            <w:pPr>
              <w:spacing w:before="20" w:after="20" w:line="276" w:lineRule="auto"/>
              <w:ind w:firstLine="0"/>
            </w:pPr>
            <w:r/>
            <w:r>
              <w:rPr>
                <w:rFonts w:ascii="Times New Roman" w:hAnsi="Times New Roman" w:eastAsia="宋体"/>
                <w:b w:val="0"/>
                <w:i w:val="0"/>
                <w:sz w:val="19"/>
              </w:rPr>
              <w:t>返回按钮回到盯市价格管理 market-price.html</w:t>
            </w:r>
          </w:p>
        </w:tc>
      </w:tr>
      <w:tr>
        <w:tc>
          <w:tcPr>
            <w:tcW w:type="dxa" w:w="1247"/>
          </w:tcPr>
          <w:p>
            <w:pPr>
              <w:spacing w:before="20" w:after="20" w:line="276" w:lineRule="auto"/>
              <w:ind w:firstLine="0"/>
            </w:pPr>
            <w:r/>
            <w:r>
              <w:rPr>
                <w:rFonts w:ascii="Times New Roman" w:hAnsi="Times New Roman" w:eastAsia="宋体"/>
                <w:b w:val="0"/>
                <w:i w:val="0"/>
                <w:sz w:val="19"/>
              </w:rPr>
              <w:t>监控合同配置</w:t>
            </w:r>
          </w:p>
        </w:tc>
        <w:tc>
          <w:tcPr>
            <w:tcW w:type="dxa" w:w="1474"/>
          </w:tcPr>
          <w:p>
            <w:pPr>
              <w:spacing w:before="20" w:after="20" w:line="276" w:lineRule="auto"/>
              <w:ind w:firstLine="0"/>
            </w:pPr>
            <w:r/>
            <w:r>
              <w:rPr>
                <w:rFonts w:ascii="Times New Roman" w:hAnsi="Times New Roman" w:eastAsia="宋体"/>
                <w:b w:val="0"/>
                <w:i w:val="0"/>
                <w:sz w:val="19"/>
              </w:rPr>
              <w:t>warning-price-contract-config.html</w:t>
            </w:r>
          </w:p>
        </w:tc>
        <w:tc>
          <w:tcPr>
            <w:tcW w:type="dxa" w:w="1134"/>
          </w:tcPr>
          <w:p>
            <w:pPr>
              <w:spacing w:before="20" w:after="20" w:line="276" w:lineRule="auto"/>
              <w:ind w:firstLine="0"/>
            </w:pPr>
            <w:r/>
            <w:r>
              <w:rPr>
                <w:rFonts w:ascii="Times New Roman" w:hAnsi="Times New Roman" w:eastAsia="宋体"/>
                <w:b w:val="0"/>
                <w:i w:val="0"/>
                <w:sz w:val="19"/>
              </w:rPr>
              <w:t>数字供应链 / 盯市管理 / 价格波动规则 / 关联合同</w:t>
            </w:r>
          </w:p>
        </w:tc>
        <w:tc>
          <w:tcPr>
            <w:tcW w:type="dxa" w:w="2041"/>
          </w:tcPr>
          <w:p>
            <w:pPr>
              <w:spacing w:before="20" w:after="20" w:line="276" w:lineRule="auto"/>
              <w:ind w:firstLine="0"/>
            </w:pPr>
            <w:r/>
            <w:r>
              <w:rPr>
                <w:rFonts w:ascii="Times New Roman" w:hAnsi="Times New Roman" w:eastAsia="宋体"/>
                <w:b w:val="0"/>
                <w:i w:val="0"/>
                <w:sz w:val="19"/>
              </w:rPr>
              <w:t>顶部当前合同编号指示器；合同选择弹窗含合同编号、销售方与采购方、业务类型、签订日期、合同类型、合同状态等筛选与多选框；底部保存与取消按钮区</w:t>
            </w:r>
          </w:p>
        </w:tc>
        <w:tc>
          <w:tcPr>
            <w:tcW w:type="dxa" w:w="1701"/>
          </w:tcPr>
          <w:p>
            <w:pPr>
              <w:spacing w:before="20" w:after="20" w:line="276" w:lineRule="auto"/>
              <w:ind w:firstLine="0"/>
            </w:pPr>
            <w:r/>
            <w:r>
              <w:rPr>
                <w:rFonts w:ascii="Times New Roman" w:hAnsi="Times New Roman" w:eastAsia="宋体"/>
                <w:b w:val="0"/>
                <w:i w:val="0"/>
                <w:sz w:val="19"/>
              </w:rPr>
              <w:t>选择合同、清除选择、单个合同删除、保存、取消</w:t>
            </w:r>
          </w:p>
        </w:tc>
        <w:tc>
          <w:tcPr>
            <w:tcW w:type="dxa" w:w="1474"/>
          </w:tcPr>
          <w:p>
            <w:pPr>
              <w:spacing w:before="20" w:after="20" w:line="276" w:lineRule="auto"/>
              <w:ind w:firstLine="0"/>
            </w:pPr>
            <w:r/>
            <w:r>
              <w:rPr>
                <w:rFonts w:ascii="Times New Roman" w:hAnsi="Times New Roman" w:eastAsia="宋体"/>
                <w:b w:val="0"/>
                <w:i w:val="0"/>
                <w:sz w:val="19"/>
              </w:rPr>
              <w:t>保存后回到预警规则配置页并展示已选合同列表；取消回到预警规则配置页</w:t>
            </w:r>
          </w:p>
        </w:tc>
      </w:tr>
      <w:tr>
        <w:tc>
          <w:tcPr>
            <w:tcW w:type="dxa" w:w="1247"/>
          </w:tcPr>
          <w:p>
            <w:pPr>
              <w:spacing w:before="20" w:after="20" w:line="276" w:lineRule="auto"/>
              <w:ind w:firstLine="0"/>
            </w:pPr>
            <w:r/>
            <w:r>
              <w:rPr>
                <w:rFonts w:ascii="Times New Roman" w:hAnsi="Times New Roman" w:eastAsia="宋体"/>
                <w:b w:val="0"/>
                <w:i w:val="0"/>
                <w:sz w:val="19"/>
              </w:rPr>
              <w:t>价格波动规则配置</w:t>
            </w:r>
          </w:p>
        </w:tc>
        <w:tc>
          <w:tcPr>
            <w:tcW w:type="dxa" w:w="1474"/>
          </w:tcPr>
          <w:p>
            <w:pPr>
              <w:spacing w:before="20" w:after="20" w:line="276" w:lineRule="auto"/>
              <w:ind w:firstLine="0"/>
            </w:pPr>
            <w:r/>
            <w:r>
              <w:rPr>
                <w:rFonts w:ascii="Times New Roman" w:hAnsi="Times New Roman" w:eastAsia="宋体"/>
                <w:b w:val="0"/>
                <w:i w:val="0"/>
                <w:sz w:val="19"/>
              </w:rPr>
              <w:t>warning-config.html</w:t>
            </w:r>
          </w:p>
        </w:tc>
        <w:tc>
          <w:tcPr>
            <w:tcW w:type="dxa" w:w="1134"/>
          </w:tcPr>
          <w:p>
            <w:pPr>
              <w:spacing w:before="20" w:after="20" w:line="276" w:lineRule="auto"/>
              <w:ind w:firstLine="0"/>
            </w:pPr>
            <w:r/>
            <w:r>
              <w:rPr>
                <w:rFonts w:ascii="Times New Roman" w:hAnsi="Times New Roman" w:eastAsia="宋体"/>
                <w:b w:val="0"/>
                <w:i w:val="0"/>
                <w:sz w:val="19"/>
              </w:rPr>
              <w:t>数字供应链 / 盯市管理 / 预警规则配置 / 价格波动页签</w:t>
            </w:r>
          </w:p>
        </w:tc>
        <w:tc>
          <w:tcPr>
            <w:tcW w:type="dxa" w:w="2041"/>
          </w:tcPr>
          <w:p>
            <w:pPr>
              <w:spacing w:before="20" w:after="20" w:line="276" w:lineRule="auto"/>
              <w:ind w:firstLine="0"/>
            </w:pPr>
            <w:r/>
            <w:r>
              <w:rPr>
                <w:rFonts w:ascii="Times New Roman" w:hAnsi="Times New Roman" w:eastAsia="宋体"/>
                <w:b w:val="0"/>
                <w:i w:val="0"/>
                <w:sz w:val="19"/>
              </w:rPr>
              <w:t>价格波动页签的 6 字段筛选区（规则名称、规则类型、状态、风险等级、业务品种、是否关联合同）；14 列表格含规则编号、规则名称、规则类型、规则明细、风险等级、状态开关、业务品种、关联指标、业务类型、是否关联合同、备注、最后操作人员、最后操作时间、操作；合同配置弹窗表格</w:t>
            </w:r>
          </w:p>
        </w:tc>
        <w:tc>
          <w:tcPr>
            <w:tcW w:type="dxa" w:w="1701"/>
          </w:tcPr>
          <w:p>
            <w:pPr>
              <w:spacing w:before="20" w:after="20" w:line="276" w:lineRule="auto"/>
              <w:ind w:firstLine="0"/>
            </w:pPr>
            <w:r/>
            <w:r>
              <w:rPr>
                <w:rFonts w:ascii="Times New Roman" w:hAnsi="Times New Roman" w:eastAsia="宋体"/>
                <w:b w:val="0"/>
                <w:i w:val="0"/>
                <w:sz w:val="19"/>
              </w:rPr>
              <w:t>查询、重置、添加规则、状态启停开关、编辑、合同配置</w:t>
            </w:r>
          </w:p>
        </w:tc>
        <w:tc>
          <w:tcPr>
            <w:tcW w:type="dxa" w:w="1474"/>
          </w:tcPr>
          <w:p>
            <w:pPr>
              <w:spacing w:before="20" w:after="20" w:line="276" w:lineRule="auto"/>
              <w:ind w:firstLine="0"/>
            </w:pPr>
            <w:r/>
            <w:r>
              <w:rPr>
                <w:rFonts w:ascii="Times New Roman" w:hAnsi="Times New Roman" w:eastAsia="宋体"/>
                <w:b w:val="0"/>
                <w:i w:val="0"/>
                <w:sz w:val="19"/>
              </w:rPr>
              <w:t>点击合同配置进入监控合同配置页 warning-price-contract-config.html</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4.17.5　数据关系</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474"/>
            <w:shd w:val="clear" w:color="auto" w:fill="DCE6F1"/>
          </w:tcPr>
          <w:p>
            <w:pPr>
              <w:spacing w:before="40" w:after="40" w:line="276" w:lineRule="auto"/>
              <w:jc w:val="center"/>
            </w:pPr>
            <w:r/>
            <w:r>
              <w:rPr>
                <w:rFonts w:ascii="Times New Roman" w:hAnsi="Times New Roman" w:eastAsia="黑体"/>
                <w:b/>
                <w:i w:val="0"/>
                <w:sz w:val="21"/>
              </w:rPr>
              <w:t>业务对象</w:t>
            </w:r>
          </w:p>
        </w:tc>
        <w:tc>
          <w:tcPr>
            <w:tcW w:type="dxa" w:w="4195"/>
            <w:shd w:val="clear" w:color="auto" w:fill="DCE6F1"/>
          </w:tcPr>
          <w:p>
            <w:pPr>
              <w:spacing w:before="40" w:after="40" w:line="276" w:lineRule="auto"/>
              <w:jc w:val="center"/>
            </w:pPr>
            <w:r/>
            <w:r>
              <w:rPr>
                <w:rFonts w:ascii="Times New Roman" w:hAnsi="Times New Roman" w:eastAsia="黑体"/>
                <w:b/>
                <w:i w:val="0"/>
                <w:sz w:val="21"/>
              </w:rPr>
              <w:t>关键字段与口径</w:t>
            </w:r>
          </w:p>
        </w:tc>
        <w:tc>
          <w:tcPr>
            <w:tcW w:type="dxa" w:w="3402"/>
            <w:shd w:val="clear" w:color="auto" w:fill="DCE6F1"/>
          </w:tcPr>
          <w:p>
            <w:pPr>
              <w:spacing w:before="40" w:after="40" w:line="276" w:lineRule="auto"/>
              <w:jc w:val="center"/>
            </w:pPr>
            <w:r/>
            <w:r>
              <w:rPr>
                <w:rFonts w:ascii="Times New Roman" w:hAnsi="Times New Roman" w:eastAsia="黑体"/>
                <w:b/>
                <w:i w:val="0"/>
                <w:sz w:val="21"/>
              </w:rPr>
              <w:t>与其他对象的关系</w:t>
            </w:r>
          </w:p>
        </w:tc>
      </w:tr>
      <w:tr>
        <w:tc>
          <w:tcPr>
            <w:tcW w:type="dxa" w:w="1474"/>
          </w:tcPr>
          <w:p>
            <w:pPr>
              <w:spacing w:before="20" w:after="20" w:line="276" w:lineRule="auto"/>
              <w:ind w:firstLine="0"/>
            </w:pPr>
            <w:r/>
            <w:r>
              <w:rPr>
                <w:rFonts w:ascii="Times New Roman" w:hAnsi="Times New Roman" w:eastAsia="宋体"/>
                <w:b w:val="0"/>
                <w:i w:val="0"/>
                <w:sz w:val="21"/>
              </w:rPr>
              <w:t>价格指数主表</w:t>
            </w:r>
          </w:p>
        </w:tc>
        <w:tc>
          <w:tcPr>
            <w:tcW w:type="dxa" w:w="4195"/>
          </w:tcPr>
          <w:p>
            <w:pPr>
              <w:spacing w:before="20" w:after="20" w:line="276" w:lineRule="auto"/>
              <w:ind w:firstLine="0"/>
            </w:pPr>
            <w:r/>
            <w:r>
              <w:rPr>
                <w:rFonts w:ascii="Times New Roman" w:hAnsi="Times New Roman" w:eastAsia="宋体"/>
                <w:b w:val="0"/>
                <w:i w:val="0"/>
                <w:sz w:val="21"/>
              </w:rPr>
              <w:t>指数名称：必填，用于看板卡片标题，如某环渤海动力煤现货参考价</w:t>
            </w:r>
            <w:r>
              <w:br/>
            </w:r>
            <w:r>
              <w:rPr>
                <w:rFonts w:ascii="Times New Roman" w:hAnsi="Times New Roman" w:eastAsia="宋体"/>
                <w:b w:val="0"/>
                <w:i w:val="0"/>
                <w:sz w:val="21"/>
              </w:rPr>
              <w:t>指数代码：可选，用于标识指数来源，如 CCI、CCTD</w:t>
            </w:r>
            <w:r>
              <w:br/>
            </w:r>
            <w:r>
              <w:rPr>
                <w:rFonts w:ascii="Times New Roman" w:hAnsi="Times New Roman" w:eastAsia="宋体"/>
                <w:b w:val="0"/>
                <w:i w:val="0"/>
                <w:sz w:val="21"/>
              </w:rPr>
              <w:t>指数来源：必填，取值三方指数或数链指数</w:t>
            </w:r>
            <w:r>
              <w:br/>
            </w:r>
            <w:r>
              <w:rPr>
                <w:rFonts w:ascii="Times New Roman" w:hAnsi="Times New Roman" w:eastAsia="宋体"/>
                <w:b w:val="0"/>
                <w:i w:val="0"/>
                <w:sz w:val="21"/>
              </w:rPr>
              <w:t>数据源名称：三方指数的具体来源名称</w:t>
            </w:r>
            <w:r>
              <w:br/>
            </w:r>
            <w:r>
              <w:rPr>
                <w:rFonts w:ascii="Times New Roman" w:hAnsi="Times New Roman" w:eastAsia="宋体"/>
                <w:b w:val="0"/>
                <w:i w:val="0"/>
                <w:sz w:val="21"/>
              </w:rPr>
              <w:t>商品种类：必填，取值动力煤、炼焦煤、水泥煤、铁矿石、焦炭、兰炭共 6 项</w:t>
            </w:r>
            <w:r>
              <w:br/>
            </w:r>
            <w:r>
              <w:rPr>
                <w:rFonts w:ascii="Times New Roman" w:hAnsi="Times New Roman" w:eastAsia="宋体"/>
                <w:b w:val="0"/>
                <w:i w:val="0"/>
                <w:sz w:val="21"/>
              </w:rPr>
              <w:t>对应地点：北方港、华东、华南、巴彦淖尔、其他</w:t>
            </w:r>
            <w:r>
              <w:br/>
            </w:r>
            <w:r>
              <w:rPr>
                <w:rFonts w:ascii="Times New Roman" w:hAnsi="Times New Roman" w:eastAsia="宋体"/>
                <w:b w:val="0"/>
                <w:i w:val="0"/>
                <w:sz w:val="21"/>
              </w:rPr>
              <w:t>单位：必填，统一为元每吨</w:t>
            </w:r>
            <w:r>
              <w:br/>
            </w:r>
            <w:r>
              <w:rPr>
                <w:rFonts w:ascii="Times New Roman" w:hAnsi="Times New Roman" w:eastAsia="宋体"/>
                <w:b w:val="0"/>
                <w:i w:val="0"/>
                <w:sz w:val="21"/>
              </w:rPr>
              <w:t>最新价：当前有效报价</w:t>
            </w:r>
            <w:r>
              <w:br/>
            </w:r>
            <w:r>
              <w:rPr>
                <w:rFonts w:ascii="Times New Roman" w:hAnsi="Times New Roman" w:eastAsia="宋体"/>
                <w:b w:val="0"/>
                <w:i w:val="0"/>
                <w:sz w:val="21"/>
              </w:rPr>
              <w:t>变化值：最新价减昨日价，可正可负</w:t>
            </w:r>
            <w:r>
              <w:br/>
            </w:r>
            <w:r>
              <w:rPr>
                <w:rFonts w:ascii="Times New Roman" w:hAnsi="Times New Roman" w:eastAsia="宋体"/>
                <w:b w:val="0"/>
                <w:i w:val="0"/>
                <w:sz w:val="21"/>
              </w:rPr>
              <w:t>变化百分比：变化值除以昨日价乘 100%</w:t>
            </w:r>
            <w:r>
              <w:br/>
            </w:r>
            <w:r>
              <w:rPr>
                <w:rFonts w:ascii="Times New Roman" w:hAnsi="Times New Roman" w:eastAsia="宋体"/>
                <w:b w:val="0"/>
                <w:i w:val="0"/>
                <w:sz w:val="21"/>
              </w:rPr>
              <w:t>更新频次：日、周、月</w:t>
            </w:r>
            <w:r>
              <w:br/>
            </w:r>
            <w:r>
              <w:rPr>
                <w:rFonts w:ascii="Times New Roman" w:hAnsi="Times New Roman" w:eastAsia="宋体"/>
                <w:b w:val="0"/>
                <w:i w:val="0"/>
                <w:sz w:val="21"/>
              </w:rPr>
              <w:t>启用状态：0 停用，1 启用，默认启用</w:t>
            </w:r>
          </w:p>
        </w:tc>
        <w:tc>
          <w:tcPr>
            <w:tcW w:type="dxa" w:w="3402"/>
          </w:tcPr>
          <w:p>
            <w:pPr>
              <w:spacing w:before="20" w:after="20" w:line="276" w:lineRule="auto"/>
              <w:ind w:firstLine="0"/>
            </w:pPr>
            <w:r/>
            <w:r>
              <w:rPr>
                <w:rFonts w:ascii="Times New Roman" w:hAnsi="Times New Roman" w:eastAsia="宋体"/>
                <w:b w:val="0"/>
                <w:i w:val="0"/>
                <w:sz w:val="21"/>
              </w:rPr>
              <w:t>一个价格指数下挂多个指标配置与多条历史价格记录；指数被停用后不再参与监控</w:t>
            </w:r>
          </w:p>
        </w:tc>
      </w:tr>
      <w:tr>
        <w:tc>
          <w:tcPr>
            <w:tcW w:type="dxa" w:w="1474"/>
          </w:tcPr>
          <w:p>
            <w:pPr>
              <w:spacing w:before="20" w:after="20" w:line="276" w:lineRule="auto"/>
              <w:ind w:firstLine="0"/>
            </w:pPr>
            <w:r/>
            <w:r>
              <w:rPr>
                <w:rFonts w:ascii="Times New Roman" w:hAnsi="Times New Roman" w:eastAsia="宋体"/>
                <w:b w:val="0"/>
                <w:i w:val="0"/>
                <w:sz w:val="21"/>
              </w:rPr>
              <w:t>指标配置</w:t>
            </w:r>
          </w:p>
        </w:tc>
        <w:tc>
          <w:tcPr>
            <w:tcW w:type="dxa" w:w="4195"/>
          </w:tcPr>
          <w:p>
            <w:pPr>
              <w:spacing w:before="20" w:after="20" w:line="276" w:lineRule="auto"/>
              <w:ind w:firstLine="0"/>
            </w:pPr>
            <w:r/>
            <w:r>
              <w:rPr>
                <w:rFonts w:ascii="Times New Roman" w:hAnsi="Times New Roman" w:eastAsia="宋体"/>
                <w:b w:val="0"/>
                <w:i w:val="0"/>
                <w:sz w:val="21"/>
              </w:rPr>
              <w:t>关联指数：指向价格指数主表</w:t>
            </w:r>
            <w:r>
              <w:br/>
            </w:r>
            <w:r>
              <w:rPr>
                <w:rFonts w:ascii="Times New Roman" w:hAnsi="Times New Roman" w:eastAsia="宋体"/>
                <w:b w:val="0"/>
                <w:i w:val="0"/>
                <w:sz w:val="21"/>
              </w:rPr>
              <w:t>指标名：必填</w:t>
            </w:r>
            <w:r>
              <w:br/>
            </w:r>
            <w:r>
              <w:rPr>
                <w:rFonts w:ascii="Times New Roman" w:hAnsi="Times New Roman" w:eastAsia="宋体"/>
                <w:b w:val="0"/>
                <w:i w:val="0"/>
                <w:sz w:val="21"/>
              </w:rPr>
              <w:t>指标类型：必填</w:t>
            </w:r>
            <w:r>
              <w:br/>
            </w:r>
            <w:r>
              <w:rPr>
                <w:rFonts w:ascii="Times New Roman" w:hAnsi="Times New Roman" w:eastAsia="宋体"/>
                <w:b w:val="0"/>
                <w:i w:val="0"/>
                <w:sz w:val="21"/>
              </w:rPr>
              <w:t>预警线：聚合价低于等于该值即触发下游动作</w:t>
            </w:r>
            <w:r>
              <w:br/>
            </w:r>
            <w:r>
              <w:rPr>
                <w:rFonts w:ascii="Times New Roman" w:hAnsi="Times New Roman" w:eastAsia="宋体"/>
                <w:b w:val="0"/>
                <w:i w:val="0"/>
                <w:sz w:val="21"/>
              </w:rPr>
              <w:t>红线：聚合价低于等于该值即触发下游动作</w:t>
            </w:r>
            <w:r>
              <w:br/>
            </w:r>
            <w:r>
              <w:rPr>
                <w:rFonts w:ascii="Times New Roman" w:hAnsi="Times New Roman" w:eastAsia="宋体"/>
                <w:b w:val="0"/>
                <w:i w:val="0"/>
                <w:sz w:val="21"/>
              </w:rPr>
              <w:t>启用状态：0 停用，1 启用，默认启用</w:t>
            </w:r>
          </w:p>
        </w:tc>
        <w:tc>
          <w:tcPr>
            <w:tcW w:type="dxa" w:w="3402"/>
          </w:tcPr>
          <w:p>
            <w:pPr>
              <w:spacing w:before="20" w:after="20" w:line="276" w:lineRule="auto"/>
              <w:ind w:firstLine="0"/>
            </w:pPr>
            <w:r/>
            <w:r>
              <w:rPr>
                <w:rFonts w:ascii="Times New Roman" w:hAnsi="Times New Roman" w:eastAsia="宋体"/>
                <w:b w:val="0"/>
                <w:i w:val="0"/>
                <w:sz w:val="21"/>
              </w:rPr>
              <w:t>从属于价格指数；预警线与红线是盯市价格触发追保函的判定依据</w:t>
            </w:r>
          </w:p>
        </w:tc>
      </w:tr>
      <w:tr>
        <w:tc>
          <w:tcPr>
            <w:tcW w:type="dxa" w:w="1474"/>
          </w:tcPr>
          <w:p>
            <w:pPr>
              <w:spacing w:before="20" w:after="20" w:line="276" w:lineRule="auto"/>
              <w:ind w:firstLine="0"/>
            </w:pPr>
            <w:r/>
            <w:r>
              <w:rPr>
                <w:rFonts w:ascii="Times New Roman" w:hAnsi="Times New Roman" w:eastAsia="宋体"/>
                <w:b w:val="0"/>
                <w:i w:val="0"/>
                <w:sz w:val="21"/>
              </w:rPr>
              <w:t>价格历史</w:t>
            </w:r>
          </w:p>
        </w:tc>
        <w:tc>
          <w:tcPr>
            <w:tcW w:type="dxa" w:w="4195"/>
          </w:tcPr>
          <w:p>
            <w:pPr>
              <w:spacing w:before="20" w:after="20" w:line="276" w:lineRule="auto"/>
              <w:ind w:firstLine="0"/>
            </w:pPr>
            <w:r/>
            <w:r>
              <w:rPr>
                <w:rFonts w:ascii="Times New Roman" w:hAnsi="Times New Roman" w:eastAsia="宋体"/>
                <w:b w:val="0"/>
                <w:i w:val="0"/>
                <w:sz w:val="21"/>
              </w:rPr>
              <w:t>关联指数：指向价格指数主表</w:t>
            </w:r>
            <w:r>
              <w:br/>
            </w:r>
            <w:r>
              <w:rPr>
                <w:rFonts w:ascii="Times New Roman" w:hAnsi="Times New Roman" w:eastAsia="宋体"/>
                <w:b w:val="0"/>
                <w:i w:val="0"/>
                <w:sz w:val="21"/>
              </w:rPr>
              <w:t>价格：必填，历史有效报价</w:t>
            </w:r>
            <w:r>
              <w:br/>
            </w:r>
            <w:r>
              <w:rPr>
                <w:rFonts w:ascii="Times New Roman" w:hAnsi="Times New Roman" w:eastAsia="宋体"/>
                <w:b w:val="0"/>
                <w:i w:val="0"/>
                <w:sz w:val="21"/>
              </w:rPr>
              <w:t>日期：必填，价格记录所属日期</w:t>
            </w:r>
            <w:r>
              <w:br/>
            </w:r>
            <w:r>
              <w:rPr>
                <w:rFonts w:ascii="Times New Roman" w:hAnsi="Times New Roman" w:eastAsia="宋体"/>
                <w:b w:val="0"/>
                <w:i w:val="0"/>
                <w:sz w:val="21"/>
              </w:rPr>
              <w:t>数据来源：三方指数或平台自建数链指数</w:t>
            </w:r>
          </w:p>
        </w:tc>
        <w:tc>
          <w:tcPr>
            <w:tcW w:type="dxa" w:w="3402"/>
          </w:tcPr>
          <w:p>
            <w:pPr>
              <w:spacing w:before="20" w:after="20" w:line="276" w:lineRule="auto"/>
              <w:ind w:firstLine="0"/>
            </w:pPr>
            <w:r/>
            <w:r>
              <w:rPr>
                <w:rFonts w:ascii="Times New Roman" w:hAnsi="Times New Roman" w:eastAsia="宋体"/>
                <w:b w:val="0"/>
                <w:i w:val="0"/>
                <w:sz w:val="21"/>
              </w:rPr>
              <w:t>从属于价格指数；变化值与变化百分比均以本表的相邻两日价格计算</w:t>
            </w:r>
          </w:p>
        </w:tc>
      </w:tr>
      <w:tr>
        <w:tc>
          <w:tcPr>
            <w:tcW w:type="dxa" w:w="1474"/>
          </w:tcPr>
          <w:p>
            <w:pPr>
              <w:spacing w:before="20" w:after="20" w:line="276" w:lineRule="auto"/>
              <w:ind w:firstLine="0"/>
            </w:pPr>
            <w:r/>
            <w:r>
              <w:rPr>
                <w:rFonts w:ascii="Times New Roman" w:hAnsi="Times New Roman" w:eastAsia="宋体"/>
                <w:b w:val="0"/>
                <w:i w:val="0"/>
                <w:sz w:val="21"/>
              </w:rPr>
              <w:t>价格波动规则</w:t>
            </w:r>
          </w:p>
        </w:tc>
        <w:tc>
          <w:tcPr>
            <w:tcW w:type="dxa" w:w="4195"/>
          </w:tcPr>
          <w:p>
            <w:pPr>
              <w:spacing w:before="20" w:after="20" w:line="276" w:lineRule="auto"/>
              <w:ind w:firstLine="0"/>
            </w:pPr>
            <w:r/>
            <w:r>
              <w:rPr>
                <w:rFonts w:ascii="Times New Roman" w:hAnsi="Times New Roman" w:eastAsia="宋体"/>
                <w:b w:val="0"/>
                <w:i w:val="0"/>
                <w:sz w:val="21"/>
              </w:rPr>
              <w:t>规则类型：15 种价格波动对比基准，含最新价与当月月初、上月同期、上上月同期、本年年初、去年同期、当月平均、当月最高、当月最低、当年平均、当年最高、当年最低、最近 N 个自然日内平均价、最近 N 个自然日内最高价、各地现货交易最高限价</w:t>
            </w:r>
            <w:r>
              <w:br/>
            </w:r>
            <w:r>
              <w:rPr>
                <w:rFonts w:ascii="Times New Roman" w:hAnsi="Times New Roman" w:eastAsia="宋体"/>
                <w:b w:val="0"/>
                <w:i w:val="0"/>
                <w:sz w:val="21"/>
              </w:rPr>
              <w:t>是否关联合同：单选是或否；选是时监控合同为条件必填</w:t>
            </w:r>
            <w:r>
              <w:br/>
            </w:r>
            <w:r>
              <w:rPr>
                <w:rFonts w:ascii="Times New Roman" w:hAnsi="Times New Roman" w:eastAsia="宋体"/>
                <w:b w:val="0"/>
                <w:i w:val="0"/>
                <w:sz w:val="21"/>
              </w:rPr>
              <w:t>业务类型：当前仅存货业务可选</w:t>
            </w:r>
            <w:r>
              <w:br/>
            </w:r>
            <w:r>
              <w:rPr>
                <w:rFonts w:ascii="Times New Roman" w:hAnsi="Times New Roman" w:eastAsia="宋体"/>
                <w:b w:val="0"/>
                <w:i w:val="0"/>
                <w:sz w:val="21"/>
              </w:rPr>
              <w:t>规则名称：全局唯一，长度上限 99 位，支持中英文数字与常规标点</w:t>
            </w:r>
            <w:r>
              <w:br/>
            </w:r>
            <w:r>
              <w:rPr>
                <w:rFonts w:ascii="Times New Roman" w:hAnsi="Times New Roman" w:eastAsia="宋体"/>
                <w:b w:val="0"/>
                <w:i w:val="0"/>
                <w:sz w:val="21"/>
              </w:rPr>
              <w:t>风险等级：高、中、低三档</w:t>
            </w:r>
            <w:r>
              <w:br/>
            </w:r>
            <w:r>
              <w:rPr>
                <w:rFonts w:ascii="Times New Roman" w:hAnsi="Times New Roman" w:eastAsia="宋体"/>
                <w:b w:val="0"/>
                <w:i w:val="0"/>
                <w:sz w:val="21"/>
              </w:rPr>
              <w:t>考核项：最大波动幅度或最大波动金额，二选一</w:t>
            </w:r>
            <w:r>
              <w:br/>
            </w:r>
            <w:r>
              <w:rPr>
                <w:rFonts w:ascii="Times New Roman" w:hAnsi="Times New Roman" w:eastAsia="宋体"/>
                <w:b w:val="0"/>
                <w:i w:val="0"/>
                <w:sz w:val="21"/>
              </w:rPr>
              <w:t>配置项：涨幅跌幅百分比或涨幅跌幅金额，必须与考核项口径一致</w:t>
            </w:r>
            <w:r>
              <w:br/>
            </w:r>
            <w:r>
              <w:rPr>
                <w:rFonts w:ascii="Times New Roman" w:hAnsi="Times New Roman" w:eastAsia="宋体"/>
                <w:b w:val="0"/>
                <w:i w:val="0"/>
                <w:sz w:val="21"/>
              </w:rPr>
              <w:t>通用指标：从已有配置中勾选，可多选</w:t>
            </w:r>
            <w:r>
              <w:br/>
            </w:r>
            <w:r>
              <w:rPr>
                <w:rFonts w:ascii="Times New Roman" w:hAnsi="Times New Roman" w:eastAsia="宋体"/>
                <w:b w:val="0"/>
                <w:i w:val="0"/>
                <w:sz w:val="21"/>
              </w:rPr>
              <w:t>消息类型：预警消息，可选钉钉、邮件、短信</w:t>
            </w:r>
            <w:r>
              <w:br/>
            </w:r>
            <w:r>
              <w:rPr>
                <w:rFonts w:ascii="Times New Roman" w:hAnsi="Times New Roman" w:eastAsia="宋体"/>
                <w:b w:val="0"/>
                <w:i w:val="0"/>
                <w:sz w:val="21"/>
              </w:rPr>
              <w:t>备注：选填</w:t>
            </w:r>
            <w:r>
              <w:br/>
            </w:r>
            <w:r>
              <w:rPr>
                <w:rFonts w:ascii="Times New Roman" w:hAnsi="Times New Roman" w:eastAsia="宋体"/>
                <w:b w:val="0"/>
                <w:i w:val="0"/>
                <w:sz w:val="21"/>
              </w:rPr>
              <w:t>监控合同：可多选框架合同与单批次合同</w:t>
            </w:r>
            <w:r>
              <w:br/>
            </w:r>
            <w:r>
              <w:rPr>
                <w:rFonts w:ascii="Times New Roman" w:hAnsi="Times New Roman" w:eastAsia="宋体"/>
                <w:b w:val="0"/>
                <w:i w:val="0"/>
                <w:sz w:val="21"/>
              </w:rPr>
              <w:t>规则明细：系统自动生成，包含本期价格、对比价格、考核项、配置项与风险等级</w:t>
            </w:r>
          </w:p>
        </w:tc>
        <w:tc>
          <w:tcPr>
            <w:tcW w:type="dxa" w:w="3402"/>
          </w:tcPr>
          <w:p>
            <w:pPr>
              <w:spacing w:before="20" w:after="20" w:line="276" w:lineRule="auto"/>
              <w:ind w:firstLine="0"/>
            </w:pPr>
            <w:r/>
            <w:r>
              <w:rPr>
                <w:rFonts w:ascii="Times New Roman" w:hAnsi="Times New Roman" w:eastAsia="宋体"/>
                <w:b w:val="0"/>
                <w:i w:val="0"/>
                <w:sz w:val="21"/>
              </w:rPr>
              <w:t>与预警中心的预警规则共用配置页；监控合同引用销售与采购合同，规则触发后按消息类型推送预警</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4.17.6　角色权限与数据权限</w:t>
      </w:r>
    </w:p>
    <w:p>
      <w:pPr>
        <w:spacing w:before="0" w:after="120" w:line="360" w:lineRule="auto"/>
      </w:pPr>
      <w:r>
        <w:rPr>
          <w:rFonts w:ascii="Times New Roman" w:hAnsi="Times New Roman" w:eastAsia="宋体"/>
          <w:b w:val="0"/>
          <w:i w:val="0"/>
          <w:sz w:val="24"/>
        </w:rPr>
        <w:t>本期为系统全量权限（业务方裁决 D17）；下表角色为典型使用角色，非权限分级。模块内存在明确的操作可见性差异：价格波动规则配置页仅价格波动页签提供添加规则入口，企业监控页签不提供该入口；监控合同配置页仅可选择执行中或待上传双签合同的合同。指数启停与自建指数录入的具体操作角色待业务方确认。</w:t>
      </w:r>
    </w:p>
    <w:p>
      <w:pPr>
        <w:spacing w:before="0" w:after="80" w:line="360" w:lineRule="auto"/>
      </w:pPr>
      <w:r>
        <w:rPr>
          <w:rFonts w:ascii="Times New Roman" w:hAnsi="Times New Roman" w:eastAsia="宋体"/>
          <w:b w:val="0"/>
          <w:i w:val="0"/>
          <w:sz w:val="24"/>
        </w:rPr>
        <w:t>数据可见性：按单据归属与业务筛选查看；手机号、统一社会信用代码等敏感字段默认打码，手动点击查看完整值且查看行为留痕。</w:t>
      </w:r>
    </w:p>
    <w:p>
      <w:pPr>
        <w:pStyle w:val="Heading3"/>
        <w:keepNext/>
        <w:spacing w:before="160" w:after="80" w:line="312" w:lineRule="auto"/>
        <w:ind w:firstLine="0"/>
      </w:pPr>
      <w:r>
        <w:rPr>
          <w:rFonts w:ascii="Times New Roman" w:hAnsi="Times New Roman" w:eastAsia="黑体"/>
          <w:b/>
          <w:i w:val="0"/>
          <w:sz w:val="24"/>
        </w:rPr>
        <w:t>4.17.7　业务流程与页面</w:t>
      </w:r>
    </w:p>
    <w:p>
      <w:pPr>
        <w:spacing w:before="120" w:after="60"/>
        <w:ind w:firstLine="0"/>
        <w:jc w:val="center"/>
      </w:pPr>
      <w:r>
        <w:drawing>
          <wp:inline xmlns:a="http://schemas.openxmlformats.org/drawingml/2006/main" xmlns:pic="http://schemas.openxmlformats.org/drawingml/2006/picture">
            <wp:extent cx="5616000" cy="1807448"/>
            <wp:docPr id="33" name="Picture 33"/>
            <wp:cNvGraphicFramePr>
              <a:graphicFrameLocks noChangeAspect="1"/>
            </wp:cNvGraphicFramePr>
            <a:graphic>
              <a:graphicData uri="http://schemas.openxmlformats.org/drawingml/2006/picture">
                <pic:pic>
                  <pic:nvPicPr>
                    <pic:cNvPr id="0" name="mermaid-market-price.png"/>
                    <pic:cNvPicPr/>
                  </pic:nvPicPr>
                  <pic:blipFill>
                    <a:blip r:embed="rId43"/>
                    <a:stretch>
                      <a:fillRect/>
                    </a:stretch>
                  </pic:blipFill>
                  <pic:spPr>
                    <a:xfrm>
                      <a:off x="0" y="0"/>
                      <a:ext cx="5616000" cy="1807448"/>
                    </a:xfrm>
                    <a:prstGeom prst="rect"/>
                  </pic:spPr>
                </pic:pic>
              </a:graphicData>
            </a:graphic>
          </wp:inline>
        </w:drawing>
      </w:r>
    </w:p>
    <w:p>
      <w:pPr>
        <w:spacing w:before="0" w:after="200" w:line="240" w:lineRule="auto"/>
        <w:ind w:firstLine="0"/>
        <w:jc w:val="center"/>
      </w:pPr>
      <w:r>
        <w:rPr>
          <w:rFonts w:ascii="Times New Roman" w:hAnsi="Times New Roman" w:eastAsia="宋体"/>
          <w:b w:val="0"/>
          <w:i w:val="0"/>
          <w:sz w:val="21"/>
        </w:rPr>
        <w:t>图 4-17-1　盯市管理 主业务流程</w:t>
      </w:r>
    </w:p>
    <w:p>
      <w:pPr>
        <w:spacing w:before="0" w:after="60" w:line="360" w:lineRule="auto"/>
      </w:pPr>
      <w:r>
        <w:rPr>
          <w:rFonts w:ascii="Times New Roman" w:hAnsi="Times New Roman" w:eastAsia="宋体"/>
          <w:b/>
          <w:i w:val="0"/>
          <w:sz w:val="24"/>
        </w:rPr>
        <w:t>主流程步骤：</w:t>
      </w:r>
    </w:p>
    <w:p>
      <w:pPr>
        <w:spacing w:before="0" w:after="60" w:line="336" w:lineRule="auto"/>
        <w:ind w:left="510" w:hanging="510"/>
      </w:pPr>
      <w:r>
        <w:rPr>
          <w:rFonts w:ascii="Times New Roman" w:hAnsi="Times New Roman" w:eastAsia="宋体"/>
          <w:b w:val="0"/>
          <w:i w:val="0"/>
          <w:sz w:val="24"/>
        </w:rPr>
        <w:t>1. 三方价格接口按定时任务抓取报价，写入三方指数价格数据</w:t>
      </w:r>
    </w:p>
    <w:p>
      <w:pPr>
        <w:spacing w:before="0" w:after="60" w:line="336" w:lineRule="auto"/>
        <w:ind w:left="510" w:hanging="510"/>
      </w:pPr>
      <w:r>
        <w:rPr>
          <w:rFonts w:ascii="Times New Roman" w:hAnsi="Times New Roman" w:eastAsia="宋体"/>
          <w:b w:val="0"/>
          <w:i w:val="0"/>
          <w:sz w:val="24"/>
        </w:rPr>
        <w:t>2. 平台自建指数价格由人工录入或计算后写入自建指数价格数据</w:t>
      </w:r>
    </w:p>
    <w:p>
      <w:pPr>
        <w:spacing w:before="0" w:after="60" w:line="336" w:lineRule="auto"/>
        <w:ind w:left="510" w:hanging="510"/>
      </w:pPr>
      <w:r>
        <w:rPr>
          <w:rFonts w:ascii="Times New Roman" w:hAnsi="Times New Roman" w:eastAsia="宋体"/>
          <w:b w:val="0"/>
          <w:i w:val="0"/>
          <w:sz w:val="24"/>
        </w:rPr>
        <w:t>3. 两路价格数据就绪后汇总，按商品种类与对应地点聚合出聚合价</w:t>
      </w:r>
    </w:p>
    <w:p>
      <w:pPr>
        <w:spacing w:before="0" w:after="60" w:line="336" w:lineRule="auto"/>
        <w:ind w:left="510" w:hanging="510"/>
      </w:pPr>
      <w:r>
        <w:rPr>
          <w:rFonts w:ascii="Times New Roman" w:hAnsi="Times New Roman" w:eastAsia="宋体"/>
          <w:b w:val="0"/>
          <w:i w:val="0"/>
          <w:sz w:val="24"/>
        </w:rPr>
        <w:t>4. 聚合价与指标配置中的预警线、红线比对</w:t>
      </w:r>
    </w:p>
    <w:p>
      <w:pPr>
        <w:spacing w:before="0" w:after="60" w:line="336" w:lineRule="auto"/>
        <w:ind w:left="510" w:hanging="510"/>
      </w:pPr>
      <w:r>
        <w:rPr>
          <w:rFonts w:ascii="Times New Roman" w:hAnsi="Times New Roman" w:eastAsia="宋体"/>
          <w:b w:val="0"/>
          <w:i w:val="0"/>
          <w:sz w:val="24"/>
        </w:rPr>
        <w:t>5. 聚合价高于预警线时继续监控，不产生下游动作</w:t>
      </w:r>
    </w:p>
    <w:p>
      <w:pPr>
        <w:spacing w:before="0" w:after="60" w:line="336" w:lineRule="auto"/>
        <w:ind w:left="510" w:hanging="510"/>
      </w:pPr>
      <w:r>
        <w:rPr>
          <w:rFonts w:ascii="Times New Roman" w:hAnsi="Times New Roman" w:eastAsia="宋体"/>
          <w:b w:val="0"/>
          <w:i w:val="0"/>
          <w:sz w:val="24"/>
        </w:rPr>
        <w:t>6. 聚合价低于等于预警线或红线时记录触发指数、触发价格与两条阈值</w:t>
      </w:r>
    </w:p>
    <w:p>
      <w:pPr>
        <w:spacing w:before="0" w:after="60" w:line="336" w:lineRule="auto"/>
        <w:ind w:left="510" w:hanging="510"/>
      </w:pPr>
      <w:r>
        <w:rPr>
          <w:rFonts w:ascii="Times New Roman" w:hAnsi="Times New Roman" w:eastAsia="宋体"/>
          <w:b w:val="0"/>
          <w:i w:val="0"/>
          <w:sz w:val="24"/>
        </w:rPr>
        <w:t>7. 自动生成追保函并进入审批中状态，同时向预警中心推送价格波动预警</w:t>
      </w:r>
    </w:p>
    <w:p>
      <w:pPr>
        <w:spacing w:before="0" w:after="60" w:line="336" w:lineRule="auto"/>
        <w:ind w:left="510" w:hanging="510"/>
      </w:pPr>
      <w:r>
        <w:rPr>
          <w:rFonts w:ascii="Times New Roman" w:hAnsi="Times New Roman" w:eastAsia="宋体"/>
          <w:b w:val="0"/>
          <w:i w:val="0"/>
          <w:sz w:val="24"/>
        </w:rPr>
        <w:t>8. 业务人员在预警规则配置页维护价格波动规则，设定规则类型、风险等级、考核项与配置项</w:t>
      </w:r>
    </w:p>
    <w:p>
      <w:pPr>
        <w:spacing w:before="0" w:after="60" w:line="336" w:lineRule="auto"/>
        <w:ind w:left="510" w:hanging="510"/>
      </w:pPr>
      <w:r>
        <w:rPr>
          <w:rFonts w:ascii="Times New Roman" w:hAnsi="Times New Roman" w:eastAsia="宋体"/>
          <w:b w:val="0"/>
          <w:i w:val="0"/>
          <w:sz w:val="24"/>
        </w:rPr>
        <w:t>9. 规则选择关联合同时进入监控合同配置，绑定执行中或待上传双签合同的合同后保存生效</w:t>
      </w:r>
    </w:p>
    <w:p>
      <w:pPr>
        <w:spacing w:before="120" w:after="60" w:line="360" w:lineRule="auto"/>
      </w:pPr>
      <w:r>
        <w:rPr>
          <w:rFonts w:ascii="Times New Roman" w:hAnsi="Times New Roman" w:eastAsia="宋体"/>
          <w:b/>
          <w:i w:val="0"/>
          <w:sz w:val="24"/>
        </w:rPr>
        <w:t>异常分支：</w:t>
      </w:r>
    </w:p>
    <w:tbl>
      <w:tblPr>
        <w:tblStyle w:val="TableGrid"/>
        <w:tblW w:type="auto" w:w="0"/>
        <w:jc w:val="center"/>
        <w:tblLayout w:type="fixed"/>
        <w:tblLook w:firstColumn="1" w:firstRow="1" w:lastColumn="0" w:lastRow="0" w:noHBand="0" w:noVBand="1" w:val="04A0"/>
      </w:tblPr>
      <w:tblGrid>
        <w:gridCol w:w="4479"/>
        <w:gridCol w:w="4479"/>
      </w:tblGrid>
      <w:tr>
        <w:trPr>
          <w:tblHeader w:val="true"/>
        </w:trPr>
        <w:tc>
          <w:tcPr>
            <w:tcW w:type="dxa" w:w="2835"/>
            <w:shd w:val="clear" w:color="auto" w:fill="DCE6F1"/>
          </w:tcPr>
          <w:p>
            <w:pPr>
              <w:spacing w:before="40" w:after="40" w:line="276" w:lineRule="auto"/>
              <w:jc w:val="center"/>
            </w:pPr>
            <w:r/>
            <w:r>
              <w:rPr>
                <w:rFonts w:ascii="Times New Roman" w:hAnsi="Times New Roman" w:eastAsia="黑体"/>
                <w:b/>
                <w:i w:val="0"/>
                <w:sz w:val="21"/>
              </w:rPr>
              <w:t>异常场景</w:t>
            </w:r>
          </w:p>
        </w:tc>
        <w:tc>
          <w:tcPr>
            <w:tcW w:type="dxa" w:w="6236"/>
            <w:shd w:val="clear" w:color="auto" w:fill="DCE6F1"/>
          </w:tcPr>
          <w:p>
            <w:pPr>
              <w:spacing w:before="40" w:after="40" w:line="276" w:lineRule="auto"/>
              <w:jc w:val="center"/>
            </w:pPr>
            <w:r/>
            <w:r>
              <w:rPr>
                <w:rFonts w:ascii="Times New Roman" w:hAnsi="Times New Roman" w:eastAsia="黑体"/>
                <w:b/>
                <w:i w:val="0"/>
                <w:sz w:val="21"/>
              </w:rPr>
              <w:t>系统处理</w:t>
            </w:r>
          </w:p>
        </w:tc>
      </w:tr>
      <w:tr>
        <w:tc>
          <w:tcPr>
            <w:tcW w:type="dxa" w:w="2835"/>
          </w:tcPr>
          <w:p>
            <w:pPr>
              <w:spacing w:before="20" w:after="20" w:line="276" w:lineRule="auto"/>
              <w:ind w:firstLine="0"/>
            </w:pPr>
            <w:r/>
            <w:r>
              <w:rPr>
                <w:rFonts w:ascii="Times New Roman" w:hAnsi="Times New Roman" w:eastAsia="宋体"/>
                <w:b w:val="0"/>
                <w:i w:val="0"/>
                <w:sz w:val="21"/>
              </w:rPr>
              <w:t>三方指数抓取失败</w:t>
            </w:r>
          </w:p>
        </w:tc>
        <w:tc>
          <w:tcPr>
            <w:tcW w:type="dxa" w:w="6236"/>
          </w:tcPr>
          <w:p>
            <w:pPr>
              <w:spacing w:before="20" w:after="20" w:line="276" w:lineRule="auto"/>
              <w:ind w:firstLine="0"/>
            </w:pPr>
            <w:r/>
            <w:r>
              <w:rPr>
                <w:rFonts w:ascii="Times New Roman" w:hAnsi="Times New Roman" w:eastAsia="宋体"/>
                <w:b w:val="0"/>
                <w:i w:val="0"/>
                <w:sz w:val="21"/>
              </w:rPr>
              <w:t>提示三方指数抓取失败，请联系管理员，执行重试并发送邮件通知，相关卡片置为暂无数据，不阻断其他指数展示</w:t>
            </w:r>
          </w:p>
        </w:tc>
      </w:tr>
      <w:tr>
        <w:tc>
          <w:tcPr>
            <w:tcW w:type="dxa" w:w="2835"/>
          </w:tcPr>
          <w:p>
            <w:pPr>
              <w:spacing w:before="20" w:after="20" w:line="276" w:lineRule="auto"/>
              <w:ind w:firstLine="0"/>
            </w:pPr>
            <w:r/>
            <w:r>
              <w:rPr>
                <w:rFonts w:ascii="Times New Roman" w:hAnsi="Times New Roman" w:eastAsia="宋体"/>
                <w:b w:val="0"/>
                <w:i w:val="0"/>
                <w:sz w:val="21"/>
              </w:rPr>
              <w:t>数据源某日价格缺失</w:t>
            </w:r>
          </w:p>
        </w:tc>
        <w:tc>
          <w:tcPr>
            <w:tcW w:type="dxa" w:w="6236"/>
          </w:tcPr>
          <w:p>
            <w:pPr>
              <w:spacing w:before="20" w:after="20" w:line="276" w:lineRule="auto"/>
              <w:ind w:firstLine="0"/>
            </w:pPr>
            <w:r/>
            <w:r>
              <w:rPr>
                <w:rFonts w:ascii="Times New Roman" w:hAnsi="Times New Roman" w:eastAsia="宋体"/>
                <w:b w:val="0"/>
                <w:i w:val="0"/>
                <w:sz w:val="21"/>
              </w:rPr>
              <w:t>提示指数在对应日期无数据，该指数当日卡片标记为暂无数据，仍可进入详情查看历史数据</w:t>
            </w:r>
          </w:p>
        </w:tc>
      </w:tr>
      <w:tr>
        <w:tc>
          <w:tcPr>
            <w:tcW w:type="dxa" w:w="2835"/>
          </w:tcPr>
          <w:p>
            <w:pPr>
              <w:spacing w:before="20" w:after="20" w:line="276" w:lineRule="auto"/>
              <w:ind w:firstLine="0"/>
            </w:pPr>
            <w:r/>
            <w:r>
              <w:rPr>
                <w:rFonts w:ascii="Times New Roman" w:hAnsi="Times New Roman" w:eastAsia="宋体"/>
                <w:b w:val="0"/>
                <w:i w:val="0"/>
                <w:sz w:val="21"/>
              </w:rPr>
              <w:t>指数单日变化幅度异常</w:t>
            </w:r>
          </w:p>
        </w:tc>
        <w:tc>
          <w:tcPr>
            <w:tcW w:type="dxa" w:w="6236"/>
          </w:tcPr>
          <w:p>
            <w:pPr>
              <w:spacing w:before="20" w:after="20" w:line="276" w:lineRule="auto"/>
              <w:ind w:firstLine="0"/>
            </w:pPr>
            <w:r/>
            <w:r>
              <w:rPr>
                <w:rFonts w:ascii="Times New Roman" w:hAnsi="Times New Roman" w:eastAsia="宋体"/>
                <w:b w:val="0"/>
                <w:i w:val="0"/>
                <w:sz w:val="21"/>
              </w:rPr>
              <w:t>变化幅度超过 20% 时提示指数变化异常并请人工确认，以黄灯提醒呈现，不阻断浏览与后续操作</w:t>
            </w:r>
          </w:p>
        </w:tc>
      </w:tr>
      <w:tr>
        <w:tc>
          <w:tcPr>
            <w:tcW w:type="dxa" w:w="2835"/>
          </w:tcPr>
          <w:p>
            <w:pPr>
              <w:spacing w:before="20" w:after="20" w:line="276" w:lineRule="auto"/>
              <w:ind w:firstLine="0"/>
            </w:pPr>
            <w:r/>
            <w:r>
              <w:rPr>
                <w:rFonts w:ascii="Times New Roman" w:hAnsi="Times New Roman" w:eastAsia="宋体"/>
                <w:b w:val="0"/>
                <w:i w:val="0"/>
                <w:sz w:val="21"/>
              </w:rPr>
              <w:t>三方指数与数链指数价格差异过大</w:t>
            </w:r>
          </w:p>
        </w:tc>
        <w:tc>
          <w:tcPr>
            <w:tcW w:type="dxa" w:w="6236"/>
          </w:tcPr>
          <w:p>
            <w:pPr>
              <w:spacing w:before="20" w:after="20" w:line="276" w:lineRule="auto"/>
              <w:ind w:firstLine="0"/>
            </w:pPr>
            <w:r/>
            <w:r>
              <w:rPr>
                <w:rFonts w:ascii="Times New Roman" w:hAnsi="Times New Roman" w:eastAsia="宋体"/>
                <w:b w:val="0"/>
                <w:i w:val="0"/>
                <w:sz w:val="21"/>
              </w:rPr>
              <w:t>差异超过 5% 时提示三方指数与数链指数价格差异，以黄灯提醒呈现并提供双源对比，不阻断业务</w:t>
            </w:r>
          </w:p>
        </w:tc>
      </w:tr>
      <w:tr>
        <w:tc>
          <w:tcPr>
            <w:tcW w:type="dxa" w:w="2835"/>
          </w:tcPr>
          <w:p>
            <w:pPr>
              <w:spacing w:before="20" w:after="20" w:line="276" w:lineRule="auto"/>
              <w:ind w:firstLine="0"/>
            </w:pPr>
            <w:r/>
            <w:r>
              <w:rPr>
                <w:rFonts w:ascii="Times New Roman" w:hAnsi="Times New Roman" w:eastAsia="宋体"/>
                <w:b w:val="0"/>
                <w:i w:val="0"/>
                <w:sz w:val="21"/>
              </w:rPr>
              <w:t>规则配置校验不通过</w:t>
            </w:r>
          </w:p>
        </w:tc>
        <w:tc>
          <w:tcPr>
            <w:tcW w:type="dxa" w:w="6236"/>
          </w:tcPr>
          <w:p>
            <w:pPr>
              <w:spacing w:before="20" w:after="20" w:line="276" w:lineRule="auto"/>
              <w:ind w:firstLine="0"/>
            </w:pPr>
            <w:r/>
            <w:r>
              <w:rPr>
                <w:rFonts w:ascii="Times New Roman" w:hAnsi="Times New Roman" w:eastAsia="宋体"/>
                <w:b w:val="0"/>
                <w:i w:val="0"/>
                <w:sz w:val="21"/>
              </w:rPr>
              <w:t>规则名称超长或重复时红字内联提示并阻止保存；配置项与考核项口径不一致时红字内联提示并阻止保存；监控合同已作废或状态不符时红字内联提示并阻止保存</w:t>
            </w:r>
          </w:p>
        </w:tc>
      </w:tr>
      <w:tr>
        <w:tc>
          <w:tcPr>
            <w:tcW w:type="dxa" w:w="2835"/>
          </w:tcPr>
          <w:p>
            <w:pPr>
              <w:spacing w:before="20" w:after="20" w:line="276" w:lineRule="auto"/>
              <w:ind w:firstLine="0"/>
            </w:pPr>
            <w:r/>
            <w:r>
              <w:rPr>
                <w:rFonts w:ascii="Times New Roman" w:hAnsi="Times New Roman" w:eastAsia="宋体"/>
                <w:b w:val="0"/>
                <w:i w:val="0"/>
                <w:sz w:val="21"/>
              </w:rPr>
              <w:t>趋势对比模式下选择指数不足 2 个</w:t>
            </w:r>
          </w:p>
        </w:tc>
        <w:tc>
          <w:tcPr>
            <w:tcW w:type="dxa" w:w="6236"/>
          </w:tcPr>
          <w:p>
            <w:pPr>
              <w:spacing w:before="20" w:after="20" w:line="276" w:lineRule="auto"/>
              <w:ind w:firstLine="0"/>
            </w:pPr>
            <w:r/>
            <w:r>
              <w:rPr>
                <w:rFonts w:ascii="Times New Roman" w:hAnsi="Times New Roman" w:eastAsia="宋体"/>
                <w:b w:val="0"/>
                <w:i w:val="0"/>
                <w:sz w:val="21"/>
              </w:rPr>
              <w:t>阻止进入并提示至少选择 2 个指数，未满足条件前不允许叠加展示</w:t>
            </w:r>
          </w:p>
        </w:tc>
      </w:tr>
    </w:tbl>
    <w:p>
      <w:pPr>
        <w:spacing w:before="0" w:after="0" w:line="240" w:lineRule="auto"/>
      </w:pPr>
    </w:p>
    <w:p>
      <w:pPr>
        <w:spacing w:before="120" w:after="60"/>
        <w:ind w:firstLine="0"/>
        <w:jc w:val="center"/>
      </w:pPr>
      <w:r>
        <w:drawing>
          <wp:inline xmlns:a="http://schemas.openxmlformats.org/drawingml/2006/main" xmlns:pic="http://schemas.openxmlformats.org/drawingml/2006/picture">
            <wp:extent cx="5616000" cy="3334500"/>
            <wp:docPr id="34" name="Picture 34"/>
            <wp:cNvGraphicFramePr>
              <a:graphicFrameLocks noChangeAspect="1"/>
            </wp:cNvGraphicFramePr>
            <a:graphic>
              <a:graphicData uri="http://schemas.openxmlformats.org/drawingml/2006/picture">
                <pic:pic>
                  <pic:nvPicPr>
                    <pic:cNvPr id="0" name="market-price.png"/>
                    <pic:cNvPicPr/>
                  </pic:nvPicPr>
                  <pic:blipFill>
                    <a:blip r:embed="rId44"/>
                    <a:stretch>
                      <a:fillRect/>
                    </a:stretch>
                  </pic:blipFill>
                  <pic:spPr>
                    <a:xfrm>
                      <a:off x="0" y="0"/>
                      <a:ext cx="5616000" cy="3334500"/>
                    </a:xfrm>
                    <a:prstGeom prst="rect"/>
                  </pic:spPr>
                </pic:pic>
              </a:graphicData>
            </a:graphic>
          </wp:inline>
        </w:drawing>
      </w:r>
    </w:p>
    <w:p>
      <w:pPr>
        <w:spacing w:before="0" w:after="200" w:line="240" w:lineRule="auto"/>
        <w:ind w:firstLine="0"/>
        <w:jc w:val="center"/>
      </w:pPr>
      <w:r>
        <w:rPr>
          <w:rFonts w:ascii="Times New Roman" w:hAnsi="Times New Roman" w:eastAsia="宋体"/>
          <w:b w:val="0"/>
          <w:i w:val="0"/>
          <w:sz w:val="21"/>
        </w:rPr>
        <w:t>图 4-17-2　盯市管理 原型页面</w:t>
      </w:r>
    </w:p>
    <w:p>
      <w:pPr>
        <w:spacing w:before="80" w:after="60" w:line="360" w:lineRule="auto"/>
      </w:pPr>
      <w:r>
        <w:rPr>
          <w:rFonts w:ascii="Times New Roman" w:hAnsi="Times New Roman" w:eastAsia="宋体"/>
          <w:b/>
          <w:i w:val="0"/>
          <w:sz w:val="24"/>
        </w:rPr>
        <w:t>页面级说明：</w:t>
      </w: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tblGrid>
      <w:tr>
        <w:trPr>
          <w:tblHeader w:val="true"/>
        </w:trPr>
        <w:tc>
          <w:tcPr>
            <w:tcW w:type="dxa" w:w="1178"/>
            <w:shd w:val="clear" w:color="auto" w:fill="DCE6F1"/>
          </w:tcPr>
          <w:p>
            <w:pPr>
              <w:spacing w:before="40" w:after="40" w:line="276" w:lineRule="auto"/>
              <w:jc w:val="center"/>
            </w:pPr>
            <w:r/>
            <w:r>
              <w:rPr>
                <w:rFonts w:ascii="Times New Roman" w:hAnsi="Times New Roman" w:eastAsia="黑体"/>
                <w:b/>
                <w:i w:val="0"/>
                <w:sz w:val="19"/>
              </w:rPr>
              <w:t>页面</w:t>
            </w:r>
          </w:p>
        </w:tc>
        <w:tc>
          <w:tcPr>
            <w:tcW w:type="dxa" w:w="1531"/>
            <w:shd w:val="clear" w:color="auto" w:fill="DCE6F1"/>
          </w:tcPr>
          <w:p>
            <w:pPr>
              <w:spacing w:before="40" w:after="40" w:line="276" w:lineRule="auto"/>
              <w:jc w:val="center"/>
            </w:pPr>
            <w:r/>
            <w:r>
              <w:rPr>
                <w:rFonts w:ascii="Times New Roman" w:hAnsi="Times New Roman" w:eastAsia="黑体"/>
                <w:b/>
                <w:i w:val="0"/>
                <w:sz w:val="19"/>
              </w:rPr>
              <w:t>原型文件</w:t>
            </w:r>
          </w:p>
        </w:tc>
        <w:tc>
          <w:tcPr>
            <w:tcW w:type="dxa" w:w="1119"/>
            <w:shd w:val="clear" w:color="auto" w:fill="DCE6F1"/>
          </w:tcPr>
          <w:p>
            <w:pPr>
              <w:spacing w:before="40" w:after="40" w:line="276" w:lineRule="auto"/>
              <w:jc w:val="center"/>
            </w:pPr>
            <w:r/>
            <w:r>
              <w:rPr>
                <w:rFonts w:ascii="Times New Roman" w:hAnsi="Times New Roman" w:eastAsia="黑体"/>
                <w:b/>
                <w:i w:val="0"/>
                <w:sz w:val="19"/>
              </w:rPr>
              <w:t>进入方式</w:t>
            </w:r>
          </w:p>
        </w:tc>
        <w:tc>
          <w:tcPr>
            <w:tcW w:type="dxa" w:w="2062"/>
            <w:shd w:val="clear" w:color="auto" w:fill="DCE6F1"/>
          </w:tcPr>
          <w:p>
            <w:pPr>
              <w:spacing w:before="40" w:after="40" w:line="276" w:lineRule="auto"/>
              <w:jc w:val="center"/>
            </w:pPr>
            <w:r/>
            <w:r>
              <w:rPr>
                <w:rFonts w:ascii="Times New Roman" w:hAnsi="Times New Roman" w:eastAsia="黑体"/>
                <w:b/>
                <w:i w:val="0"/>
                <w:sz w:val="19"/>
              </w:rPr>
              <w:t>关键区块</w:t>
            </w:r>
          </w:p>
        </w:tc>
        <w:tc>
          <w:tcPr>
            <w:tcW w:type="dxa" w:w="1767"/>
            <w:shd w:val="clear" w:color="auto" w:fill="DCE6F1"/>
          </w:tcPr>
          <w:p>
            <w:pPr>
              <w:spacing w:before="40" w:after="40" w:line="276" w:lineRule="auto"/>
              <w:jc w:val="center"/>
            </w:pPr>
            <w:r/>
            <w:r>
              <w:rPr>
                <w:rFonts w:ascii="Times New Roman" w:hAnsi="Times New Roman" w:eastAsia="黑体"/>
                <w:b/>
                <w:i w:val="0"/>
                <w:sz w:val="19"/>
              </w:rPr>
              <w:t>主要按钮与行为</w:t>
            </w:r>
          </w:p>
        </w:tc>
        <w:tc>
          <w:tcPr>
            <w:tcW w:type="dxa" w:w="1414"/>
            <w:shd w:val="clear" w:color="auto" w:fill="DCE6F1"/>
          </w:tcPr>
          <w:p>
            <w:pPr>
              <w:spacing w:before="40" w:after="40" w:line="276" w:lineRule="auto"/>
              <w:jc w:val="center"/>
            </w:pPr>
            <w:r/>
            <w:r>
              <w:rPr>
                <w:rFonts w:ascii="Times New Roman" w:hAnsi="Times New Roman" w:eastAsia="黑体"/>
                <w:b/>
                <w:i w:val="0"/>
                <w:sz w:val="19"/>
              </w:rPr>
              <w:t>跳转去向</w:t>
            </w:r>
          </w:p>
        </w:tc>
      </w:tr>
      <w:tr>
        <w:tc>
          <w:tcPr>
            <w:tcW w:type="dxa" w:w="1178"/>
          </w:tcPr>
          <w:p>
            <w:pPr>
              <w:spacing w:before="20" w:after="20" w:line="276" w:lineRule="auto"/>
              <w:ind w:firstLine="0"/>
            </w:pPr>
            <w:r/>
            <w:r>
              <w:rPr>
                <w:rFonts w:ascii="Times New Roman" w:hAnsi="Times New Roman" w:eastAsia="宋体"/>
                <w:b w:val="0"/>
                <w:i w:val="0"/>
                <w:sz w:val="19"/>
              </w:rPr>
              <w:t>盯市价格管理</w:t>
            </w:r>
          </w:p>
        </w:tc>
        <w:tc>
          <w:tcPr>
            <w:tcW w:type="dxa" w:w="1531"/>
          </w:tcPr>
          <w:p>
            <w:pPr>
              <w:spacing w:before="20" w:after="20" w:line="276" w:lineRule="auto"/>
              <w:ind w:firstLine="0"/>
            </w:pPr>
            <w:r/>
            <w:r>
              <w:rPr>
                <w:rFonts w:ascii="Times New Roman" w:hAnsi="Times New Roman" w:eastAsia="宋体"/>
                <w:b w:val="0"/>
                <w:i w:val="0"/>
                <w:sz w:val="19"/>
              </w:rPr>
              <w:t>market-price.html</w:t>
            </w:r>
          </w:p>
        </w:tc>
        <w:tc>
          <w:tcPr>
            <w:tcW w:type="dxa" w:w="1119"/>
          </w:tcPr>
          <w:p>
            <w:pPr>
              <w:spacing w:before="20" w:after="20" w:line="276" w:lineRule="auto"/>
              <w:ind w:firstLine="0"/>
            </w:pPr>
            <w:r/>
            <w:r>
              <w:rPr>
                <w:rFonts w:ascii="Times New Roman" w:hAnsi="Times New Roman" w:eastAsia="宋体"/>
                <w:b w:val="0"/>
                <w:i w:val="0"/>
                <w:sz w:val="19"/>
              </w:rPr>
              <w:t>数字供应链 / 盯市管理 / 盯市价格管理</w:t>
            </w:r>
          </w:p>
        </w:tc>
        <w:tc>
          <w:tcPr>
            <w:tcW w:type="dxa" w:w="2062"/>
          </w:tcPr>
          <w:p>
            <w:pPr>
              <w:spacing w:before="20" w:after="20" w:line="276" w:lineRule="auto"/>
              <w:ind w:firstLine="0"/>
            </w:pPr>
            <w:r/>
            <w:r>
              <w:rPr>
                <w:rFonts w:ascii="Times New Roman" w:hAnsi="Times New Roman" w:eastAsia="宋体"/>
                <w:b w:val="0"/>
                <w:i w:val="0"/>
                <w:sz w:val="19"/>
              </w:rPr>
              <w:t>3 个视图模式切换（看板、列表、趋势对比）；已选筛选条件标签与清除全部；左侧 5 个筛选区（指数名称、数据来源、商品种类、对应地点、更新频次）；指数卡片区，每张卡片含指数名与副标题、价格（元每吨与更新频次）、变化值与变化百分比胶囊、折线趋势图；右下角视图切换浮动按钮</w:t>
            </w:r>
          </w:p>
        </w:tc>
        <w:tc>
          <w:tcPr>
            <w:tcW w:type="dxa" w:w="1767"/>
          </w:tcPr>
          <w:p>
            <w:pPr>
              <w:spacing w:before="20" w:after="20" w:line="276" w:lineRule="auto"/>
              <w:ind w:firstLine="0"/>
            </w:pPr>
            <w:r/>
            <w:r>
              <w:rPr>
                <w:rFonts w:ascii="Times New Roman" w:hAnsi="Times New Roman" w:eastAsia="宋体"/>
                <w:b w:val="0"/>
                <w:i w:val="0"/>
                <w:sz w:val="19"/>
              </w:rPr>
              <w:t>看板模式、列表模式、趋势对比模式切换；条件标签单个删除与一键清除；点击指数卡片进入指标详情；点击浮动按钮切换列表模式</w:t>
            </w:r>
          </w:p>
        </w:tc>
        <w:tc>
          <w:tcPr>
            <w:tcW w:type="dxa" w:w="1414"/>
          </w:tcPr>
          <w:p>
            <w:pPr>
              <w:spacing w:before="20" w:after="20" w:line="276" w:lineRule="auto"/>
              <w:ind w:firstLine="0"/>
            </w:pPr>
            <w:r/>
            <w:r>
              <w:rPr>
                <w:rFonts w:ascii="Times New Roman" w:hAnsi="Times New Roman" w:eastAsia="宋体"/>
                <w:b w:val="0"/>
                <w:i w:val="0"/>
                <w:sz w:val="19"/>
              </w:rPr>
              <w:t>点击指数卡片跳转指标详情页 market-price-detail.html</w:t>
            </w:r>
          </w:p>
        </w:tc>
      </w:tr>
      <w:tr>
        <w:tc>
          <w:tcPr>
            <w:tcW w:type="dxa" w:w="1178"/>
          </w:tcPr>
          <w:p>
            <w:pPr>
              <w:spacing w:before="20" w:after="20" w:line="276" w:lineRule="auto"/>
              <w:ind w:firstLine="0"/>
            </w:pPr>
            <w:r/>
            <w:r>
              <w:rPr>
                <w:rFonts w:ascii="Times New Roman" w:hAnsi="Times New Roman" w:eastAsia="宋体"/>
                <w:b w:val="0"/>
                <w:i w:val="0"/>
                <w:sz w:val="19"/>
              </w:rPr>
              <w:t>指标详情</w:t>
            </w:r>
          </w:p>
        </w:tc>
        <w:tc>
          <w:tcPr>
            <w:tcW w:type="dxa" w:w="1531"/>
          </w:tcPr>
          <w:p>
            <w:pPr>
              <w:spacing w:before="20" w:after="20" w:line="276" w:lineRule="auto"/>
              <w:ind w:firstLine="0"/>
            </w:pPr>
            <w:r/>
            <w:r>
              <w:rPr>
                <w:rFonts w:ascii="Times New Roman" w:hAnsi="Times New Roman" w:eastAsia="宋体"/>
                <w:b w:val="0"/>
                <w:i w:val="0"/>
                <w:sz w:val="19"/>
              </w:rPr>
              <w:t>market-price-detail.html</w:t>
            </w:r>
          </w:p>
        </w:tc>
        <w:tc>
          <w:tcPr>
            <w:tcW w:type="dxa" w:w="1119"/>
          </w:tcPr>
          <w:p>
            <w:pPr>
              <w:spacing w:before="20" w:after="20" w:line="276" w:lineRule="auto"/>
              <w:ind w:firstLine="0"/>
            </w:pPr>
            <w:r/>
            <w:r>
              <w:rPr>
                <w:rFonts w:ascii="Times New Roman" w:hAnsi="Times New Roman" w:eastAsia="宋体"/>
                <w:b w:val="0"/>
                <w:i w:val="0"/>
                <w:sz w:val="19"/>
              </w:rPr>
              <w:t>数字供应链 / 盯市管理 / 盯市价格管理 / 点击指数卡片</w:t>
            </w:r>
          </w:p>
        </w:tc>
        <w:tc>
          <w:tcPr>
            <w:tcW w:type="dxa" w:w="2062"/>
          </w:tcPr>
          <w:p>
            <w:pPr>
              <w:spacing w:before="20" w:after="20" w:line="276" w:lineRule="auto"/>
              <w:ind w:firstLine="0"/>
            </w:pPr>
            <w:r/>
            <w:r>
              <w:rPr>
                <w:rFonts w:ascii="Times New Roman" w:hAnsi="Times New Roman" w:eastAsia="宋体"/>
                <w:b w:val="0"/>
                <w:i w:val="0"/>
                <w:sz w:val="19"/>
              </w:rPr>
              <w:t>面包屑（数字供应链 / 盯市价格管理 / 指标详情）；指数名称与元信息（更新频次、单位元每吨）；3 个信息标签（数据来源、商品种类、区域）；指数趋势区块含 6 张对比卡片与双轴大趋势图及缩略图；指数数据区块含日期、价格、单位 3 列表格与分页</w:t>
            </w:r>
          </w:p>
        </w:tc>
        <w:tc>
          <w:tcPr>
            <w:tcW w:type="dxa" w:w="1767"/>
          </w:tcPr>
          <w:p>
            <w:pPr>
              <w:spacing w:before="20" w:after="20" w:line="276" w:lineRule="auto"/>
              <w:ind w:firstLine="0"/>
            </w:pPr>
            <w:r/>
            <w:r>
              <w:rPr>
                <w:rFonts w:ascii="Times New Roman" w:hAnsi="Times New Roman" w:eastAsia="宋体"/>
                <w:b w:val="0"/>
                <w:i w:val="0"/>
                <w:sz w:val="19"/>
              </w:rPr>
              <w:t>指数趋势与指数数据 2 个页签切换；返回按钮</w:t>
            </w:r>
          </w:p>
        </w:tc>
        <w:tc>
          <w:tcPr>
            <w:tcW w:type="dxa" w:w="1414"/>
          </w:tcPr>
          <w:p>
            <w:pPr>
              <w:spacing w:before="20" w:after="20" w:line="276" w:lineRule="auto"/>
              <w:ind w:firstLine="0"/>
            </w:pPr>
            <w:r/>
            <w:r>
              <w:rPr>
                <w:rFonts w:ascii="Times New Roman" w:hAnsi="Times New Roman" w:eastAsia="宋体"/>
                <w:b w:val="0"/>
                <w:i w:val="0"/>
                <w:sz w:val="19"/>
              </w:rPr>
              <w:t>返回按钮回到盯市价格管理 market-price.html</w:t>
            </w:r>
          </w:p>
        </w:tc>
      </w:tr>
      <w:tr>
        <w:tc>
          <w:tcPr>
            <w:tcW w:type="dxa" w:w="1178"/>
          </w:tcPr>
          <w:p>
            <w:pPr>
              <w:spacing w:before="20" w:after="20" w:line="276" w:lineRule="auto"/>
              <w:ind w:firstLine="0"/>
            </w:pPr>
            <w:r/>
            <w:r>
              <w:rPr>
                <w:rFonts w:ascii="Times New Roman" w:hAnsi="Times New Roman" w:eastAsia="宋体"/>
                <w:b w:val="0"/>
                <w:i w:val="0"/>
                <w:sz w:val="19"/>
              </w:rPr>
              <w:t>监控合同配置</w:t>
            </w:r>
          </w:p>
        </w:tc>
        <w:tc>
          <w:tcPr>
            <w:tcW w:type="dxa" w:w="1531"/>
          </w:tcPr>
          <w:p>
            <w:pPr>
              <w:spacing w:before="20" w:after="20" w:line="276" w:lineRule="auto"/>
              <w:ind w:firstLine="0"/>
            </w:pPr>
            <w:r/>
            <w:r>
              <w:rPr>
                <w:rFonts w:ascii="Times New Roman" w:hAnsi="Times New Roman" w:eastAsia="宋体"/>
                <w:b w:val="0"/>
                <w:i w:val="0"/>
                <w:sz w:val="19"/>
              </w:rPr>
              <w:t>warning-price-contract-config.html</w:t>
            </w:r>
          </w:p>
        </w:tc>
        <w:tc>
          <w:tcPr>
            <w:tcW w:type="dxa" w:w="1119"/>
          </w:tcPr>
          <w:p>
            <w:pPr>
              <w:spacing w:before="20" w:after="20" w:line="276" w:lineRule="auto"/>
              <w:ind w:firstLine="0"/>
            </w:pPr>
            <w:r/>
            <w:r>
              <w:rPr>
                <w:rFonts w:ascii="Times New Roman" w:hAnsi="Times New Roman" w:eastAsia="宋体"/>
                <w:b w:val="0"/>
                <w:i w:val="0"/>
                <w:sz w:val="19"/>
              </w:rPr>
              <w:t>数字供应链 / 盯市管理 / 价格波动规则 / 关联合同</w:t>
            </w:r>
          </w:p>
        </w:tc>
        <w:tc>
          <w:tcPr>
            <w:tcW w:type="dxa" w:w="2062"/>
          </w:tcPr>
          <w:p>
            <w:pPr>
              <w:spacing w:before="20" w:after="20" w:line="276" w:lineRule="auto"/>
              <w:ind w:firstLine="0"/>
            </w:pPr>
            <w:r/>
            <w:r>
              <w:rPr>
                <w:rFonts w:ascii="Times New Roman" w:hAnsi="Times New Roman" w:eastAsia="宋体"/>
                <w:b w:val="0"/>
                <w:i w:val="0"/>
                <w:sz w:val="19"/>
              </w:rPr>
              <w:t>顶部当前合同编号指示器；合同选择弹窗含合同编号、销售方与采购方、业务类型、签订日期、合同类型、合同状态等筛选与多选框；底部保存与取消按钮区</w:t>
            </w:r>
          </w:p>
        </w:tc>
        <w:tc>
          <w:tcPr>
            <w:tcW w:type="dxa" w:w="1767"/>
          </w:tcPr>
          <w:p>
            <w:pPr>
              <w:spacing w:before="20" w:after="20" w:line="276" w:lineRule="auto"/>
              <w:ind w:firstLine="0"/>
            </w:pPr>
            <w:r/>
            <w:r>
              <w:rPr>
                <w:rFonts w:ascii="Times New Roman" w:hAnsi="Times New Roman" w:eastAsia="宋体"/>
                <w:b w:val="0"/>
                <w:i w:val="0"/>
                <w:sz w:val="19"/>
              </w:rPr>
              <w:t>选择合同、清除选择、单个合同删除、保存、取消</w:t>
            </w:r>
          </w:p>
        </w:tc>
        <w:tc>
          <w:tcPr>
            <w:tcW w:type="dxa" w:w="1414"/>
          </w:tcPr>
          <w:p>
            <w:pPr>
              <w:spacing w:before="20" w:after="20" w:line="276" w:lineRule="auto"/>
              <w:ind w:firstLine="0"/>
            </w:pPr>
            <w:r/>
            <w:r>
              <w:rPr>
                <w:rFonts w:ascii="Times New Roman" w:hAnsi="Times New Roman" w:eastAsia="宋体"/>
                <w:b w:val="0"/>
                <w:i w:val="0"/>
                <w:sz w:val="19"/>
              </w:rPr>
              <w:t>保存后回到预警规则配置页并展示已选合同列表；取消回到预警规则配置页</w:t>
            </w:r>
          </w:p>
        </w:tc>
      </w:tr>
      <w:tr>
        <w:tc>
          <w:tcPr>
            <w:tcW w:type="dxa" w:w="1178"/>
          </w:tcPr>
          <w:p>
            <w:pPr>
              <w:spacing w:before="20" w:after="20" w:line="276" w:lineRule="auto"/>
              <w:ind w:firstLine="0"/>
            </w:pPr>
            <w:r/>
            <w:r>
              <w:rPr>
                <w:rFonts w:ascii="Times New Roman" w:hAnsi="Times New Roman" w:eastAsia="宋体"/>
                <w:b w:val="0"/>
                <w:i w:val="0"/>
                <w:sz w:val="19"/>
              </w:rPr>
              <w:t>价格波动规则配置</w:t>
            </w:r>
          </w:p>
        </w:tc>
        <w:tc>
          <w:tcPr>
            <w:tcW w:type="dxa" w:w="1531"/>
          </w:tcPr>
          <w:p>
            <w:pPr>
              <w:spacing w:before="20" w:after="20" w:line="276" w:lineRule="auto"/>
              <w:ind w:firstLine="0"/>
            </w:pPr>
            <w:r/>
            <w:r>
              <w:rPr>
                <w:rFonts w:ascii="Times New Roman" w:hAnsi="Times New Roman" w:eastAsia="宋体"/>
                <w:b w:val="0"/>
                <w:i w:val="0"/>
                <w:sz w:val="19"/>
              </w:rPr>
              <w:t>warning-config.html</w:t>
            </w:r>
          </w:p>
        </w:tc>
        <w:tc>
          <w:tcPr>
            <w:tcW w:type="dxa" w:w="1119"/>
          </w:tcPr>
          <w:p>
            <w:pPr>
              <w:spacing w:before="20" w:after="20" w:line="276" w:lineRule="auto"/>
              <w:ind w:firstLine="0"/>
            </w:pPr>
            <w:r/>
            <w:r>
              <w:rPr>
                <w:rFonts w:ascii="Times New Roman" w:hAnsi="Times New Roman" w:eastAsia="宋体"/>
                <w:b w:val="0"/>
                <w:i w:val="0"/>
                <w:sz w:val="19"/>
              </w:rPr>
              <w:t>数字供应链 / 盯市管理 / 预警规则配置 / 价格波动页签</w:t>
            </w:r>
          </w:p>
        </w:tc>
        <w:tc>
          <w:tcPr>
            <w:tcW w:type="dxa" w:w="2062"/>
          </w:tcPr>
          <w:p>
            <w:pPr>
              <w:spacing w:before="20" w:after="20" w:line="276" w:lineRule="auto"/>
              <w:ind w:firstLine="0"/>
            </w:pPr>
            <w:r/>
            <w:r>
              <w:rPr>
                <w:rFonts w:ascii="Times New Roman" w:hAnsi="Times New Roman" w:eastAsia="宋体"/>
                <w:b w:val="0"/>
                <w:i w:val="0"/>
                <w:sz w:val="19"/>
              </w:rPr>
              <w:t>价格波动页签的 6 字段筛选区（规则名称、规则类型、状态、风险等级、业务品种、是否关联合同）；14 列表格含规则编号、规则名称、规则类型、规则明细、风险等级、状态开关、业务品种、关联指标、业务类型、是否关联合同、备注、最后操作人员、最后操作时间、操作；合同配置弹窗表格</w:t>
            </w:r>
          </w:p>
        </w:tc>
        <w:tc>
          <w:tcPr>
            <w:tcW w:type="dxa" w:w="1767"/>
          </w:tcPr>
          <w:p>
            <w:pPr>
              <w:spacing w:before="20" w:after="20" w:line="276" w:lineRule="auto"/>
              <w:ind w:firstLine="0"/>
            </w:pPr>
            <w:r/>
            <w:r>
              <w:rPr>
                <w:rFonts w:ascii="Times New Roman" w:hAnsi="Times New Roman" w:eastAsia="宋体"/>
                <w:b w:val="0"/>
                <w:i w:val="0"/>
                <w:sz w:val="19"/>
              </w:rPr>
              <w:t>查询、重置、添加规则、状态启停开关、编辑、合同配置</w:t>
            </w:r>
          </w:p>
        </w:tc>
        <w:tc>
          <w:tcPr>
            <w:tcW w:type="dxa" w:w="1414"/>
          </w:tcPr>
          <w:p>
            <w:pPr>
              <w:spacing w:before="20" w:after="20" w:line="276" w:lineRule="auto"/>
              <w:ind w:firstLine="0"/>
            </w:pPr>
            <w:r/>
            <w:r>
              <w:rPr>
                <w:rFonts w:ascii="Times New Roman" w:hAnsi="Times New Roman" w:eastAsia="宋体"/>
                <w:b w:val="0"/>
                <w:i w:val="0"/>
                <w:sz w:val="19"/>
              </w:rPr>
              <w:t>点击合同配置进入监控合同配置页 warning-price-contract-config.html</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4.17.8　验收标准与待确认项</w:t>
      </w:r>
    </w:p>
    <w:tbl>
      <w:tblPr>
        <w:tblStyle w:val="TableGrid"/>
        <w:tblW w:type="auto" w:w="0"/>
        <w:jc w:val="center"/>
        <w:tblLayout w:type="fixed"/>
        <w:tblLook w:firstColumn="1" w:firstRow="1" w:lastColumn="0" w:lastRow="0" w:noHBand="0" w:noVBand="1" w:val="04A0"/>
      </w:tblPr>
      <w:tblGrid>
        <w:gridCol w:w="4479"/>
        <w:gridCol w:w="4479"/>
      </w:tblGrid>
      <w:tr>
        <w:trPr>
          <w:tblHeader w:val="true"/>
        </w:trPr>
        <w:tc>
          <w:tcPr>
            <w:tcW w:type="dxa" w:w="1701"/>
            <w:shd w:val="clear" w:color="auto" w:fill="DCE6F1"/>
          </w:tcPr>
          <w:p>
            <w:pPr>
              <w:spacing w:before="40" w:after="40" w:line="276" w:lineRule="auto"/>
              <w:jc w:val="center"/>
            </w:pPr>
            <w:r/>
            <w:r>
              <w:rPr>
                <w:rFonts w:ascii="Times New Roman" w:hAnsi="Times New Roman" w:eastAsia="黑体"/>
                <w:b/>
                <w:i w:val="0"/>
                <w:sz w:val="21"/>
              </w:rPr>
              <w:t>功能</w:t>
            </w:r>
          </w:p>
        </w:tc>
        <w:tc>
          <w:tcPr>
            <w:tcW w:type="dxa" w:w="7370"/>
            <w:shd w:val="clear" w:color="auto" w:fill="DCE6F1"/>
          </w:tcPr>
          <w:p>
            <w:pPr>
              <w:spacing w:before="40" w:after="40" w:line="276" w:lineRule="auto"/>
              <w:jc w:val="center"/>
            </w:pPr>
            <w:r/>
            <w:r>
              <w:rPr>
                <w:rFonts w:ascii="Times New Roman" w:hAnsi="Times New Roman" w:eastAsia="黑体"/>
                <w:b/>
                <w:i w:val="0"/>
                <w:sz w:val="21"/>
              </w:rPr>
              <w:t>验收要点（由关键规则转写）</w:t>
            </w:r>
          </w:p>
        </w:tc>
      </w:tr>
      <w:tr>
        <w:tc>
          <w:tcPr>
            <w:tcW w:type="dxa" w:w="1701"/>
          </w:tcPr>
          <w:p>
            <w:pPr>
              <w:spacing w:before="20" w:after="20" w:line="276" w:lineRule="auto"/>
              <w:ind w:firstLine="0"/>
            </w:pPr>
            <w:r/>
            <w:r>
              <w:rPr>
                <w:rFonts w:ascii="Times New Roman" w:hAnsi="Times New Roman" w:eastAsia="宋体"/>
                <w:b w:val="0"/>
                <w:i w:val="0"/>
                <w:sz w:val="21"/>
              </w:rPr>
              <w:t>价格指数看板与三视图切换</w:t>
            </w:r>
          </w:p>
        </w:tc>
        <w:tc>
          <w:tcPr>
            <w:tcW w:type="dxa" w:w="7370"/>
          </w:tcPr>
          <w:p>
            <w:pPr>
              <w:spacing w:before="20" w:after="20" w:line="276" w:lineRule="auto"/>
              <w:ind w:firstLine="0"/>
            </w:pPr>
            <w:r/>
            <w:r>
              <w:rPr>
                <w:rFonts w:ascii="Times New Roman" w:hAnsi="Times New Roman" w:eastAsia="宋体"/>
                <w:b w:val="0"/>
                <w:i w:val="0"/>
                <w:sz w:val="21"/>
              </w:rPr>
              <w:t>看板模式为进入页面的默认视图，每行 3 张指数卡片；列表模式为表格形态，列为指数名称、最新价、变化值、变化百分比、更新时间、操作共 6 列；趋势对比模式可同时叠加 2 至 4 个指数，少于 2 个时不允许进入并提示至少选择 2 个指数</w:t>
            </w:r>
          </w:p>
        </w:tc>
      </w:tr>
      <w:tr>
        <w:tc>
          <w:tcPr>
            <w:tcW w:type="dxa" w:w="1701"/>
          </w:tcPr>
          <w:p>
            <w:pPr>
              <w:spacing w:before="20" w:after="20" w:line="276" w:lineRule="auto"/>
              <w:ind w:firstLine="0"/>
            </w:pPr>
            <w:r/>
            <w:r>
              <w:rPr>
                <w:rFonts w:ascii="Times New Roman" w:hAnsi="Times New Roman" w:eastAsia="宋体"/>
                <w:b w:val="0"/>
                <w:i w:val="0"/>
                <w:sz w:val="21"/>
              </w:rPr>
              <w:t>指数多维筛选</w:t>
            </w:r>
          </w:p>
        </w:tc>
        <w:tc>
          <w:tcPr>
            <w:tcW w:type="dxa" w:w="7370"/>
          </w:tcPr>
          <w:p>
            <w:pPr>
              <w:spacing w:before="20" w:after="20" w:line="276" w:lineRule="auto"/>
              <w:ind w:firstLine="0"/>
            </w:pPr>
            <w:r/>
            <w:r>
              <w:rPr>
                <w:rFonts w:ascii="Times New Roman" w:hAnsi="Times New Roman" w:eastAsia="宋体"/>
                <w:b w:val="0"/>
                <w:i w:val="0"/>
                <w:sz w:val="21"/>
              </w:rPr>
              <w:t>数据来源取值为三方指数与数链指数两类；商品种类取值为动力煤、炼焦煤、水泥煤、铁矿石、焦炭、兰炭共 6 项；对应地点取值为北方港、华东、华南、巴彦淖尔、其他共 5 项，另设全部选项；已选条件以条件标签展示，可单独删除或一键清除</w:t>
            </w:r>
          </w:p>
        </w:tc>
      </w:tr>
      <w:tr>
        <w:tc>
          <w:tcPr>
            <w:tcW w:type="dxa" w:w="1701"/>
          </w:tcPr>
          <w:p>
            <w:pPr>
              <w:spacing w:before="20" w:after="20" w:line="276" w:lineRule="auto"/>
              <w:ind w:firstLine="0"/>
            </w:pPr>
            <w:r/>
            <w:r>
              <w:rPr>
                <w:rFonts w:ascii="Times New Roman" w:hAnsi="Times New Roman" w:eastAsia="宋体"/>
                <w:b w:val="0"/>
                <w:i w:val="0"/>
                <w:sz w:val="21"/>
              </w:rPr>
              <w:t>价格变化计算与展示</w:t>
            </w:r>
          </w:p>
        </w:tc>
        <w:tc>
          <w:tcPr>
            <w:tcW w:type="dxa" w:w="7370"/>
          </w:tcPr>
          <w:p>
            <w:pPr>
              <w:spacing w:before="20" w:after="20" w:line="276" w:lineRule="auto"/>
              <w:ind w:firstLine="0"/>
            </w:pPr>
            <w:r/>
            <w:r>
              <w:rPr>
                <w:rFonts w:ascii="Times New Roman" w:hAnsi="Times New Roman" w:eastAsia="宋体"/>
                <w:b w:val="0"/>
                <w:i w:val="0"/>
                <w:sz w:val="21"/>
              </w:rPr>
              <w:t>变化值等于最新价减昨日价；变化百分比等于变化值除以昨日价乘 100%；变化值为正时数值与趋势图用红色，为负时用绿色；价格单位统一为元每吨，并标注更新频次</w:t>
            </w:r>
          </w:p>
        </w:tc>
      </w:tr>
      <w:tr>
        <w:tc>
          <w:tcPr>
            <w:tcW w:type="dxa" w:w="1701"/>
          </w:tcPr>
          <w:p>
            <w:pPr>
              <w:spacing w:before="20" w:after="20" w:line="276" w:lineRule="auto"/>
              <w:ind w:firstLine="0"/>
            </w:pPr>
            <w:r/>
            <w:r>
              <w:rPr>
                <w:rFonts w:ascii="Times New Roman" w:hAnsi="Times New Roman" w:eastAsia="宋体"/>
                <w:b w:val="0"/>
                <w:i w:val="0"/>
                <w:sz w:val="21"/>
              </w:rPr>
              <w:t>指数指标详情</w:t>
            </w:r>
          </w:p>
        </w:tc>
        <w:tc>
          <w:tcPr>
            <w:tcW w:type="dxa" w:w="7370"/>
          </w:tcPr>
          <w:p>
            <w:pPr>
              <w:spacing w:before="20" w:after="20" w:line="276" w:lineRule="auto"/>
              <w:ind w:firstLine="0"/>
            </w:pPr>
            <w:r/>
            <w:r>
              <w:rPr>
                <w:rFonts w:ascii="Times New Roman" w:hAnsi="Times New Roman" w:eastAsia="宋体"/>
                <w:b w:val="0"/>
                <w:i w:val="0"/>
                <w:sz w:val="21"/>
              </w:rPr>
              <w:t>点击卡片进入指标详情页，详情页含指数趋势与指数数据 2 个区块；指数趋势展示最新价格与对比上期、对比月初、对比上月同期、对比年初等对比维度并绘制价格与涨跌幅双轴走势图；指数数据按日期、价格、单位 3 列分页展示</w:t>
            </w:r>
          </w:p>
        </w:tc>
      </w:tr>
      <w:tr>
        <w:tc>
          <w:tcPr>
            <w:tcW w:type="dxa" w:w="1701"/>
          </w:tcPr>
          <w:p>
            <w:pPr>
              <w:spacing w:before="20" w:after="20" w:line="276" w:lineRule="auto"/>
              <w:ind w:firstLine="0"/>
            </w:pPr>
            <w:r/>
            <w:r>
              <w:rPr>
                <w:rFonts w:ascii="Times New Roman" w:hAnsi="Times New Roman" w:eastAsia="宋体"/>
                <w:b w:val="0"/>
                <w:i w:val="0"/>
                <w:sz w:val="21"/>
              </w:rPr>
              <w:t>预警线与红线监控</w:t>
            </w:r>
          </w:p>
        </w:tc>
        <w:tc>
          <w:tcPr>
            <w:tcW w:type="dxa" w:w="7370"/>
          </w:tcPr>
          <w:p>
            <w:pPr>
              <w:spacing w:before="20" w:after="20" w:line="276" w:lineRule="auto"/>
              <w:ind w:firstLine="0"/>
            </w:pPr>
            <w:r/>
            <w:r>
              <w:rPr>
                <w:rFonts w:ascii="Times New Roman" w:hAnsi="Times New Roman" w:eastAsia="宋体"/>
                <w:b w:val="0"/>
                <w:i w:val="0"/>
                <w:sz w:val="21"/>
              </w:rPr>
              <w:t>聚合价小于等于预警线或小于等于红线时触发追保函；聚合价高于预警线时继续监控不产生动作；触发时自动记录触发指数、触发指数价格、预警线与红线四个字段，作为追保函的生成依据</w:t>
            </w:r>
          </w:p>
        </w:tc>
      </w:tr>
      <w:tr>
        <w:tc>
          <w:tcPr>
            <w:tcW w:type="dxa" w:w="1701"/>
          </w:tcPr>
          <w:p>
            <w:pPr>
              <w:spacing w:before="20" w:after="20" w:line="276" w:lineRule="auto"/>
              <w:ind w:firstLine="0"/>
            </w:pPr>
            <w:r/>
            <w:r>
              <w:rPr>
                <w:rFonts w:ascii="Times New Roman" w:hAnsi="Times New Roman" w:eastAsia="宋体"/>
                <w:b w:val="0"/>
                <w:i w:val="0"/>
                <w:sz w:val="21"/>
              </w:rPr>
              <w:t>价格波动规则配置</w:t>
            </w:r>
          </w:p>
        </w:tc>
        <w:tc>
          <w:tcPr>
            <w:tcW w:type="dxa" w:w="7370"/>
          </w:tcPr>
          <w:p>
            <w:pPr>
              <w:spacing w:before="20" w:after="20" w:line="276" w:lineRule="auto"/>
              <w:ind w:firstLine="0"/>
            </w:pPr>
            <w:r/>
            <w:r>
              <w:rPr>
                <w:rFonts w:ascii="Times New Roman" w:hAnsi="Times New Roman" w:eastAsia="宋体"/>
                <w:b w:val="0"/>
                <w:i w:val="0"/>
                <w:sz w:val="21"/>
              </w:rPr>
              <w:t>规则名称长度上限 99 位且在全局范围内唯一，重复时提示规则名称已存在并阻止保存；考核项与配置项必须同属百分比口径或金额口径，不一致时提示配置项必须与考核项匹配并阻止保存；业务类型当前仅存货业务可选；规则明细由系统自动生成且只读，业务人员无需手动填写</w:t>
            </w:r>
          </w:p>
        </w:tc>
      </w:tr>
      <w:tr>
        <w:tc>
          <w:tcPr>
            <w:tcW w:type="dxa" w:w="1701"/>
          </w:tcPr>
          <w:p>
            <w:pPr>
              <w:spacing w:before="20" w:after="20" w:line="276" w:lineRule="auto"/>
              <w:ind w:firstLine="0"/>
            </w:pPr>
            <w:r/>
            <w:r>
              <w:rPr>
                <w:rFonts w:ascii="Times New Roman" w:hAnsi="Times New Roman" w:eastAsia="宋体"/>
                <w:b w:val="0"/>
                <w:i w:val="0"/>
                <w:sz w:val="21"/>
              </w:rPr>
              <w:t>规则风险等级与阈值判定</w:t>
            </w:r>
          </w:p>
        </w:tc>
        <w:tc>
          <w:tcPr>
            <w:tcW w:type="dxa" w:w="7370"/>
          </w:tcPr>
          <w:p>
            <w:pPr>
              <w:spacing w:before="20" w:after="20" w:line="276" w:lineRule="auto"/>
              <w:ind w:firstLine="0"/>
            </w:pPr>
            <w:r/>
            <w:r>
              <w:rPr>
                <w:rFonts w:ascii="Times New Roman" w:hAnsi="Times New Roman" w:eastAsia="宋体"/>
                <w:b w:val="0"/>
                <w:i w:val="0"/>
                <w:sz w:val="21"/>
              </w:rPr>
              <w:t>高风险阈值为波动幅度大于等于 30% 或波动金额大于等于 100 万元；中风险为幅度 15% 至 30% 或金额 50 万元至 100 万元；低风险为幅度小于 15% 或金额小于 50 万元；多条规则同时命中时高风险规则优先推送预警</w:t>
            </w:r>
          </w:p>
        </w:tc>
      </w:tr>
      <w:tr>
        <w:tc>
          <w:tcPr>
            <w:tcW w:type="dxa" w:w="1701"/>
          </w:tcPr>
          <w:p>
            <w:pPr>
              <w:spacing w:before="20" w:after="20" w:line="276" w:lineRule="auto"/>
              <w:ind w:firstLine="0"/>
            </w:pPr>
            <w:r/>
            <w:r>
              <w:rPr>
                <w:rFonts w:ascii="Times New Roman" w:hAnsi="Times New Roman" w:eastAsia="宋体"/>
                <w:b w:val="0"/>
                <w:i w:val="0"/>
                <w:sz w:val="21"/>
              </w:rPr>
              <w:t>监控合同关联</w:t>
            </w:r>
          </w:p>
        </w:tc>
        <w:tc>
          <w:tcPr>
            <w:tcW w:type="dxa" w:w="7370"/>
          </w:tcPr>
          <w:p>
            <w:pPr>
              <w:spacing w:before="20" w:after="20" w:line="276" w:lineRule="auto"/>
              <w:ind w:firstLine="0"/>
            </w:pPr>
            <w:r/>
            <w:r>
              <w:rPr>
                <w:rFonts w:ascii="Times New Roman" w:hAnsi="Times New Roman" w:eastAsia="宋体"/>
                <w:b w:val="0"/>
                <w:i w:val="0"/>
                <w:sz w:val="21"/>
              </w:rPr>
              <w:t>可选合同范围仅包含状态为执行中或待上传双签合同的合同；选择已作废合同时提示该合同已作废，无法监控并阻止保存；选择非执行中或待上传双签合同状态的合同时提示请选择执行中或待上传双签合同并阻止保存；一个规则可绑定多个合同，页面顶部回显当前合同编号，多选时显示加 N 个</w:t>
            </w:r>
          </w:p>
        </w:tc>
      </w:tr>
      <w:tr>
        <w:tc>
          <w:tcPr>
            <w:tcW w:type="dxa" w:w="1701"/>
          </w:tcPr>
          <w:p>
            <w:pPr>
              <w:spacing w:before="20" w:after="20" w:line="276" w:lineRule="auto"/>
              <w:ind w:firstLine="0"/>
            </w:pPr>
            <w:r/>
            <w:r>
              <w:rPr>
                <w:rFonts w:ascii="Times New Roman" w:hAnsi="Times New Roman" w:eastAsia="宋体"/>
                <w:b w:val="0"/>
                <w:i w:val="0"/>
                <w:sz w:val="21"/>
              </w:rPr>
              <w:t>数据源异常提示与降级</w:t>
            </w:r>
          </w:p>
        </w:tc>
        <w:tc>
          <w:tcPr>
            <w:tcW w:type="dxa" w:w="7370"/>
          </w:tcPr>
          <w:p>
            <w:pPr>
              <w:spacing w:before="20" w:after="20" w:line="276" w:lineRule="auto"/>
              <w:ind w:firstLine="0"/>
            </w:pPr>
            <w:r/>
            <w:r>
              <w:rPr>
                <w:rFonts w:ascii="Times New Roman" w:hAnsi="Times New Roman" w:eastAsia="宋体"/>
                <w:b w:val="0"/>
                <w:i w:val="0"/>
                <w:sz w:val="21"/>
              </w:rPr>
              <w:t>三方指数抓取失败时提示三方指数抓取失败，请联系管理员，并执行重试与邮件通知；某指数某日无报价时提示指数在对应日期无数据并将该卡片标记为暂无数据；指数变化幅度超过 20% 时提示指数变化异常并请人工确认，以黄灯提醒不阻断浏览；三方指数与数链指数价格差异超过 5% 时提示价格差异并以黄灯提醒不阻断浏览</w:t>
            </w:r>
          </w:p>
        </w:tc>
      </w:tr>
    </w:tbl>
    <w:p>
      <w:pPr>
        <w:spacing w:before="0" w:after="0" w:line="240" w:lineRule="auto"/>
      </w:pPr>
    </w:p>
    <w:p>
      <w:pPr>
        <w:spacing w:before="120" w:after="60" w:line="360" w:lineRule="auto"/>
      </w:pPr>
      <w:r>
        <w:rPr>
          <w:rFonts w:ascii="Times New Roman" w:hAnsi="Times New Roman" w:eastAsia="宋体"/>
          <w:b/>
          <w:i w:val="0"/>
          <w:sz w:val="24"/>
        </w:rPr>
        <w:t>待业务方确认：</w:t>
      </w:r>
    </w:p>
    <w:p>
      <w:pPr>
        <w:spacing w:before="0" w:after="60" w:line="336" w:lineRule="auto"/>
        <w:ind w:left="340" w:firstLine="0"/>
      </w:pPr>
      <w:r>
        <w:rPr>
          <w:rFonts w:ascii="Times New Roman" w:hAnsi="Times New Roman" w:eastAsia="宋体"/>
          <w:b w:val="0"/>
          <w:i w:val="0"/>
          <w:sz w:val="24"/>
        </w:rPr>
        <w:t>· 待业务方确认：商品种类枚举以动力煤、炼焦煤、水泥煤、铁矿石、焦炭、兰炭共 6 项为准，该维度与平台货物品类（淀粉制品、糖粉、谷物）不是同一本字典，两者的映射关系需明确</w:t>
      </w:r>
    </w:p>
    <w:p>
      <w:pPr>
        <w:spacing w:before="0" w:after="60" w:line="336" w:lineRule="auto"/>
        <w:ind w:left="340" w:firstLine="0"/>
      </w:pPr>
      <w:r>
        <w:rPr>
          <w:rFonts w:ascii="Times New Roman" w:hAnsi="Times New Roman" w:eastAsia="宋体"/>
          <w:b w:val="0"/>
          <w:i w:val="0"/>
          <w:sz w:val="24"/>
        </w:rPr>
        <w:t>· 待业务方确认：预警线与红线之间的大小关系约束，即红线是否必须低于预警线，以及二者相等时的处理</w:t>
      </w:r>
    </w:p>
    <w:p>
      <w:pPr>
        <w:spacing w:before="0" w:after="60" w:line="336" w:lineRule="auto"/>
        <w:ind w:left="340" w:firstLine="0"/>
      </w:pPr>
      <w:r>
        <w:rPr>
          <w:rFonts w:ascii="Times New Roman" w:hAnsi="Times New Roman" w:eastAsia="宋体"/>
          <w:b w:val="0"/>
          <w:i w:val="0"/>
          <w:sz w:val="24"/>
        </w:rPr>
        <w:t>· 待业务方确认：指数启停与平台自建指数价格录入的具体操作角色</w:t>
      </w:r>
    </w:p>
    <w:p>
      <w:pPr>
        <w:spacing w:before="0" w:after="60" w:line="336" w:lineRule="auto"/>
        <w:ind w:left="340" w:firstLine="0"/>
      </w:pPr>
      <w:r>
        <w:rPr>
          <w:rFonts w:ascii="Times New Roman" w:hAnsi="Times New Roman" w:eastAsia="宋体"/>
          <w:b w:val="0"/>
          <w:i w:val="0"/>
          <w:sz w:val="24"/>
        </w:rPr>
        <w:t>· 待业务方确认：风险等级阈值在 50 万元与 100 万元两个边界点的开闭区间，以及百分比与金额两套判据同时命中时的合并判定规则</w:t>
      </w:r>
    </w:p>
    <w:p>
      <w:pPr>
        <w:spacing w:before="0" w:after="60" w:line="336" w:lineRule="auto"/>
        <w:ind w:left="340" w:firstLine="0"/>
      </w:pPr>
      <w:r>
        <w:rPr>
          <w:rFonts w:ascii="Times New Roman" w:hAnsi="Times New Roman" w:eastAsia="宋体"/>
          <w:b w:val="0"/>
          <w:i w:val="0"/>
          <w:sz w:val="24"/>
        </w:rPr>
        <w:t>· 待业务方确认：规则类型中最近 N 个自然日的 N 取值范围与是否必填，以及各地现货交易最高限价的数据来源与维护方</w:t>
      </w:r>
    </w:p>
    <w:p>
      <w:pPr>
        <w:spacing w:before="0" w:after="60" w:line="336" w:lineRule="auto"/>
        <w:ind w:left="340" w:firstLine="0"/>
      </w:pPr>
      <w:r>
        <w:rPr>
          <w:rFonts w:ascii="Times New Roman" w:hAnsi="Times New Roman" w:eastAsia="宋体"/>
          <w:b w:val="0"/>
          <w:i w:val="0"/>
          <w:sz w:val="24"/>
        </w:rPr>
        <w:t>· 待业务方确认：三方指数的定时抓取频率、重试次数与连续失败告警策略</w:t>
      </w:r>
    </w:p>
    <w:p>
      <w:pPr>
        <w:spacing w:before="0" w:after="60" w:line="336" w:lineRule="auto"/>
        <w:ind w:left="340" w:firstLine="0"/>
      </w:pPr>
      <w:r>
        <w:rPr>
          <w:rFonts w:ascii="Times New Roman" w:hAnsi="Times New Roman" w:eastAsia="宋体"/>
          <w:b w:val="0"/>
          <w:i w:val="0"/>
          <w:sz w:val="24"/>
        </w:rPr>
        <w:t>· 待业务方确认：预警规则配置页与监控合同配置页的模块归属，是独立于数字供应链下的盯市管理，还是归入预警中心</w:t>
      </w:r>
    </w:p>
    <w:p>
      <w:pPr>
        <w:spacing w:before="0" w:after="60" w:line="336" w:lineRule="auto"/>
        <w:ind w:left="340" w:firstLine="0"/>
      </w:pPr>
      <w:r>
        <w:rPr>
          <w:rFonts w:ascii="Times New Roman" w:hAnsi="Times New Roman" w:eastAsia="宋体"/>
          <w:b w:val="0"/>
          <w:i w:val="0"/>
          <w:sz w:val="24"/>
        </w:rPr>
        <w:t>· 待业务方确认：列表模式与趋势对比模式在本期是否交付</w:t>
      </w:r>
    </w:p>
    <w:p>
      <w:r>
        <w:br w:type="page"/>
      </w:r>
    </w:p>
    <w:p>
      <w:pPr>
        <w:pStyle w:val="Heading2"/>
        <w:keepNext/>
        <w:spacing w:before="240" w:after="120" w:line="312" w:lineRule="auto"/>
        <w:ind w:firstLine="0"/>
      </w:pPr>
      <w:r>
        <w:rPr>
          <w:rFonts w:ascii="Times New Roman" w:hAnsi="Times New Roman" w:eastAsia="黑体"/>
          <w:b/>
          <w:i w:val="0"/>
          <w:sz w:val="28"/>
        </w:rPr>
        <w:t>4.18　追保函管理</w:t>
      </w:r>
    </w:p>
    <w:p>
      <w:pPr>
        <w:spacing w:before="0" w:after="160" w:line="360" w:lineRule="auto"/>
      </w:pPr>
      <w:r>
        <w:rPr>
          <w:rFonts w:ascii="Times New Roman" w:hAnsi="Times New Roman" w:eastAsia="宋体"/>
          <w:b w:val="0"/>
          <w:i w:val="0"/>
          <w:color w:val="595959"/>
          <w:sz w:val="21"/>
        </w:rPr>
        <w:t>菜单路径：数字供应链 / 追保函管理</w:t>
      </w:r>
    </w:p>
    <w:p>
      <w:pPr>
        <w:pStyle w:val="Heading3"/>
        <w:keepNext/>
        <w:spacing w:before="160" w:after="80" w:line="312" w:lineRule="auto"/>
        <w:ind w:firstLine="0"/>
      </w:pPr>
      <w:r>
        <w:rPr>
          <w:rFonts w:ascii="Times New Roman" w:hAnsi="Times New Roman" w:eastAsia="黑体"/>
          <w:b/>
          <w:i w:val="0"/>
          <w:sz w:val="24"/>
        </w:rPr>
        <w:t>4.18.1　一页结论</w:t>
      </w:r>
    </w:p>
    <w:p>
      <w:pPr>
        <w:spacing w:before="0" w:after="120" w:line="360" w:lineRule="auto"/>
      </w:pPr>
      <w:r>
        <w:rPr>
          <w:rFonts w:ascii="Times New Roman" w:hAnsi="Times New Roman" w:eastAsia="宋体"/>
          <w:b w:val="0"/>
          <w:i w:val="0"/>
          <w:sz w:val="24"/>
        </w:rPr>
        <w:t>承接盯市价格与保证金监控触发的补保要求，对追保函从生成、审核、补缴凭证上传到生效作废实行全生命周期线上登记与留痕。</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928"/>
            <w:shd w:val="clear" w:color="auto" w:fill="DCE6F1"/>
          </w:tcPr>
          <w:p>
            <w:pPr>
              <w:spacing w:before="40" w:after="40" w:line="276" w:lineRule="auto"/>
              <w:jc w:val="center"/>
            </w:pPr>
            <w:r/>
            <w:r>
              <w:rPr>
                <w:rFonts w:ascii="Times New Roman" w:hAnsi="Times New Roman" w:eastAsia="黑体"/>
                <w:b/>
                <w:i w:val="0"/>
                <w:sz w:val="21"/>
              </w:rPr>
              <w:t>问题</w:t>
            </w:r>
          </w:p>
        </w:tc>
        <w:tc>
          <w:tcPr>
            <w:tcW w:type="dxa" w:w="3572"/>
            <w:shd w:val="clear" w:color="auto" w:fill="DCE6F1"/>
          </w:tcPr>
          <w:p>
            <w:pPr>
              <w:spacing w:before="40" w:after="40" w:line="276" w:lineRule="auto"/>
              <w:jc w:val="center"/>
            </w:pPr>
            <w:r/>
            <w:r>
              <w:rPr>
                <w:rFonts w:ascii="Times New Roman" w:hAnsi="Times New Roman" w:eastAsia="黑体"/>
                <w:b/>
                <w:i w:val="0"/>
                <w:sz w:val="21"/>
              </w:rPr>
              <w:t>当前做法</w:t>
            </w:r>
          </w:p>
        </w:tc>
        <w:tc>
          <w:tcPr>
            <w:tcW w:type="dxa" w:w="3572"/>
            <w:shd w:val="clear" w:color="auto" w:fill="DCE6F1"/>
          </w:tcPr>
          <w:p>
            <w:pPr>
              <w:spacing w:before="40" w:after="40" w:line="276" w:lineRule="auto"/>
              <w:jc w:val="center"/>
            </w:pPr>
            <w:r/>
            <w:r>
              <w:rPr>
                <w:rFonts w:ascii="Times New Roman" w:hAnsi="Times New Roman" w:eastAsia="黑体"/>
                <w:b/>
                <w:i w:val="0"/>
                <w:sz w:val="21"/>
              </w:rPr>
              <w:t>本模块解法</w:t>
            </w:r>
          </w:p>
        </w:tc>
      </w:tr>
      <w:tr>
        <w:tc>
          <w:tcPr>
            <w:tcW w:type="dxa" w:w="1928"/>
          </w:tcPr>
          <w:p>
            <w:pPr>
              <w:spacing w:before="20" w:after="20" w:line="276" w:lineRule="auto"/>
              <w:ind w:firstLine="0"/>
            </w:pPr>
            <w:r/>
            <w:r>
              <w:rPr>
                <w:rFonts w:ascii="Times New Roman" w:hAnsi="Times New Roman" w:eastAsia="宋体"/>
                <w:b w:val="0"/>
                <w:i w:val="0"/>
                <w:sz w:val="21"/>
              </w:rPr>
              <w:t>价格跌破预警线后需要客户补缴保证金，函件开具靠人工发起</w:t>
            </w:r>
          </w:p>
        </w:tc>
        <w:tc>
          <w:tcPr>
            <w:tcW w:type="dxa" w:w="3572"/>
          </w:tcPr>
          <w:p>
            <w:pPr>
              <w:spacing w:before="20" w:after="20" w:line="276" w:lineRule="auto"/>
              <w:ind w:firstLine="0"/>
            </w:pPr>
            <w:r/>
            <w:r>
              <w:rPr>
                <w:rFonts w:ascii="Times New Roman" w:hAnsi="Times New Roman" w:eastAsia="宋体"/>
                <w:b w:val="0"/>
                <w:i w:val="0"/>
                <w:sz w:val="21"/>
              </w:rPr>
              <w:t>盯市价格或保证金监控发现异常后，由业务人员线下通知客户并手工登记追保函</w:t>
            </w:r>
          </w:p>
        </w:tc>
        <w:tc>
          <w:tcPr>
            <w:tcW w:type="dxa" w:w="3572"/>
          </w:tcPr>
          <w:p>
            <w:pPr>
              <w:spacing w:before="20" w:after="20" w:line="276" w:lineRule="auto"/>
              <w:ind w:firstLine="0"/>
            </w:pPr>
            <w:r/>
            <w:r>
              <w:rPr>
                <w:rFonts w:ascii="Times New Roman" w:hAnsi="Times New Roman" w:eastAsia="宋体"/>
                <w:b w:val="0"/>
                <w:i w:val="0"/>
                <w:sz w:val="21"/>
              </w:rPr>
              <w:t>指数跌破预警线或红线时系统自动生成追保函并记录触发指数、触发价格与两条阈值，业务人员也可手动新增</w:t>
            </w:r>
          </w:p>
        </w:tc>
      </w:tr>
      <w:tr>
        <w:tc>
          <w:tcPr>
            <w:tcW w:type="dxa" w:w="1928"/>
          </w:tcPr>
          <w:p>
            <w:pPr>
              <w:spacing w:before="20" w:after="20" w:line="276" w:lineRule="auto"/>
              <w:ind w:firstLine="0"/>
            </w:pPr>
            <w:r/>
            <w:r>
              <w:rPr>
                <w:rFonts w:ascii="Times New Roman" w:hAnsi="Times New Roman" w:eastAsia="宋体"/>
                <w:b w:val="0"/>
                <w:i w:val="0"/>
                <w:sz w:val="21"/>
              </w:rPr>
              <w:t>客户线下补缴后无法证明已缴金额，补保闭环断点</w:t>
            </w:r>
          </w:p>
        </w:tc>
        <w:tc>
          <w:tcPr>
            <w:tcW w:type="dxa" w:w="3572"/>
          </w:tcPr>
          <w:p>
            <w:pPr>
              <w:spacing w:before="20" w:after="20" w:line="276" w:lineRule="auto"/>
              <w:ind w:firstLine="0"/>
            </w:pPr>
            <w:r/>
            <w:r>
              <w:rPr>
                <w:rFonts w:ascii="Times New Roman" w:hAnsi="Times New Roman" w:eastAsia="宋体"/>
                <w:b w:val="0"/>
                <w:i w:val="0"/>
                <w:sz w:val="21"/>
              </w:rPr>
              <w:t>客户线下完成转账后，缴款凭证与追保函台账分离，核对靠人工</w:t>
            </w:r>
          </w:p>
        </w:tc>
        <w:tc>
          <w:tcPr>
            <w:tcW w:type="dxa" w:w="3572"/>
          </w:tcPr>
          <w:p>
            <w:pPr>
              <w:spacing w:before="20" w:after="20" w:line="276" w:lineRule="auto"/>
              <w:ind w:firstLine="0"/>
            </w:pPr>
            <w:r/>
            <w:r>
              <w:rPr>
                <w:rFonts w:ascii="Times New Roman" w:hAnsi="Times New Roman" w:eastAsia="宋体"/>
                <w:b w:val="0"/>
                <w:i w:val="0"/>
                <w:sz w:val="21"/>
              </w:rPr>
              <w:t>线下补缴完成后由业务员上传补缴凭证，系统据此把追保函状态推进为已生效，形成完整的凭证留痕链路</w:t>
            </w:r>
          </w:p>
        </w:tc>
      </w:tr>
      <w:tr>
        <w:tc>
          <w:tcPr>
            <w:tcW w:type="dxa" w:w="1928"/>
          </w:tcPr>
          <w:p>
            <w:pPr>
              <w:spacing w:before="20" w:after="20" w:line="276" w:lineRule="auto"/>
              <w:ind w:firstLine="0"/>
            </w:pPr>
            <w:r/>
            <w:r>
              <w:rPr>
                <w:rFonts w:ascii="Times New Roman" w:hAnsi="Times New Roman" w:eastAsia="宋体"/>
                <w:b w:val="0"/>
                <w:i w:val="0"/>
                <w:sz w:val="21"/>
              </w:rPr>
              <w:t>电子函与线下函的凭证形态不同，一套流程无法覆盖</w:t>
            </w:r>
          </w:p>
        </w:tc>
        <w:tc>
          <w:tcPr>
            <w:tcW w:type="dxa" w:w="3572"/>
          </w:tcPr>
          <w:p>
            <w:pPr>
              <w:spacing w:before="20" w:after="20" w:line="276" w:lineRule="auto"/>
              <w:ind w:firstLine="0"/>
            </w:pPr>
            <w:r/>
            <w:r>
              <w:rPr>
                <w:rFonts w:ascii="Times New Roman" w:hAnsi="Times New Roman" w:eastAsia="宋体"/>
                <w:b w:val="0"/>
                <w:i w:val="0"/>
                <w:sz w:val="21"/>
              </w:rPr>
              <w:t>电子签约函与线下盖章函的已生效单据和状态推进方式完全不同，人工区分易出错</w:t>
            </w:r>
          </w:p>
        </w:tc>
        <w:tc>
          <w:tcPr>
            <w:tcW w:type="dxa" w:w="3572"/>
          </w:tcPr>
          <w:p>
            <w:pPr>
              <w:spacing w:before="20" w:after="20" w:line="276" w:lineRule="auto"/>
              <w:ind w:firstLine="0"/>
            </w:pPr>
            <w:r/>
            <w:r>
              <w:rPr>
                <w:rFonts w:ascii="Times New Roman" w:hAnsi="Times New Roman" w:eastAsia="宋体"/>
                <w:b w:val="0"/>
                <w:i w:val="0"/>
                <w:sz w:val="21"/>
              </w:rPr>
              <w:t>区分电子追保函与线下追保函两类：电子签约完成后状态系统自动变更，线下函由业务员上传盖章扫描件或补缴凭证后变更</w:t>
            </w:r>
          </w:p>
        </w:tc>
      </w:tr>
      <w:tr>
        <w:tc>
          <w:tcPr>
            <w:tcW w:type="dxa" w:w="1928"/>
          </w:tcPr>
          <w:p>
            <w:pPr>
              <w:spacing w:before="20" w:after="20" w:line="276" w:lineRule="auto"/>
              <w:ind w:firstLine="0"/>
            </w:pPr>
            <w:r/>
            <w:r>
              <w:rPr>
                <w:rFonts w:ascii="Times New Roman" w:hAnsi="Times New Roman" w:eastAsia="宋体"/>
                <w:b w:val="0"/>
                <w:i w:val="0"/>
                <w:sz w:val="21"/>
              </w:rPr>
              <w:t>不同状态的追保函允许的操作不清晰，容易误操作</w:t>
            </w:r>
          </w:p>
        </w:tc>
        <w:tc>
          <w:tcPr>
            <w:tcW w:type="dxa" w:w="3572"/>
          </w:tcPr>
          <w:p>
            <w:pPr>
              <w:spacing w:before="20" w:after="20" w:line="276" w:lineRule="auto"/>
              <w:ind w:firstLine="0"/>
            </w:pPr>
            <w:r/>
            <w:r>
              <w:rPr>
                <w:rFonts w:ascii="Times New Roman" w:hAnsi="Times New Roman" w:eastAsia="宋体"/>
                <w:b w:val="0"/>
                <w:i w:val="0"/>
                <w:sz w:val="21"/>
              </w:rPr>
              <w:t>列表页统一展示同一组操作按钮，对已生效或已作废的函件仍可执行修改与作废</w:t>
            </w:r>
          </w:p>
        </w:tc>
        <w:tc>
          <w:tcPr>
            <w:tcW w:type="dxa" w:w="3572"/>
          </w:tcPr>
          <w:p>
            <w:pPr>
              <w:spacing w:before="20" w:after="20" w:line="276" w:lineRule="auto"/>
              <w:ind w:firstLine="0"/>
            </w:pPr>
            <w:r/>
            <w:r>
              <w:rPr>
                <w:rFonts w:ascii="Times New Roman" w:hAnsi="Times New Roman" w:eastAsia="宋体"/>
                <w:b w:val="0"/>
                <w:i w:val="0"/>
                <w:sz w:val="21"/>
              </w:rPr>
              <w:t>按状态与追保函编号有效性给出确定的操作矩阵，不适用的按钮直接不渲染，作废类操作强制二次确认</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4.18.2　背景与目标</w:t>
      </w:r>
    </w:p>
    <w:tbl>
      <w:tblPr>
        <w:tblStyle w:val="TableGrid"/>
        <w:tblW w:type="auto" w:w="0"/>
        <w:jc w:val="center"/>
        <w:tblLayout w:type="fixed"/>
        <w:tblLook w:firstColumn="1" w:firstRow="1" w:lastColumn="0" w:lastRow="0" w:noHBand="0" w:noVBand="1" w:val="04A0"/>
      </w:tblPr>
      <w:tblGrid>
        <w:gridCol w:w="8958"/>
      </w:tblGrid>
      <w:tr>
        <w:trPr>
          <w:tblHeader w:val="true"/>
        </w:trPr>
        <w:tc>
          <w:tcPr>
            <w:tcW w:type="dxa" w:w="9071"/>
            <w:shd w:val="clear" w:color="auto" w:fill="DCE6F1"/>
          </w:tcPr>
          <w:p>
            <w:pPr>
              <w:spacing w:before="40" w:after="40" w:line="276" w:lineRule="auto"/>
              <w:jc w:val="center"/>
            </w:pPr>
            <w:r/>
            <w:r>
              <w:rPr>
                <w:rFonts w:ascii="Times New Roman" w:hAnsi="Times New Roman" w:eastAsia="黑体"/>
                <w:b/>
                <w:i w:val="0"/>
                <w:sz w:val="21"/>
              </w:rPr>
              <w:t>目标 / 衡量口径</w:t>
            </w:r>
          </w:p>
        </w:tc>
      </w:tr>
      <w:tr>
        <w:tc>
          <w:tcPr>
            <w:tcW w:type="dxa" w:w="9071"/>
          </w:tcPr>
          <w:p>
            <w:pPr>
              <w:spacing w:before="20" w:after="20" w:line="276" w:lineRule="auto"/>
              <w:ind w:firstLine="0"/>
            </w:pPr>
            <w:r/>
            <w:r>
              <w:rPr>
                <w:rFonts w:ascii="Times New Roman" w:hAnsi="Times New Roman" w:eastAsia="宋体"/>
                <w:b w:val="0"/>
                <w:i w:val="0"/>
                <w:sz w:val="21"/>
              </w:rPr>
              <w:t>追保函状态机统一为 5 个业务状态加 1 个全部页签：审批中、待上传已生效单据、已生效、驳回、已作废</w:t>
            </w:r>
          </w:p>
        </w:tc>
      </w:tr>
      <w:tr>
        <w:tc>
          <w:tcPr>
            <w:tcW w:type="dxa" w:w="9071"/>
          </w:tcPr>
          <w:p>
            <w:pPr>
              <w:spacing w:before="20" w:after="20" w:line="276" w:lineRule="auto"/>
              <w:ind w:firstLine="0"/>
            </w:pPr>
            <w:r/>
            <w:r>
              <w:rPr>
                <w:rFonts w:ascii="Times New Roman" w:hAnsi="Times New Roman" w:eastAsia="宋体"/>
                <w:b w:val="0"/>
                <w:i w:val="0"/>
                <w:sz w:val="21"/>
              </w:rPr>
              <w:t>追保金额按统一公式自动计算，即合同金额乘以追保率后减去已缴保证金，且提交时必须大于 0</w:t>
            </w:r>
          </w:p>
        </w:tc>
      </w:tr>
      <w:tr>
        <w:tc>
          <w:tcPr>
            <w:tcW w:type="dxa" w:w="9071"/>
          </w:tcPr>
          <w:p>
            <w:pPr>
              <w:spacing w:before="20" w:after="20" w:line="276" w:lineRule="auto"/>
              <w:ind w:firstLine="0"/>
            </w:pPr>
            <w:r/>
            <w:r>
              <w:rPr>
                <w:rFonts w:ascii="Times New Roman" w:hAnsi="Times New Roman" w:eastAsia="宋体"/>
                <w:b w:val="0"/>
                <w:i w:val="0"/>
                <w:sz w:val="21"/>
              </w:rPr>
              <w:t>电子追保函与线下追保函各自具备确定的凭证要求与状态推进方式，线下补缴一律由业务员上传凭证后生效</w:t>
            </w:r>
          </w:p>
        </w:tc>
      </w:tr>
      <w:tr>
        <w:tc>
          <w:tcPr>
            <w:tcW w:type="dxa" w:w="9071"/>
          </w:tcPr>
          <w:p>
            <w:pPr>
              <w:spacing w:before="20" w:after="20" w:line="276" w:lineRule="auto"/>
              <w:ind w:firstLine="0"/>
            </w:pPr>
            <w:r/>
            <w:r>
              <w:rPr>
                <w:rFonts w:ascii="Times New Roman" w:hAnsi="Times New Roman" w:eastAsia="宋体"/>
                <w:b w:val="0"/>
                <w:i w:val="0"/>
                <w:sz w:val="21"/>
              </w:rPr>
              <w:t>追保函已生效后自动联动客户保证金池与客户可用额度，生成或驳回时自动触发预警信号；联动规模以系统运行报表为准</w:t>
            </w:r>
          </w:p>
        </w:tc>
      </w:tr>
    </w:tbl>
    <w:p>
      <w:pPr>
        <w:spacing w:before="0" w:after="0" w:line="240" w:lineRule="auto"/>
      </w:pPr>
    </w:p>
    <w:p>
      <w:pPr>
        <w:spacing w:before="80" w:after="120" w:line="360" w:lineRule="auto"/>
      </w:pPr>
      <w:r>
        <w:rPr>
          <w:rFonts w:ascii="Times New Roman" w:hAnsi="Times New Roman" w:eastAsia="宋体"/>
          <w:b w:val="0"/>
          <w:i w:val="0"/>
          <w:color w:val="595959"/>
          <w:sz w:val="21"/>
        </w:rPr>
        <w:t>说明：文中口径以业务方已确认结论为准；未确认项集中列于本章末与第 5 章。</w:t>
      </w:r>
    </w:p>
    <w:p>
      <w:pPr>
        <w:pStyle w:val="Heading3"/>
        <w:keepNext/>
        <w:spacing w:before="160" w:after="80" w:line="312" w:lineRule="auto"/>
        <w:ind w:firstLine="0"/>
      </w:pPr>
      <w:r>
        <w:rPr>
          <w:rFonts w:ascii="Times New Roman" w:hAnsi="Times New Roman" w:eastAsia="黑体"/>
          <w:b/>
          <w:i w:val="0"/>
          <w:sz w:val="24"/>
        </w:rPr>
        <w:t>4.18.3　角色与用户需求</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361"/>
            <w:shd w:val="clear" w:color="auto" w:fill="DCE6F1"/>
          </w:tcPr>
          <w:p>
            <w:pPr>
              <w:spacing w:before="40" w:after="40" w:line="276" w:lineRule="auto"/>
              <w:jc w:val="center"/>
            </w:pPr>
            <w:r/>
            <w:r>
              <w:rPr>
                <w:rFonts w:ascii="Times New Roman" w:hAnsi="Times New Roman" w:eastAsia="黑体"/>
                <w:b/>
                <w:i w:val="0"/>
                <w:sz w:val="21"/>
              </w:rPr>
              <w:t>角色</w:t>
            </w:r>
          </w:p>
        </w:tc>
        <w:tc>
          <w:tcPr>
            <w:tcW w:type="dxa" w:w="1247"/>
            <w:shd w:val="clear" w:color="auto" w:fill="DCE6F1"/>
          </w:tcPr>
          <w:p>
            <w:pPr>
              <w:spacing w:before="40" w:after="40" w:line="276" w:lineRule="auto"/>
              <w:jc w:val="center"/>
            </w:pPr>
            <w:r/>
            <w:r>
              <w:rPr>
                <w:rFonts w:ascii="Times New Roman" w:hAnsi="Times New Roman" w:eastAsia="黑体"/>
                <w:b/>
                <w:i w:val="0"/>
                <w:sz w:val="21"/>
              </w:rPr>
              <w:t>所属部门</w:t>
            </w:r>
          </w:p>
        </w:tc>
        <w:tc>
          <w:tcPr>
            <w:tcW w:type="dxa" w:w="6463"/>
            <w:shd w:val="clear" w:color="auto" w:fill="DCE6F1"/>
          </w:tcPr>
          <w:p>
            <w:pPr>
              <w:spacing w:before="40" w:after="40" w:line="276" w:lineRule="auto"/>
              <w:jc w:val="center"/>
            </w:pPr>
            <w:r/>
            <w:r>
              <w:rPr>
                <w:rFonts w:ascii="Times New Roman" w:hAnsi="Times New Roman" w:eastAsia="黑体"/>
                <w:b/>
                <w:i w:val="0"/>
                <w:sz w:val="21"/>
              </w:rPr>
              <w:t>用户需求（我要…以便…）</w:t>
            </w:r>
          </w:p>
        </w:tc>
      </w:tr>
      <w:tr>
        <w:tc>
          <w:tcPr>
            <w:tcW w:type="dxa" w:w="1361"/>
          </w:tcPr>
          <w:p>
            <w:pPr>
              <w:spacing w:before="20" w:after="20" w:line="276" w:lineRule="auto"/>
              <w:ind w:firstLine="0"/>
            </w:pPr>
            <w:r/>
            <w:r>
              <w:rPr>
                <w:rFonts w:ascii="Times New Roman" w:hAnsi="Times New Roman" w:eastAsia="宋体"/>
                <w:b w:val="0"/>
                <w:i w:val="0"/>
                <w:sz w:val="21"/>
              </w:rPr>
              <w:t>业务员</w:t>
            </w:r>
          </w:p>
        </w:tc>
        <w:tc>
          <w:tcPr>
            <w:tcW w:type="dxa" w:w="1247"/>
          </w:tcPr>
          <w:p>
            <w:pPr>
              <w:spacing w:before="20" w:after="20" w:line="276" w:lineRule="auto"/>
              <w:ind w:firstLine="0"/>
            </w:pPr>
            <w:r/>
            <w:r>
              <w:rPr>
                <w:rFonts w:ascii="Times New Roman" w:hAnsi="Times New Roman" w:eastAsia="宋体"/>
                <w:b w:val="0"/>
                <w:i w:val="0"/>
                <w:sz w:val="21"/>
              </w:rPr>
              <w:t>业务部</w:t>
            </w:r>
          </w:p>
        </w:tc>
        <w:tc>
          <w:tcPr>
            <w:tcW w:type="dxa" w:w="6463"/>
          </w:tcPr>
          <w:p>
            <w:pPr>
              <w:spacing w:before="20" w:after="20" w:line="276" w:lineRule="auto"/>
              <w:ind w:firstLine="0"/>
            </w:pPr>
            <w:r/>
            <w:r>
              <w:rPr>
                <w:rFonts w:ascii="Times New Roman" w:hAnsi="Times New Roman" w:eastAsia="宋体"/>
                <w:b w:val="0"/>
                <w:i w:val="0"/>
                <w:sz w:val="21"/>
              </w:rPr>
              <w:t>我要手动新增追保函并上传补缴凭证，以便客户线下补缴后函件能正常生效</w:t>
            </w:r>
          </w:p>
        </w:tc>
      </w:tr>
      <w:tr>
        <w:tc>
          <w:tcPr>
            <w:tcW w:type="dxa" w:w="1361"/>
          </w:tcPr>
          <w:p>
            <w:pPr>
              <w:spacing w:before="20" w:after="20" w:line="276" w:lineRule="auto"/>
              <w:ind w:firstLine="0"/>
            </w:pPr>
            <w:r/>
            <w:r>
              <w:rPr>
                <w:rFonts w:ascii="Times New Roman" w:hAnsi="Times New Roman" w:eastAsia="宋体"/>
                <w:b w:val="0"/>
                <w:i w:val="0"/>
                <w:sz w:val="21"/>
              </w:rPr>
              <w:t>业务审核人</w:t>
            </w:r>
          </w:p>
        </w:tc>
        <w:tc>
          <w:tcPr>
            <w:tcW w:type="dxa" w:w="1247"/>
          </w:tcPr>
          <w:p>
            <w:pPr>
              <w:spacing w:before="20" w:after="20" w:line="276" w:lineRule="auto"/>
              <w:ind w:firstLine="0"/>
            </w:pPr>
            <w:r/>
            <w:r>
              <w:rPr>
                <w:rFonts w:ascii="Times New Roman" w:hAnsi="Times New Roman" w:eastAsia="宋体"/>
                <w:b w:val="0"/>
                <w:i w:val="0"/>
                <w:sz w:val="21"/>
              </w:rPr>
              <w:t>业务部</w:t>
            </w:r>
          </w:p>
        </w:tc>
        <w:tc>
          <w:tcPr>
            <w:tcW w:type="dxa" w:w="6463"/>
          </w:tcPr>
          <w:p>
            <w:pPr>
              <w:spacing w:before="20" w:after="20" w:line="276" w:lineRule="auto"/>
              <w:ind w:firstLine="0"/>
            </w:pPr>
            <w:r/>
            <w:r>
              <w:rPr>
                <w:rFonts w:ascii="Times New Roman" w:hAnsi="Times New Roman" w:eastAsia="宋体"/>
                <w:b w:val="0"/>
                <w:i w:val="0"/>
                <w:sz w:val="21"/>
              </w:rPr>
              <w:t>我要审核新生成的追保函，以便确认补保金额与关联合同无误后再放行</w:t>
            </w:r>
          </w:p>
        </w:tc>
      </w:tr>
      <w:tr>
        <w:tc>
          <w:tcPr>
            <w:tcW w:type="dxa" w:w="1361"/>
          </w:tcPr>
          <w:p>
            <w:pPr>
              <w:spacing w:before="20" w:after="20" w:line="276" w:lineRule="auto"/>
              <w:ind w:firstLine="0"/>
            </w:pPr>
            <w:r/>
            <w:r>
              <w:rPr>
                <w:rFonts w:ascii="Times New Roman" w:hAnsi="Times New Roman" w:eastAsia="宋体"/>
                <w:b w:val="0"/>
                <w:i w:val="0"/>
                <w:sz w:val="21"/>
              </w:rPr>
              <w:t>风控审核人</w:t>
            </w:r>
          </w:p>
        </w:tc>
        <w:tc>
          <w:tcPr>
            <w:tcW w:type="dxa" w:w="1247"/>
          </w:tcPr>
          <w:p>
            <w:pPr>
              <w:spacing w:before="20" w:after="20" w:line="276" w:lineRule="auto"/>
              <w:ind w:firstLine="0"/>
            </w:pPr>
            <w:r/>
            <w:r>
              <w:rPr>
                <w:rFonts w:ascii="Times New Roman" w:hAnsi="Times New Roman" w:eastAsia="宋体"/>
                <w:b w:val="0"/>
                <w:i w:val="0"/>
                <w:sz w:val="21"/>
              </w:rPr>
              <w:t>风控部</w:t>
            </w:r>
          </w:p>
        </w:tc>
        <w:tc>
          <w:tcPr>
            <w:tcW w:type="dxa" w:w="6463"/>
          </w:tcPr>
          <w:p>
            <w:pPr>
              <w:spacing w:before="20" w:after="20" w:line="276" w:lineRule="auto"/>
              <w:ind w:firstLine="0"/>
            </w:pPr>
            <w:r/>
            <w:r>
              <w:rPr>
                <w:rFonts w:ascii="Times New Roman" w:hAnsi="Times New Roman" w:eastAsia="宋体"/>
                <w:b w:val="0"/>
                <w:i w:val="0"/>
                <w:sz w:val="21"/>
              </w:rPr>
              <w:t>我要参与追保函审核，以便在价格与保证金出现异常时把住风险关口</w:t>
            </w:r>
          </w:p>
        </w:tc>
      </w:tr>
      <w:tr>
        <w:tc>
          <w:tcPr>
            <w:tcW w:type="dxa" w:w="1361"/>
          </w:tcPr>
          <w:p>
            <w:pPr>
              <w:spacing w:before="20" w:after="20" w:line="276" w:lineRule="auto"/>
              <w:ind w:firstLine="0"/>
            </w:pPr>
            <w:r/>
            <w:r>
              <w:rPr>
                <w:rFonts w:ascii="Times New Roman" w:hAnsi="Times New Roman" w:eastAsia="宋体"/>
                <w:b w:val="0"/>
                <w:i w:val="0"/>
                <w:sz w:val="21"/>
              </w:rPr>
              <w:t>客户</w:t>
            </w:r>
          </w:p>
        </w:tc>
        <w:tc>
          <w:tcPr>
            <w:tcW w:type="dxa" w:w="1247"/>
          </w:tcPr>
          <w:p>
            <w:pPr>
              <w:spacing w:before="20" w:after="20" w:line="276" w:lineRule="auto"/>
              <w:ind w:firstLine="0"/>
            </w:pPr>
            <w:r/>
            <w:r>
              <w:rPr>
                <w:rFonts w:ascii="Times New Roman" w:hAnsi="Times New Roman" w:eastAsia="宋体"/>
                <w:b w:val="0"/>
                <w:i w:val="0"/>
                <w:sz w:val="21"/>
              </w:rPr>
              <w:t>下游客户</w:t>
            </w:r>
          </w:p>
        </w:tc>
        <w:tc>
          <w:tcPr>
            <w:tcW w:type="dxa" w:w="6463"/>
          </w:tcPr>
          <w:p>
            <w:pPr>
              <w:spacing w:before="20" w:after="20" w:line="276" w:lineRule="auto"/>
              <w:ind w:firstLine="0"/>
            </w:pPr>
            <w:r/>
            <w:r>
              <w:rPr>
                <w:rFonts w:ascii="Times New Roman" w:hAnsi="Times New Roman" w:eastAsia="宋体"/>
                <w:b w:val="0"/>
                <w:i w:val="0"/>
                <w:sz w:val="21"/>
              </w:rPr>
              <w:t>我要按追保函要求线下补缴保证金，以便函件正常生效并恢复业务</w:t>
            </w:r>
          </w:p>
        </w:tc>
      </w:tr>
      <w:tr>
        <w:tc>
          <w:tcPr>
            <w:tcW w:type="dxa" w:w="1361"/>
          </w:tcPr>
          <w:p>
            <w:pPr>
              <w:spacing w:before="20" w:after="20" w:line="276" w:lineRule="auto"/>
              <w:ind w:firstLine="0"/>
            </w:pPr>
            <w:r/>
            <w:r>
              <w:rPr>
                <w:rFonts w:ascii="Times New Roman" w:hAnsi="Times New Roman" w:eastAsia="宋体"/>
                <w:b w:val="0"/>
                <w:i w:val="0"/>
                <w:sz w:val="21"/>
              </w:rPr>
              <w:t>系统</w:t>
            </w:r>
          </w:p>
        </w:tc>
        <w:tc>
          <w:tcPr>
            <w:tcW w:type="dxa" w:w="1247"/>
          </w:tcPr>
          <w:p>
            <w:pPr>
              <w:spacing w:before="20" w:after="20" w:line="276" w:lineRule="auto"/>
              <w:ind w:firstLine="0"/>
            </w:pPr>
            <w:r/>
            <w:r>
              <w:rPr>
                <w:rFonts w:ascii="Times New Roman" w:hAnsi="Times New Roman" w:eastAsia="宋体"/>
                <w:b w:val="0"/>
                <w:i w:val="0"/>
                <w:sz w:val="21"/>
              </w:rPr>
              <w:t>系统自动</w:t>
            </w:r>
          </w:p>
        </w:tc>
        <w:tc>
          <w:tcPr>
            <w:tcW w:type="dxa" w:w="6463"/>
          </w:tcPr>
          <w:p>
            <w:pPr>
              <w:spacing w:before="20" w:after="20" w:line="276" w:lineRule="auto"/>
              <w:ind w:firstLine="0"/>
            </w:pPr>
            <w:r/>
            <w:r>
              <w:rPr>
                <w:rFonts w:ascii="Times New Roman" w:hAnsi="Times New Roman" w:eastAsia="宋体"/>
                <w:b w:val="0"/>
                <w:i w:val="0"/>
                <w:sz w:val="21"/>
              </w:rPr>
              <w:t>我要在指数跌破预警线或红线时自动生成追保函，以便风险动作不依赖人工发起</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4.18.4　功能结构与范围</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474"/>
            <w:shd w:val="clear" w:color="auto" w:fill="DCE6F1"/>
          </w:tcPr>
          <w:p>
            <w:pPr>
              <w:spacing w:before="40" w:after="40" w:line="276" w:lineRule="auto"/>
              <w:jc w:val="center"/>
            </w:pPr>
            <w:r/>
            <w:r>
              <w:rPr>
                <w:rFonts w:ascii="Times New Roman" w:hAnsi="Times New Roman" w:eastAsia="黑体"/>
                <w:b/>
                <w:i w:val="0"/>
                <w:sz w:val="21"/>
              </w:rPr>
              <w:t>功能</w:t>
            </w:r>
          </w:p>
        </w:tc>
        <w:tc>
          <w:tcPr>
            <w:tcW w:type="dxa" w:w="3175"/>
            <w:shd w:val="clear" w:color="auto" w:fill="DCE6F1"/>
          </w:tcPr>
          <w:p>
            <w:pPr>
              <w:spacing w:before="40" w:after="40" w:line="276" w:lineRule="auto"/>
              <w:jc w:val="center"/>
            </w:pPr>
            <w:r/>
            <w:r>
              <w:rPr>
                <w:rFonts w:ascii="Times New Roman" w:hAnsi="Times New Roman" w:eastAsia="黑体"/>
                <w:b/>
                <w:i w:val="0"/>
                <w:sz w:val="21"/>
              </w:rPr>
              <w:t>功能说明</w:t>
            </w:r>
          </w:p>
        </w:tc>
        <w:tc>
          <w:tcPr>
            <w:tcW w:type="dxa" w:w="4422"/>
            <w:shd w:val="clear" w:color="auto" w:fill="DCE6F1"/>
          </w:tcPr>
          <w:p>
            <w:pPr>
              <w:spacing w:before="40" w:after="40" w:line="276" w:lineRule="auto"/>
              <w:jc w:val="center"/>
            </w:pPr>
            <w:r/>
            <w:r>
              <w:rPr>
                <w:rFonts w:ascii="Times New Roman" w:hAnsi="Times New Roman" w:eastAsia="黑体"/>
                <w:b/>
                <w:i w:val="0"/>
                <w:sz w:val="21"/>
              </w:rPr>
              <w:t>关键规则</w:t>
            </w:r>
          </w:p>
        </w:tc>
      </w:tr>
      <w:tr>
        <w:tc>
          <w:tcPr>
            <w:tcW w:type="dxa" w:w="1474"/>
          </w:tcPr>
          <w:p>
            <w:pPr>
              <w:spacing w:before="20" w:after="20" w:line="276" w:lineRule="auto"/>
              <w:ind w:firstLine="0"/>
            </w:pPr>
            <w:r/>
            <w:r>
              <w:rPr>
                <w:rFonts w:ascii="Times New Roman" w:hAnsi="Times New Roman" w:eastAsia="宋体"/>
                <w:b w:val="0"/>
                <w:i w:val="0"/>
                <w:sz w:val="21"/>
              </w:rPr>
              <w:t>追保函列表与状态页签</w:t>
            </w:r>
          </w:p>
        </w:tc>
        <w:tc>
          <w:tcPr>
            <w:tcW w:type="dxa" w:w="3175"/>
          </w:tcPr>
          <w:p>
            <w:pPr>
              <w:spacing w:before="20" w:after="20" w:line="276" w:lineRule="auto"/>
              <w:ind w:firstLine="0"/>
            </w:pPr>
            <w:r/>
            <w:r>
              <w:rPr>
                <w:rFonts w:ascii="Times New Roman" w:hAnsi="Times New Roman" w:eastAsia="宋体"/>
                <w:b w:val="0"/>
                <w:i w:val="0"/>
                <w:sz w:val="21"/>
              </w:rPr>
              <w:t>以状态页签与筛选条件集中展示全部追保函台账</w:t>
            </w:r>
          </w:p>
        </w:tc>
        <w:tc>
          <w:tcPr>
            <w:tcW w:type="dxa" w:w="4422"/>
          </w:tcPr>
          <w:p>
            <w:pPr>
              <w:spacing w:before="20" w:after="20" w:line="276" w:lineRule="auto"/>
              <w:ind w:firstLine="0"/>
            </w:pPr>
            <w:r/>
            <w:r>
              <w:rPr>
                <w:rFonts w:ascii="Times New Roman" w:hAnsi="Times New Roman" w:eastAsia="宋体"/>
                <w:b w:val="0"/>
                <w:i w:val="0"/>
                <w:sz w:val="21"/>
              </w:rPr>
              <w:t>列表提供 6 个页签，全部、审批中、待上传已生效单据、已生效、驳回、已作废，其中全部为聚合页签不计入业务状态数；筛选字段为编号、企业名称、签发日期共 3 项；表格为 10 列，含合同编号、卖方企业、买方企业、追保金额、追保截止日期、签发日期、追保函编号、上传时间、追保函状态、操作；分页为每页 10 条</w:t>
            </w:r>
          </w:p>
        </w:tc>
      </w:tr>
      <w:tr>
        <w:tc>
          <w:tcPr>
            <w:tcW w:type="dxa" w:w="1474"/>
          </w:tcPr>
          <w:p>
            <w:pPr>
              <w:spacing w:before="20" w:after="20" w:line="276" w:lineRule="auto"/>
              <w:ind w:firstLine="0"/>
            </w:pPr>
            <w:r/>
            <w:r>
              <w:rPr>
                <w:rFonts w:ascii="Times New Roman" w:hAnsi="Times New Roman" w:eastAsia="宋体"/>
                <w:b w:val="0"/>
                <w:i w:val="0"/>
                <w:sz w:val="21"/>
              </w:rPr>
              <w:t>新增追保函与销售合同关联</w:t>
            </w:r>
          </w:p>
        </w:tc>
        <w:tc>
          <w:tcPr>
            <w:tcW w:type="dxa" w:w="3175"/>
          </w:tcPr>
          <w:p>
            <w:pPr>
              <w:spacing w:before="20" w:after="20" w:line="276" w:lineRule="auto"/>
              <w:ind w:firstLine="0"/>
            </w:pPr>
            <w:r/>
            <w:r>
              <w:rPr>
                <w:rFonts w:ascii="Times New Roman" w:hAnsi="Times New Roman" w:eastAsia="宋体"/>
                <w:b w:val="0"/>
                <w:i w:val="0"/>
                <w:sz w:val="21"/>
              </w:rPr>
              <w:t>新建追保函时必须绑定一份销售合同，并由系统带出触发指数与金额</w:t>
            </w:r>
          </w:p>
        </w:tc>
        <w:tc>
          <w:tcPr>
            <w:tcW w:type="dxa" w:w="4422"/>
          </w:tcPr>
          <w:p>
            <w:pPr>
              <w:spacing w:before="20" w:after="20" w:line="276" w:lineRule="auto"/>
              <w:ind w:firstLine="0"/>
            </w:pPr>
            <w:r/>
            <w:r>
              <w:rPr>
                <w:rFonts w:ascii="Times New Roman" w:hAnsi="Times New Roman" w:eastAsia="宋体"/>
                <w:b w:val="0"/>
                <w:i w:val="0"/>
                <w:sz w:val="21"/>
              </w:rPr>
              <w:t>销售合同为必选项，未选择时提示必须先选择销售合同并阻止提交；已签章的销售合同不能创建追保函；客户已被冻结时提示客户已被冻结，不能创建追保函并阻止提交；补缴截止日期默认取当前日期 7 天后，且必须大于今天</w:t>
            </w:r>
          </w:p>
        </w:tc>
      </w:tr>
      <w:tr>
        <w:tc>
          <w:tcPr>
            <w:tcW w:type="dxa" w:w="1474"/>
          </w:tcPr>
          <w:p>
            <w:pPr>
              <w:spacing w:before="20" w:after="20" w:line="276" w:lineRule="auto"/>
              <w:ind w:firstLine="0"/>
            </w:pPr>
            <w:r/>
            <w:r>
              <w:rPr>
                <w:rFonts w:ascii="Times New Roman" w:hAnsi="Times New Roman" w:eastAsia="宋体"/>
                <w:b w:val="0"/>
                <w:i w:val="0"/>
                <w:sz w:val="21"/>
              </w:rPr>
              <w:t>追保金额自动计算</w:t>
            </w:r>
          </w:p>
        </w:tc>
        <w:tc>
          <w:tcPr>
            <w:tcW w:type="dxa" w:w="3175"/>
          </w:tcPr>
          <w:p>
            <w:pPr>
              <w:spacing w:before="20" w:after="20" w:line="276" w:lineRule="auto"/>
              <w:ind w:firstLine="0"/>
            </w:pPr>
            <w:r/>
            <w:r>
              <w:rPr>
                <w:rFonts w:ascii="Times New Roman" w:hAnsi="Times New Roman" w:eastAsia="宋体"/>
                <w:b w:val="0"/>
                <w:i w:val="0"/>
                <w:sz w:val="21"/>
              </w:rPr>
              <w:t>按合同金额、追保率与已缴保证金自动算出本次需补缴的追保金额</w:t>
            </w:r>
          </w:p>
        </w:tc>
        <w:tc>
          <w:tcPr>
            <w:tcW w:type="dxa" w:w="4422"/>
          </w:tcPr>
          <w:p>
            <w:pPr>
              <w:spacing w:before="20" w:after="20" w:line="276" w:lineRule="auto"/>
              <w:ind w:firstLine="0"/>
            </w:pPr>
            <w:r/>
            <w:r>
              <w:rPr>
                <w:rFonts w:ascii="Times New Roman" w:hAnsi="Times New Roman" w:eastAsia="宋体"/>
                <w:b w:val="0"/>
                <w:i w:val="0"/>
                <w:sz w:val="21"/>
              </w:rPr>
              <w:t>追保金额等于合同金额乘以追保率后减去已缴保证金；追保金额小于等于 0 时提示追保金额必须大于 0 并阻止提交；追保金额以元为单位保留 2 位小数</w:t>
            </w:r>
          </w:p>
        </w:tc>
      </w:tr>
      <w:tr>
        <w:tc>
          <w:tcPr>
            <w:tcW w:type="dxa" w:w="1474"/>
          </w:tcPr>
          <w:p>
            <w:pPr>
              <w:spacing w:before="20" w:after="20" w:line="276" w:lineRule="auto"/>
              <w:ind w:firstLine="0"/>
            </w:pPr>
            <w:r/>
            <w:r>
              <w:rPr>
                <w:rFonts w:ascii="Times New Roman" w:hAnsi="Times New Roman" w:eastAsia="宋体"/>
                <w:b w:val="0"/>
                <w:i w:val="0"/>
                <w:sz w:val="21"/>
              </w:rPr>
              <w:t>电子追保函与线下追保函两类处理</w:t>
            </w:r>
          </w:p>
        </w:tc>
        <w:tc>
          <w:tcPr>
            <w:tcW w:type="dxa" w:w="3175"/>
          </w:tcPr>
          <w:p>
            <w:pPr>
              <w:spacing w:before="20" w:after="20" w:line="276" w:lineRule="auto"/>
              <w:ind w:firstLine="0"/>
            </w:pPr>
            <w:r/>
            <w:r>
              <w:rPr>
                <w:rFonts w:ascii="Times New Roman" w:hAnsi="Times New Roman" w:eastAsia="宋体"/>
                <w:b w:val="0"/>
                <w:i w:val="0"/>
                <w:sz w:val="21"/>
              </w:rPr>
              <w:t>按签约与凭证形态区分两类追保函并给出不同的生效路径</w:t>
            </w:r>
          </w:p>
        </w:tc>
        <w:tc>
          <w:tcPr>
            <w:tcW w:type="dxa" w:w="4422"/>
          </w:tcPr>
          <w:p>
            <w:pPr>
              <w:spacing w:before="20" w:after="20" w:line="276" w:lineRule="auto"/>
              <w:ind w:firstLine="0"/>
            </w:pPr>
            <w:r/>
            <w:r>
              <w:rPr>
                <w:rFonts w:ascii="Times New Roman" w:hAnsi="Times New Roman" w:eastAsia="宋体"/>
                <w:b w:val="0"/>
                <w:i w:val="0"/>
                <w:sz w:val="21"/>
              </w:rPr>
              <w:t>电子追保函签约方式为电子签章，已生效单据为电子合同 PDF，签约完成后状态由系统自动变更为已生效；线下追保函签约方式为线下盖章，已生效单据为盖章扫描件，状态由业务员上传凭证后变更为已生效；电子追保函适用长期合作客户，线下追保函适用一次性合作与中小客户</w:t>
            </w:r>
          </w:p>
        </w:tc>
      </w:tr>
      <w:tr>
        <w:tc>
          <w:tcPr>
            <w:tcW w:type="dxa" w:w="1474"/>
          </w:tcPr>
          <w:p>
            <w:pPr>
              <w:spacing w:before="20" w:after="20" w:line="276" w:lineRule="auto"/>
              <w:ind w:firstLine="0"/>
            </w:pPr>
            <w:r/>
            <w:r>
              <w:rPr>
                <w:rFonts w:ascii="Times New Roman" w:hAnsi="Times New Roman" w:eastAsia="宋体"/>
                <w:b w:val="0"/>
                <w:i w:val="0"/>
                <w:sz w:val="21"/>
              </w:rPr>
              <w:t>审核与状态流转</w:t>
            </w:r>
          </w:p>
        </w:tc>
        <w:tc>
          <w:tcPr>
            <w:tcW w:type="dxa" w:w="3175"/>
          </w:tcPr>
          <w:p>
            <w:pPr>
              <w:spacing w:before="20" w:after="20" w:line="276" w:lineRule="auto"/>
              <w:ind w:firstLine="0"/>
            </w:pPr>
            <w:r/>
            <w:r>
              <w:rPr>
                <w:rFonts w:ascii="Times New Roman" w:hAnsi="Times New Roman" w:eastAsia="宋体"/>
                <w:b w:val="0"/>
                <w:i w:val="0"/>
                <w:sz w:val="21"/>
              </w:rPr>
              <w:t>业务与风控审核通过后进入待上传单据，客户线下补缴并上传凭证后生效</w:t>
            </w:r>
          </w:p>
        </w:tc>
        <w:tc>
          <w:tcPr>
            <w:tcW w:type="dxa" w:w="4422"/>
          </w:tcPr>
          <w:p>
            <w:pPr>
              <w:spacing w:before="20" w:after="20" w:line="276" w:lineRule="auto"/>
              <w:ind w:firstLine="0"/>
            </w:pPr>
            <w:r/>
            <w:r>
              <w:rPr>
                <w:rFonts w:ascii="Times New Roman" w:hAnsi="Times New Roman" w:eastAsia="宋体"/>
                <w:b w:val="0"/>
                <w:i w:val="0"/>
                <w:sz w:val="21"/>
              </w:rPr>
              <w:t>业务与风控审核通过后状态由审批中变为待上传已生效单据；审核驳回后状态变为驳回；待上传已生效单据状态下超期未补缴由系统自动作废并提示追保函已超期天数已自动作废；线下追保函由业务员上传补缴凭证后状态变为已生效</w:t>
            </w:r>
          </w:p>
        </w:tc>
      </w:tr>
      <w:tr>
        <w:tc>
          <w:tcPr>
            <w:tcW w:type="dxa" w:w="1474"/>
          </w:tcPr>
          <w:p>
            <w:pPr>
              <w:spacing w:before="20" w:after="20" w:line="276" w:lineRule="auto"/>
              <w:ind w:firstLine="0"/>
            </w:pPr>
            <w:r/>
            <w:r>
              <w:rPr>
                <w:rFonts w:ascii="Times New Roman" w:hAnsi="Times New Roman" w:eastAsia="宋体"/>
                <w:b w:val="0"/>
                <w:i w:val="0"/>
                <w:sz w:val="21"/>
              </w:rPr>
              <w:t>状态化操作按钮矩阵</w:t>
            </w:r>
          </w:p>
        </w:tc>
        <w:tc>
          <w:tcPr>
            <w:tcW w:type="dxa" w:w="3175"/>
          </w:tcPr>
          <w:p>
            <w:pPr>
              <w:spacing w:before="20" w:after="20" w:line="276" w:lineRule="auto"/>
              <w:ind w:firstLine="0"/>
            </w:pPr>
            <w:r/>
            <w:r>
              <w:rPr>
                <w:rFonts w:ascii="Times New Roman" w:hAnsi="Times New Roman" w:eastAsia="宋体"/>
                <w:b w:val="0"/>
                <w:i w:val="0"/>
                <w:sz w:val="21"/>
              </w:rPr>
              <w:t>按状态与追保函编号有效性决定每一行可见的操作</w:t>
            </w:r>
          </w:p>
        </w:tc>
        <w:tc>
          <w:tcPr>
            <w:tcW w:type="dxa" w:w="4422"/>
          </w:tcPr>
          <w:p>
            <w:pPr>
              <w:spacing w:before="20" w:after="20" w:line="276" w:lineRule="auto"/>
              <w:ind w:firstLine="0"/>
            </w:pPr>
            <w:r/>
            <w:r>
              <w:rPr>
                <w:rFonts w:ascii="Times New Roman" w:hAnsi="Times New Roman" w:eastAsia="宋体"/>
                <w:b w:val="0"/>
                <w:i w:val="0"/>
                <w:sz w:val="21"/>
              </w:rPr>
              <w:t>审批中仅显示详情；待上传已生效单据显示详情、上传附件、作废；已生效且追保函编号有效显示详情、修改、作废；已生效且追保函编号无效仅显示详情；驳回显示详情、修改、作废；已作废仅显示详情；不适用的按钮不渲染而非置灰；作废为危险操作，必须二次确认</w:t>
            </w:r>
          </w:p>
        </w:tc>
      </w:tr>
      <w:tr>
        <w:tc>
          <w:tcPr>
            <w:tcW w:type="dxa" w:w="1474"/>
          </w:tcPr>
          <w:p>
            <w:pPr>
              <w:spacing w:before="20" w:after="20" w:line="276" w:lineRule="auto"/>
              <w:ind w:firstLine="0"/>
            </w:pPr>
            <w:r/>
            <w:r>
              <w:rPr>
                <w:rFonts w:ascii="Times New Roman" w:hAnsi="Times New Roman" w:eastAsia="宋体"/>
                <w:b w:val="0"/>
                <w:i w:val="0"/>
                <w:sz w:val="21"/>
              </w:rPr>
              <w:t>附件与凭证管理</w:t>
            </w:r>
          </w:p>
        </w:tc>
        <w:tc>
          <w:tcPr>
            <w:tcW w:type="dxa" w:w="3175"/>
          </w:tcPr>
          <w:p>
            <w:pPr>
              <w:spacing w:before="20" w:after="20" w:line="276" w:lineRule="auto"/>
              <w:ind w:firstLine="0"/>
            </w:pPr>
            <w:r/>
            <w:r>
              <w:rPr>
                <w:rFonts w:ascii="Times New Roman" w:hAnsi="Times New Roman" w:eastAsia="宋体"/>
                <w:b w:val="0"/>
                <w:i w:val="0"/>
                <w:sz w:val="21"/>
              </w:rPr>
              <w:t>在新增、详情与列表操作中上传并管理追保函相关凭证</w:t>
            </w:r>
          </w:p>
        </w:tc>
        <w:tc>
          <w:tcPr>
            <w:tcW w:type="dxa" w:w="4422"/>
          </w:tcPr>
          <w:p>
            <w:pPr>
              <w:spacing w:before="20" w:after="20" w:line="276" w:lineRule="auto"/>
              <w:ind w:firstLine="0"/>
            </w:pPr>
            <w:r/>
            <w:r>
              <w:rPr>
                <w:rFonts w:ascii="Times New Roman" w:hAnsi="Times New Roman" w:eastAsia="宋体"/>
                <w:b w:val="0"/>
                <w:i w:val="0"/>
                <w:sz w:val="21"/>
              </w:rPr>
              <w:t>附件类型分为已签追保函、补缴凭证、盖章扫描件三类；上传附件入口仅在待上传已生效单据状态下可见；详情页无附件时显示暂无附件并提供上传附件入口；线下追保函登记必须上传扫描件且同时填写核心企业与客户双方的签字人及盖章日期，扫描件格式限 jpg、jpeg、png、pdf，单文件不超过 100MB，签字盖章信息缺失时提交按钮禁用并红字提示</w:t>
            </w:r>
          </w:p>
        </w:tc>
      </w:tr>
      <w:tr>
        <w:tc>
          <w:tcPr>
            <w:tcW w:type="dxa" w:w="1474"/>
          </w:tcPr>
          <w:p>
            <w:pPr>
              <w:spacing w:before="20" w:after="20" w:line="276" w:lineRule="auto"/>
              <w:ind w:firstLine="0"/>
            </w:pPr>
            <w:r/>
            <w:r>
              <w:rPr>
                <w:rFonts w:ascii="Times New Roman" w:hAnsi="Times New Roman" w:eastAsia="宋体"/>
                <w:b w:val="0"/>
                <w:i w:val="0"/>
                <w:sz w:val="21"/>
              </w:rPr>
              <w:t>数据导出与列表视图</w:t>
            </w:r>
          </w:p>
        </w:tc>
        <w:tc>
          <w:tcPr>
            <w:tcW w:type="dxa" w:w="3175"/>
          </w:tcPr>
          <w:p>
            <w:pPr>
              <w:spacing w:before="20" w:after="20" w:line="276" w:lineRule="auto"/>
              <w:ind w:firstLine="0"/>
            </w:pPr>
            <w:r/>
            <w:r>
              <w:rPr>
                <w:rFonts w:ascii="Times New Roman" w:hAnsi="Times New Roman" w:eastAsia="宋体"/>
                <w:b w:val="0"/>
                <w:i w:val="0"/>
                <w:sz w:val="21"/>
              </w:rPr>
              <w:t>支持对当前追保函台账导出并在列表中查看</w:t>
            </w:r>
          </w:p>
        </w:tc>
        <w:tc>
          <w:tcPr>
            <w:tcW w:type="dxa" w:w="4422"/>
          </w:tcPr>
          <w:p>
            <w:pPr>
              <w:spacing w:before="20" w:after="20" w:line="276" w:lineRule="auto"/>
              <w:ind w:firstLine="0"/>
            </w:pPr>
            <w:r/>
            <w:r>
              <w:rPr>
                <w:rFonts w:ascii="Times New Roman" w:hAnsi="Times New Roman" w:eastAsia="宋体"/>
                <w:b w:val="0"/>
                <w:i w:val="0"/>
                <w:sz w:val="21"/>
              </w:rPr>
              <w:t>页面右上与页签栏右侧各提供一处数据导出入口，导出内容为当前列表数据为 Excel 格式；列表行内提供详情入口，跳转追保函详情页</w:t>
            </w:r>
          </w:p>
        </w:tc>
      </w:tr>
      <w:tr>
        <w:tc>
          <w:tcPr>
            <w:tcW w:type="dxa" w:w="1474"/>
          </w:tcPr>
          <w:p>
            <w:pPr>
              <w:spacing w:before="20" w:after="20" w:line="276" w:lineRule="auto"/>
              <w:ind w:firstLine="0"/>
            </w:pPr>
            <w:r/>
            <w:r>
              <w:rPr>
                <w:rFonts w:ascii="Times New Roman" w:hAnsi="Times New Roman" w:eastAsia="宋体"/>
                <w:b w:val="0"/>
                <w:i w:val="0"/>
                <w:sz w:val="21"/>
              </w:rPr>
              <w:t>下游联动</w:t>
            </w:r>
          </w:p>
        </w:tc>
        <w:tc>
          <w:tcPr>
            <w:tcW w:type="dxa" w:w="3175"/>
          </w:tcPr>
          <w:p>
            <w:pPr>
              <w:spacing w:before="20" w:after="20" w:line="276" w:lineRule="auto"/>
              <w:ind w:firstLine="0"/>
            </w:pPr>
            <w:r/>
            <w:r>
              <w:rPr>
                <w:rFonts w:ascii="Times New Roman" w:hAnsi="Times New Roman" w:eastAsia="宋体"/>
                <w:b w:val="0"/>
                <w:i w:val="0"/>
                <w:sz w:val="21"/>
              </w:rPr>
              <w:t>追保函生命周期变化驱动保证金池、可用额度与预警信号</w:t>
            </w:r>
          </w:p>
        </w:tc>
        <w:tc>
          <w:tcPr>
            <w:tcW w:type="dxa" w:w="4422"/>
          </w:tcPr>
          <w:p>
            <w:pPr>
              <w:spacing w:before="20" w:after="20" w:line="276" w:lineRule="auto"/>
              <w:ind w:firstLine="0"/>
            </w:pPr>
            <w:r/>
            <w:r>
              <w:rPr>
                <w:rFonts w:ascii="Times New Roman" w:hAnsi="Times New Roman" w:eastAsia="宋体"/>
                <w:b w:val="0"/>
                <w:i w:val="0"/>
                <w:sz w:val="21"/>
              </w:rPr>
              <w:t>追保函变为已生效后更新客户保证金池并更新客户可用额度；追保函生成或驳回时向预警中心触发预警信号；保证金率变化时由保证金管理反向触发追保函</w:t>
            </w:r>
          </w:p>
        </w:tc>
      </w:tr>
    </w:tbl>
    <w:p>
      <w:pPr>
        <w:spacing w:before="0" w:after="0" w:line="240" w:lineRule="auto"/>
      </w:pP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tblGrid>
      <w:tr>
        <w:trPr>
          <w:tblHeader w:val="true"/>
        </w:trPr>
        <w:tc>
          <w:tcPr>
            <w:tcW w:type="dxa" w:w="1247"/>
            <w:shd w:val="clear" w:color="auto" w:fill="DCE6F1"/>
          </w:tcPr>
          <w:p>
            <w:pPr>
              <w:spacing w:before="40" w:after="40" w:line="276" w:lineRule="auto"/>
              <w:jc w:val="center"/>
            </w:pPr>
            <w:r/>
            <w:r>
              <w:rPr>
                <w:rFonts w:ascii="Times New Roman" w:hAnsi="Times New Roman" w:eastAsia="黑体"/>
                <w:b/>
                <w:i w:val="0"/>
                <w:sz w:val="19"/>
              </w:rPr>
              <w:t>页面</w:t>
            </w:r>
          </w:p>
        </w:tc>
        <w:tc>
          <w:tcPr>
            <w:tcW w:type="dxa" w:w="1474"/>
            <w:shd w:val="clear" w:color="auto" w:fill="DCE6F1"/>
          </w:tcPr>
          <w:p>
            <w:pPr>
              <w:spacing w:before="40" w:after="40" w:line="276" w:lineRule="auto"/>
              <w:jc w:val="center"/>
            </w:pPr>
            <w:r/>
            <w:r>
              <w:rPr>
                <w:rFonts w:ascii="Times New Roman" w:hAnsi="Times New Roman" w:eastAsia="黑体"/>
                <w:b/>
                <w:i w:val="0"/>
                <w:sz w:val="19"/>
              </w:rPr>
              <w:t>文件</w:t>
            </w:r>
          </w:p>
        </w:tc>
        <w:tc>
          <w:tcPr>
            <w:tcW w:type="dxa" w:w="1134"/>
            <w:shd w:val="clear" w:color="auto" w:fill="DCE6F1"/>
          </w:tcPr>
          <w:p>
            <w:pPr>
              <w:spacing w:before="40" w:after="40" w:line="276" w:lineRule="auto"/>
              <w:jc w:val="center"/>
            </w:pPr>
            <w:r/>
            <w:r>
              <w:rPr>
                <w:rFonts w:ascii="Times New Roman" w:hAnsi="Times New Roman" w:eastAsia="黑体"/>
                <w:b/>
                <w:i w:val="0"/>
                <w:sz w:val="19"/>
              </w:rPr>
              <w:t>入口</w:t>
            </w:r>
          </w:p>
        </w:tc>
        <w:tc>
          <w:tcPr>
            <w:tcW w:type="dxa" w:w="2041"/>
            <w:shd w:val="clear" w:color="auto" w:fill="DCE6F1"/>
          </w:tcPr>
          <w:p>
            <w:pPr>
              <w:spacing w:before="40" w:after="40" w:line="276" w:lineRule="auto"/>
              <w:jc w:val="center"/>
            </w:pPr>
            <w:r/>
            <w:r>
              <w:rPr>
                <w:rFonts w:ascii="Times New Roman" w:hAnsi="Times New Roman" w:eastAsia="黑体"/>
                <w:b/>
                <w:i w:val="0"/>
                <w:sz w:val="19"/>
              </w:rPr>
              <w:t>主要区块</w:t>
            </w:r>
          </w:p>
        </w:tc>
        <w:tc>
          <w:tcPr>
            <w:tcW w:type="dxa" w:w="1701"/>
            <w:shd w:val="clear" w:color="auto" w:fill="DCE6F1"/>
          </w:tcPr>
          <w:p>
            <w:pPr>
              <w:spacing w:before="40" w:after="40" w:line="276" w:lineRule="auto"/>
              <w:jc w:val="center"/>
            </w:pPr>
            <w:r/>
            <w:r>
              <w:rPr>
                <w:rFonts w:ascii="Times New Roman" w:hAnsi="Times New Roman" w:eastAsia="黑体"/>
                <w:b/>
                <w:i w:val="0"/>
                <w:sz w:val="19"/>
              </w:rPr>
              <w:t>主要操作</w:t>
            </w:r>
          </w:p>
        </w:tc>
        <w:tc>
          <w:tcPr>
            <w:tcW w:type="dxa" w:w="1474"/>
            <w:shd w:val="clear" w:color="auto" w:fill="DCE6F1"/>
          </w:tcPr>
          <w:p>
            <w:pPr>
              <w:spacing w:before="40" w:after="40" w:line="276" w:lineRule="auto"/>
              <w:jc w:val="center"/>
            </w:pPr>
            <w:r/>
            <w:r>
              <w:rPr>
                <w:rFonts w:ascii="Times New Roman" w:hAnsi="Times New Roman" w:eastAsia="黑体"/>
                <w:b/>
                <w:i w:val="0"/>
                <w:sz w:val="19"/>
              </w:rPr>
              <w:t>跳转</w:t>
            </w:r>
          </w:p>
        </w:tc>
      </w:tr>
      <w:tr>
        <w:tc>
          <w:tcPr>
            <w:tcW w:type="dxa" w:w="1247"/>
          </w:tcPr>
          <w:p>
            <w:pPr>
              <w:spacing w:before="20" w:after="20" w:line="276" w:lineRule="auto"/>
              <w:ind w:firstLine="0"/>
            </w:pPr>
            <w:r/>
            <w:r>
              <w:rPr>
                <w:rFonts w:ascii="Times New Roman" w:hAnsi="Times New Roman" w:eastAsia="宋体"/>
                <w:b w:val="0"/>
                <w:i w:val="0"/>
                <w:sz w:val="19"/>
              </w:rPr>
              <w:t>追保函管理</w:t>
            </w:r>
          </w:p>
        </w:tc>
        <w:tc>
          <w:tcPr>
            <w:tcW w:type="dxa" w:w="1474"/>
          </w:tcPr>
          <w:p>
            <w:pPr>
              <w:spacing w:before="20" w:after="20" w:line="276" w:lineRule="auto"/>
              <w:ind w:firstLine="0"/>
            </w:pPr>
            <w:r/>
            <w:r>
              <w:rPr>
                <w:rFonts w:ascii="Times New Roman" w:hAnsi="Times New Roman" w:eastAsia="宋体"/>
                <w:b w:val="0"/>
                <w:i w:val="0"/>
                <w:sz w:val="19"/>
              </w:rPr>
              <w:t>bond-letter.html</w:t>
            </w:r>
          </w:p>
        </w:tc>
        <w:tc>
          <w:tcPr>
            <w:tcW w:type="dxa" w:w="1134"/>
          </w:tcPr>
          <w:p>
            <w:pPr>
              <w:spacing w:before="20" w:after="20" w:line="276" w:lineRule="auto"/>
              <w:ind w:firstLine="0"/>
            </w:pPr>
            <w:r/>
            <w:r>
              <w:rPr>
                <w:rFonts w:ascii="Times New Roman" w:hAnsi="Times New Roman" w:eastAsia="宋体"/>
                <w:b w:val="0"/>
                <w:i w:val="0"/>
                <w:sz w:val="19"/>
              </w:rPr>
              <w:t>数字供应链 / 追保函管理 / 追保函管理</w:t>
            </w:r>
          </w:p>
        </w:tc>
        <w:tc>
          <w:tcPr>
            <w:tcW w:type="dxa" w:w="2041"/>
          </w:tcPr>
          <w:p>
            <w:pPr>
              <w:spacing w:before="20" w:after="20" w:line="276" w:lineRule="auto"/>
              <w:ind w:firstLine="0"/>
            </w:pPr>
            <w:r/>
            <w:r>
              <w:rPr>
                <w:rFonts w:ascii="Times New Roman" w:hAnsi="Times New Roman" w:eastAsia="宋体"/>
                <w:b w:val="0"/>
                <w:i w:val="0"/>
                <w:sz w:val="19"/>
              </w:rPr>
              <w:t>6 个状态页签（全部、审批中、待上传已生效单据、已生效、驳回、已作废）各带状态标识；3 字段筛选区（编号、企业名称、签发日期）；10 列台账表格；分页；页面右上数据导出与新增追保函按钮</w:t>
            </w:r>
          </w:p>
        </w:tc>
        <w:tc>
          <w:tcPr>
            <w:tcW w:type="dxa" w:w="1701"/>
          </w:tcPr>
          <w:p>
            <w:pPr>
              <w:spacing w:before="20" w:after="20" w:line="276" w:lineRule="auto"/>
              <w:ind w:firstLine="0"/>
            </w:pPr>
            <w:r/>
            <w:r>
              <w:rPr>
                <w:rFonts w:ascii="Times New Roman" w:hAnsi="Times New Roman" w:eastAsia="宋体"/>
                <w:b w:val="0"/>
                <w:i w:val="0"/>
                <w:sz w:val="19"/>
              </w:rPr>
              <w:t>新增追保函、页签切换、数据导出、行内详情、行内上传附件、行内作废、行内修改，作废前二次确认</w:t>
            </w:r>
          </w:p>
        </w:tc>
        <w:tc>
          <w:tcPr>
            <w:tcW w:type="dxa" w:w="1474"/>
          </w:tcPr>
          <w:p>
            <w:pPr>
              <w:spacing w:before="20" w:after="20" w:line="276" w:lineRule="auto"/>
              <w:ind w:firstLine="0"/>
            </w:pPr>
            <w:r/>
            <w:r>
              <w:rPr>
                <w:rFonts w:ascii="Times New Roman" w:hAnsi="Times New Roman" w:eastAsia="宋体"/>
                <w:b w:val="0"/>
                <w:i w:val="0"/>
                <w:sz w:val="19"/>
              </w:rPr>
              <w:t>点击详情跳追保函详情页 bond-letter-detail.html；点击新增追保函跳新增页 bond-letter-new.html 或线下新增页 bond-letter-new-offline.html</w:t>
            </w:r>
          </w:p>
        </w:tc>
      </w:tr>
      <w:tr>
        <w:tc>
          <w:tcPr>
            <w:tcW w:type="dxa" w:w="1247"/>
          </w:tcPr>
          <w:p>
            <w:pPr>
              <w:spacing w:before="20" w:after="20" w:line="276" w:lineRule="auto"/>
              <w:ind w:firstLine="0"/>
            </w:pPr>
            <w:r/>
            <w:r>
              <w:rPr>
                <w:rFonts w:ascii="Times New Roman" w:hAnsi="Times New Roman" w:eastAsia="宋体"/>
                <w:b w:val="0"/>
                <w:i w:val="0"/>
                <w:sz w:val="19"/>
              </w:rPr>
              <w:t>新增追保函</w:t>
            </w:r>
          </w:p>
        </w:tc>
        <w:tc>
          <w:tcPr>
            <w:tcW w:type="dxa" w:w="1474"/>
          </w:tcPr>
          <w:p>
            <w:pPr>
              <w:spacing w:before="20" w:after="20" w:line="276" w:lineRule="auto"/>
              <w:ind w:firstLine="0"/>
            </w:pPr>
            <w:r/>
            <w:r>
              <w:rPr>
                <w:rFonts w:ascii="Times New Roman" w:hAnsi="Times New Roman" w:eastAsia="宋体"/>
                <w:b w:val="0"/>
                <w:i w:val="0"/>
                <w:sz w:val="19"/>
              </w:rPr>
              <w:t>bond-letter-new.html</w:t>
            </w:r>
          </w:p>
        </w:tc>
        <w:tc>
          <w:tcPr>
            <w:tcW w:type="dxa" w:w="1134"/>
          </w:tcPr>
          <w:p>
            <w:pPr>
              <w:spacing w:before="20" w:after="20" w:line="276" w:lineRule="auto"/>
              <w:ind w:firstLine="0"/>
            </w:pPr>
            <w:r/>
            <w:r>
              <w:rPr>
                <w:rFonts w:ascii="Times New Roman" w:hAnsi="Times New Roman" w:eastAsia="宋体"/>
                <w:b w:val="0"/>
                <w:i w:val="0"/>
                <w:sz w:val="19"/>
              </w:rPr>
              <w:t>数字供应链 / 追保函管理 / 追保函管理 / 新增追保函（电子）</w:t>
            </w:r>
          </w:p>
        </w:tc>
        <w:tc>
          <w:tcPr>
            <w:tcW w:type="dxa" w:w="2041"/>
          </w:tcPr>
          <w:p>
            <w:pPr>
              <w:spacing w:before="20" w:after="20" w:line="276" w:lineRule="auto"/>
              <w:ind w:firstLine="0"/>
            </w:pPr>
            <w:r/>
            <w:r>
              <w:rPr>
                <w:rFonts w:ascii="Times New Roman" w:hAnsi="Times New Roman" w:eastAsia="宋体"/>
                <w:b w:val="0"/>
                <w:i w:val="0"/>
                <w:sz w:val="19"/>
              </w:rPr>
              <w:t>销售合同选择区（区分电子销售合同与线下销售合同）；触发指数自动带出区；追保金额自动计算区；补缴截止日期</w:t>
            </w:r>
          </w:p>
        </w:tc>
        <w:tc>
          <w:tcPr>
            <w:tcW w:type="dxa" w:w="1701"/>
          </w:tcPr>
          <w:p>
            <w:pPr>
              <w:spacing w:before="20" w:after="20" w:line="276" w:lineRule="auto"/>
              <w:ind w:firstLine="0"/>
            </w:pPr>
            <w:r/>
            <w:r>
              <w:rPr>
                <w:rFonts w:ascii="Times New Roman" w:hAnsi="Times New Roman" w:eastAsia="宋体"/>
                <w:b w:val="0"/>
                <w:i w:val="0"/>
                <w:sz w:val="19"/>
              </w:rPr>
              <w:t>选择销售合同、保存、取消；未选合同、合同已签章、追保金额不大于 0、截止日期不大于今天时阻止保存</w:t>
            </w:r>
          </w:p>
        </w:tc>
        <w:tc>
          <w:tcPr>
            <w:tcW w:type="dxa" w:w="1474"/>
          </w:tcPr>
          <w:p>
            <w:pPr>
              <w:spacing w:before="20" w:after="20" w:line="276" w:lineRule="auto"/>
              <w:ind w:firstLine="0"/>
            </w:pPr>
            <w:r/>
            <w:r>
              <w:rPr>
                <w:rFonts w:ascii="Times New Roman" w:hAnsi="Times New Roman" w:eastAsia="宋体"/>
                <w:b w:val="0"/>
                <w:i w:val="0"/>
                <w:sz w:val="19"/>
              </w:rPr>
              <w:t>保存成功后返回追保函管理列表 bond-letter.html</w:t>
            </w:r>
          </w:p>
        </w:tc>
      </w:tr>
      <w:tr>
        <w:tc>
          <w:tcPr>
            <w:tcW w:type="dxa" w:w="1247"/>
          </w:tcPr>
          <w:p>
            <w:pPr>
              <w:spacing w:before="20" w:after="20" w:line="276" w:lineRule="auto"/>
              <w:ind w:firstLine="0"/>
            </w:pPr>
            <w:r/>
            <w:r>
              <w:rPr>
                <w:rFonts w:ascii="Times New Roman" w:hAnsi="Times New Roman" w:eastAsia="宋体"/>
                <w:b w:val="0"/>
                <w:i w:val="0"/>
                <w:sz w:val="19"/>
              </w:rPr>
              <w:t>新增追保函（线下）</w:t>
            </w:r>
          </w:p>
        </w:tc>
        <w:tc>
          <w:tcPr>
            <w:tcW w:type="dxa" w:w="1474"/>
          </w:tcPr>
          <w:p>
            <w:pPr>
              <w:spacing w:before="20" w:after="20" w:line="276" w:lineRule="auto"/>
              <w:ind w:firstLine="0"/>
            </w:pPr>
            <w:r/>
            <w:r>
              <w:rPr>
                <w:rFonts w:ascii="Times New Roman" w:hAnsi="Times New Roman" w:eastAsia="宋体"/>
                <w:b w:val="0"/>
                <w:i w:val="0"/>
                <w:sz w:val="19"/>
              </w:rPr>
              <w:t>bond-letter-new-offline.html</w:t>
            </w:r>
          </w:p>
        </w:tc>
        <w:tc>
          <w:tcPr>
            <w:tcW w:type="dxa" w:w="1134"/>
          </w:tcPr>
          <w:p>
            <w:pPr>
              <w:spacing w:before="20" w:after="20" w:line="276" w:lineRule="auto"/>
              <w:ind w:firstLine="0"/>
            </w:pPr>
            <w:r/>
            <w:r>
              <w:rPr>
                <w:rFonts w:ascii="Times New Roman" w:hAnsi="Times New Roman" w:eastAsia="宋体"/>
                <w:b w:val="0"/>
                <w:i w:val="0"/>
                <w:sz w:val="19"/>
              </w:rPr>
              <w:t>数字供应链 / 追保函管理 / 追保函管理 / 新增追保函（线下）</w:t>
            </w:r>
          </w:p>
        </w:tc>
        <w:tc>
          <w:tcPr>
            <w:tcW w:type="dxa" w:w="2041"/>
          </w:tcPr>
          <w:p>
            <w:pPr>
              <w:spacing w:before="20" w:after="20" w:line="276" w:lineRule="auto"/>
              <w:ind w:firstLine="0"/>
            </w:pPr>
            <w:r/>
            <w:r>
              <w:rPr>
                <w:rFonts w:ascii="Times New Roman" w:hAnsi="Times New Roman" w:eastAsia="宋体"/>
                <w:b w:val="0"/>
                <w:i w:val="0"/>
                <w:sz w:val="19"/>
              </w:rPr>
              <w:t>区块 1 基本信息 10 字段：追保函编号、关联合同、追保金额、追保日期、生效日期、失效日期、追保类型、关联客户、关联业务线、备注；区块 2 线下凭证：线下追保函扫描件、扫描件说明、核心企业签字人与盖章日期、客户签字人与盖章日期</w:t>
            </w:r>
          </w:p>
        </w:tc>
        <w:tc>
          <w:tcPr>
            <w:tcW w:type="dxa" w:w="1701"/>
          </w:tcPr>
          <w:p>
            <w:pPr>
              <w:spacing w:before="20" w:after="20" w:line="276" w:lineRule="auto"/>
              <w:ind w:firstLine="0"/>
            </w:pPr>
            <w:r/>
            <w:r>
              <w:rPr>
                <w:rFonts w:ascii="Times New Roman" w:hAnsi="Times New Roman" w:eastAsia="宋体"/>
                <w:b w:val="0"/>
                <w:i w:val="0"/>
                <w:sz w:val="19"/>
              </w:rPr>
              <w:t>选择合同、上传扫描件、删除扫描件、提交、取消；提交前二次确认，提示内容为确认提交本次线下追保函登记并说明提交后将更新客户与合同的追保金额</w:t>
            </w:r>
          </w:p>
        </w:tc>
        <w:tc>
          <w:tcPr>
            <w:tcW w:type="dxa" w:w="1474"/>
          </w:tcPr>
          <w:p>
            <w:pPr>
              <w:spacing w:before="20" w:after="20" w:line="276" w:lineRule="auto"/>
              <w:ind w:firstLine="0"/>
            </w:pPr>
            <w:r/>
            <w:r>
              <w:rPr>
                <w:rFonts w:ascii="Times New Roman" w:hAnsi="Times New Roman" w:eastAsia="宋体"/>
                <w:b w:val="0"/>
                <w:i w:val="0"/>
                <w:sz w:val="19"/>
              </w:rPr>
              <w:t>提交成功后跳追保函管理列表 bond-letter.html，并在列表刷新该条线下追保函记录</w:t>
            </w:r>
          </w:p>
        </w:tc>
      </w:tr>
      <w:tr>
        <w:tc>
          <w:tcPr>
            <w:tcW w:type="dxa" w:w="1247"/>
          </w:tcPr>
          <w:p>
            <w:pPr>
              <w:spacing w:before="20" w:after="20" w:line="276" w:lineRule="auto"/>
              <w:ind w:firstLine="0"/>
            </w:pPr>
            <w:r/>
            <w:r>
              <w:rPr>
                <w:rFonts w:ascii="Times New Roman" w:hAnsi="Times New Roman" w:eastAsia="宋体"/>
                <w:b w:val="0"/>
                <w:i w:val="0"/>
                <w:sz w:val="19"/>
              </w:rPr>
              <w:t>追保函详情</w:t>
            </w:r>
          </w:p>
        </w:tc>
        <w:tc>
          <w:tcPr>
            <w:tcW w:type="dxa" w:w="1474"/>
          </w:tcPr>
          <w:p>
            <w:pPr>
              <w:spacing w:before="20" w:after="20" w:line="276" w:lineRule="auto"/>
              <w:ind w:firstLine="0"/>
            </w:pPr>
            <w:r/>
            <w:r>
              <w:rPr>
                <w:rFonts w:ascii="Times New Roman" w:hAnsi="Times New Roman" w:eastAsia="宋体"/>
                <w:b w:val="0"/>
                <w:i w:val="0"/>
                <w:sz w:val="19"/>
              </w:rPr>
              <w:t>bond-letter-detail.html</w:t>
            </w:r>
          </w:p>
        </w:tc>
        <w:tc>
          <w:tcPr>
            <w:tcW w:type="dxa" w:w="1134"/>
          </w:tcPr>
          <w:p>
            <w:pPr>
              <w:spacing w:before="20" w:after="20" w:line="276" w:lineRule="auto"/>
              <w:ind w:firstLine="0"/>
            </w:pPr>
            <w:r/>
            <w:r>
              <w:rPr>
                <w:rFonts w:ascii="Times New Roman" w:hAnsi="Times New Roman" w:eastAsia="宋体"/>
                <w:b w:val="0"/>
                <w:i w:val="0"/>
                <w:sz w:val="19"/>
              </w:rPr>
              <w:t>数字供应链 / 追保函管理 / 追保函管理 / 行内详情</w:t>
            </w:r>
          </w:p>
        </w:tc>
        <w:tc>
          <w:tcPr>
            <w:tcW w:type="dxa" w:w="2041"/>
          </w:tcPr>
          <w:p>
            <w:pPr>
              <w:spacing w:before="20" w:after="20" w:line="276" w:lineRule="auto"/>
              <w:ind w:firstLine="0"/>
            </w:pPr>
            <w:r/>
            <w:r>
              <w:rPr>
                <w:rFonts w:ascii="Times New Roman" w:hAnsi="Times New Roman" w:eastAsia="宋体"/>
                <w:b w:val="0"/>
                <w:i w:val="0"/>
                <w:sz w:val="19"/>
              </w:rPr>
              <w:t>追保函基本信息；关联销售合同信息；触发指数与触发价格；追保金额与补缴信息；凭证附件区（无附件时显示暂无附件）；状态与操作轨迹</w:t>
            </w:r>
          </w:p>
        </w:tc>
        <w:tc>
          <w:tcPr>
            <w:tcW w:type="dxa" w:w="1701"/>
          </w:tcPr>
          <w:p>
            <w:pPr>
              <w:spacing w:before="20" w:after="20" w:line="276" w:lineRule="auto"/>
              <w:ind w:firstLine="0"/>
            </w:pPr>
            <w:r/>
            <w:r>
              <w:rPr>
                <w:rFonts w:ascii="Times New Roman" w:hAnsi="Times New Roman" w:eastAsia="宋体"/>
                <w:b w:val="0"/>
                <w:i w:val="0"/>
                <w:sz w:val="19"/>
              </w:rPr>
              <w:t>上传附件、下载附件、修改、作废、返回</w:t>
            </w:r>
          </w:p>
        </w:tc>
        <w:tc>
          <w:tcPr>
            <w:tcW w:type="dxa" w:w="1474"/>
          </w:tcPr>
          <w:p>
            <w:pPr>
              <w:spacing w:before="20" w:after="20" w:line="276" w:lineRule="auto"/>
              <w:ind w:firstLine="0"/>
            </w:pPr>
            <w:r/>
            <w:r>
              <w:rPr>
                <w:rFonts w:ascii="Times New Roman" w:hAnsi="Times New Roman" w:eastAsia="宋体"/>
                <w:b w:val="0"/>
                <w:i w:val="0"/>
                <w:sz w:val="19"/>
              </w:rPr>
              <w:t>返回追保函管理列表 bond-letter.html</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4.18.5　数据关系</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474"/>
            <w:shd w:val="clear" w:color="auto" w:fill="DCE6F1"/>
          </w:tcPr>
          <w:p>
            <w:pPr>
              <w:spacing w:before="40" w:after="40" w:line="276" w:lineRule="auto"/>
              <w:jc w:val="center"/>
            </w:pPr>
            <w:r/>
            <w:r>
              <w:rPr>
                <w:rFonts w:ascii="Times New Roman" w:hAnsi="Times New Roman" w:eastAsia="黑体"/>
                <w:b/>
                <w:i w:val="0"/>
                <w:sz w:val="21"/>
              </w:rPr>
              <w:t>业务对象</w:t>
            </w:r>
          </w:p>
        </w:tc>
        <w:tc>
          <w:tcPr>
            <w:tcW w:type="dxa" w:w="4195"/>
            <w:shd w:val="clear" w:color="auto" w:fill="DCE6F1"/>
          </w:tcPr>
          <w:p>
            <w:pPr>
              <w:spacing w:before="40" w:after="40" w:line="276" w:lineRule="auto"/>
              <w:jc w:val="center"/>
            </w:pPr>
            <w:r/>
            <w:r>
              <w:rPr>
                <w:rFonts w:ascii="Times New Roman" w:hAnsi="Times New Roman" w:eastAsia="黑体"/>
                <w:b/>
                <w:i w:val="0"/>
                <w:sz w:val="21"/>
              </w:rPr>
              <w:t>关键字段与口径</w:t>
            </w:r>
          </w:p>
        </w:tc>
        <w:tc>
          <w:tcPr>
            <w:tcW w:type="dxa" w:w="3402"/>
            <w:shd w:val="clear" w:color="auto" w:fill="DCE6F1"/>
          </w:tcPr>
          <w:p>
            <w:pPr>
              <w:spacing w:before="40" w:after="40" w:line="276" w:lineRule="auto"/>
              <w:jc w:val="center"/>
            </w:pPr>
            <w:r/>
            <w:r>
              <w:rPr>
                <w:rFonts w:ascii="Times New Roman" w:hAnsi="Times New Roman" w:eastAsia="黑体"/>
                <w:b/>
                <w:i w:val="0"/>
                <w:sz w:val="21"/>
              </w:rPr>
              <w:t>与其他对象的关系</w:t>
            </w:r>
          </w:p>
        </w:tc>
      </w:tr>
      <w:tr>
        <w:tc>
          <w:tcPr>
            <w:tcW w:type="dxa" w:w="1474"/>
          </w:tcPr>
          <w:p>
            <w:pPr>
              <w:spacing w:before="20" w:after="20" w:line="276" w:lineRule="auto"/>
              <w:ind w:firstLine="0"/>
            </w:pPr>
            <w:r/>
            <w:r>
              <w:rPr>
                <w:rFonts w:ascii="Times New Roman" w:hAnsi="Times New Roman" w:eastAsia="宋体"/>
                <w:b w:val="0"/>
                <w:i w:val="0"/>
                <w:sz w:val="21"/>
              </w:rPr>
              <w:t>追保函主表</w:t>
            </w:r>
          </w:p>
        </w:tc>
        <w:tc>
          <w:tcPr>
            <w:tcW w:type="dxa" w:w="4195"/>
          </w:tcPr>
          <w:p>
            <w:pPr>
              <w:spacing w:before="20" w:after="20" w:line="276" w:lineRule="auto"/>
              <w:ind w:firstLine="0"/>
            </w:pPr>
            <w:r/>
            <w:r>
              <w:rPr>
                <w:rFonts w:ascii="Times New Roman" w:hAnsi="Times New Roman" w:eastAsia="宋体"/>
                <w:b w:val="0"/>
                <w:i w:val="0"/>
                <w:sz w:val="21"/>
              </w:rPr>
              <w:t>追保函类型：电子追保函或线下追保函</w:t>
            </w:r>
            <w:r>
              <w:br/>
            </w:r>
            <w:r>
              <w:rPr>
                <w:rFonts w:ascii="Times New Roman" w:hAnsi="Times New Roman" w:eastAsia="宋体"/>
                <w:b w:val="0"/>
                <w:i w:val="0"/>
                <w:sz w:val="21"/>
              </w:rPr>
              <w:t>关联销售合同：必填，指向销售合同</w:t>
            </w:r>
            <w:r>
              <w:br/>
            </w:r>
            <w:r>
              <w:rPr>
                <w:rFonts w:ascii="Times New Roman" w:hAnsi="Times New Roman" w:eastAsia="宋体"/>
                <w:b w:val="0"/>
                <w:i w:val="0"/>
                <w:sz w:val="21"/>
              </w:rPr>
              <w:t>销售合同类型：电子销售合同或线下销售合同</w:t>
            </w:r>
            <w:r>
              <w:br/>
            </w:r>
            <w:r>
              <w:rPr>
                <w:rFonts w:ascii="Times New Roman" w:hAnsi="Times New Roman" w:eastAsia="宋体"/>
                <w:b w:val="0"/>
                <w:i w:val="0"/>
                <w:sz w:val="21"/>
              </w:rPr>
              <w:t>追保金额：元，保留 2 位小数，等于合同金额乘追保率减已缴保证金</w:t>
            </w:r>
            <w:r>
              <w:br/>
            </w:r>
            <w:r>
              <w:rPr>
                <w:rFonts w:ascii="Times New Roman" w:hAnsi="Times New Roman" w:eastAsia="宋体"/>
                <w:b w:val="0"/>
                <w:i w:val="0"/>
                <w:sz w:val="21"/>
              </w:rPr>
              <w:t>未补缴金额：本次尚需补缴的金额</w:t>
            </w:r>
            <w:r>
              <w:br/>
            </w:r>
            <w:r>
              <w:rPr>
                <w:rFonts w:ascii="Times New Roman" w:hAnsi="Times New Roman" w:eastAsia="宋体"/>
                <w:b w:val="0"/>
                <w:i w:val="0"/>
                <w:sz w:val="21"/>
              </w:rPr>
              <w:t>已补缴金额：客户已上传凭证登记的补缴金额</w:t>
            </w:r>
            <w:r>
              <w:br/>
            </w:r>
            <w:r>
              <w:rPr>
                <w:rFonts w:ascii="Times New Roman" w:hAnsi="Times New Roman" w:eastAsia="宋体"/>
                <w:b w:val="0"/>
                <w:i w:val="0"/>
                <w:sz w:val="21"/>
              </w:rPr>
              <w:t>触发指数：关联盯市价格的指数</w:t>
            </w:r>
            <w:r>
              <w:br/>
            </w:r>
            <w:r>
              <w:rPr>
                <w:rFonts w:ascii="Times New Roman" w:hAnsi="Times New Roman" w:eastAsia="宋体"/>
                <w:b w:val="0"/>
                <w:i w:val="0"/>
                <w:sz w:val="21"/>
              </w:rPr>
              <w:t>触发指数名称：冗余记录触发时的指数名</w:t>
            </w:r>
            <w:r>
              <w:br/>
            </w:r>
            <w:r>
              <w:rPr>
                <w:rFonts w:ascii="Times New Roman" w:hAnsi="Times New Roman" w:eastAsia="宋体"/>
                <w:b w:val="0"/>
                <w:i w:val="0"/>
                <w:sz w:val="21"/>
              </w:rPr>
              <w:t>触发价格：自动记录触发时的指数价格</w:t>
            </w:r>
            <w:r>
              <w:br/>
            </w:r>
            <w:r>
              <w:rPr>
                <w:rFonts w:ascii="Times New Roman" w:hAnsi="Times New Roman" w:eastAsia="宋体"/>
                <w:b w:val="0"/>
                <w:i w:val="0"/>
                <w:sz w:val="21"/>
              </w:rPr>
              <w:t>预警线与红线：触发时点的两条阈值</w:t>
            </w:r>
            <w:r>
              <w:br/>
            </w:r>
            <w:r>
              <w:rPr>
                <w:rFonts w:ascii="Times New Roman" w:hAnsi="Times New Roman" w:eastAsia="宋体"/>
                <w:b w:val="0"/>
                <w:i w:val="0"/>
                <w:sz w:val="21"/>
              </w:rPr>
              <w:t>补缴截止日期：默认当前日期 7 天后</w:t>
            </w:r>
            <w:r>
              <w:br/>
            </w:r>
            <w:r>
              <w:rPr>
                <w:rFonts w:ascii="Times New Roman" w:hAnsi="Times New Roman" w:eastAsia="宋体"/>
                <w:b w:val="0"/>
                <w:i w:val="0"/>
                <w:sz w:val="21"/>
              </w:rPr>
              <w:t>签发日期与生效日期：分别记录函件签发与生效时间</w:t>
            </w:r>
            <w:r>
              <w:br/>
            </w:r>
            <w:r>
              <w:rPr>
                <w:rFonts w:ascii="Times New Roman" w:hAnsi="Times New Roman" w:eastAsia="宋体"/>
                <w:b w:val="0"/>
                <w:i w:val="0"/>
                <w:sz w:val="21"/>
              </w:rPr>
              <w:t>审核时间与生效完成时间：分别记录审核通过与生效登记的时间</w:t>
            </w:r>
            <w:r>
              <w:br/>
            </w:r>
            <w:r>
              <w:rPr>
                <w:rFonts w:ascii="Times New Roman" w:hAnsi="Times New Roman" w:eastAsia="宋体"/>
                <w:b w:val="0"/>
                <w:i w:val="0"/>
                <w:sz w:val="21"/>
              </w:rPr>
              <w:t>追保函状态：审批中、待上传已生效单据、已生效、驳回、已作废</w:t>
            </w:r>
          </w:p>
        </w:tc>
        <w:tc>
          <w:tcPr>
            <w:tcW w:type="dxa" w:w="3402"/>
          </w:tcPr>
          <w:p>
            <w:pPr>
              <w:spacing w:before="20" w:after="20" w:line="276" w:lineRule="auto"/>
              <w:ind w:firstLine="0"/>
            </w:pPr>
            <w:r/>
            <w:r>
              <w:rPr>
                <w:rFonts w:ascii="Times New Roman" w:hAnsi="Times New Roman" w:eastAsia="宋体"/>
                <w:b w:val="0"/>
                <w:i w:val="0"/>
                <w:sz w:val="21"/>
              </w:rPr>
              <w:t>一个追保函关联一份销售合同与一个盯市价格指数；生效后驱动客户保证金池与可用额度更新</w:t>
            </w:r>
          </w:p>
        </w:tc>
      </w:tr>
      <w:tr>
        <w:tc>
          <w:tcPr>
            <w:tcW w:type="dxa" w:w="1474"/>
          </w:tcPr>
          <w:p>
            <w:pPr>
              <w:spacing w:before="20" w:after="20" w:line="276" w:lineRule="auto"/>
              <w:ind w:firstLine="0"/>
            </w:pPr>
            <w:r/>
            <w:r>
              <w:rPr>
                <w:rFonts w:ascii="Times New Roman" w:hAnsi="Times New Roman" w:eastAsia="宋体"/>
                <w:b w:val="0"/>
                <w:i w:val="0"/>
                <w:sz w:val="21"/>
              </w:rPr>
              <w:t>追保函附件</w:t>
            </w:r>
          </w:p>
        </w:tc>
        <w:tc>
          <w:tcPr>
            <w:tcW w:type="dxa" w:w="4195"/>
          </w:tcPr>
          <w:p>
            <w:pPr>
              <w:spacing w:before="20" w:after="20" w:line="276" w:lineRule="auto"/>
              <w:ind w:firstLine="0"/>
            </w:pPr>
            <w:r/>
            <w:r>
              <w:rPr>
                <w:rFonts w:ascii="Times New Roman" w:hAnsi="Times New Roman" w:eastAsia="宋体"/>
                <w:b w:val="0"/>
                <w:i w:val="0"/>
                <w:sz w:val="21"/>
              </w:rPr>
              <w:t>关联追保函：指向追保函主表</w:t>
            </w:r>
            <w:r>
              <w:br/>
            </w:r>
            <w:r>
              <w:rPr>
                <w:rFonts w:ascii="Times New Roman" w:hAnsi="Times New Roman" w:eastAsia="宋体"/>
                <w:b w:val="0"/>
                <w:i w:val="0"/>
                <w:sz w:val="21"/>
              </w:rPr>
              <w:t>附件类型：已签追保函、补缴凭证、盖章扫描件</w:t>
            </w:r>
          </w:p>
        </w:tc>
        <w:tc>
          <w:tcPr>
            <w:tcW w:type="dxa" w:w="3402"/>
          </w:tcPr>
          <w:p>
            <w:pPr>
              <w:spacing w:before="20" w:after="20" w:line="276" w:lineRule="auto"/>
              <w:ind w:firstLine="0"/>
            </w:pPr>
            <w:r/>
            <w:r>
              <w:rPr>
                <w:rFonts w:ascii="Times New Roman" w:hAnsi="Times New Roman" w:eastAsia="宋体"/>
                <w:b w:val="0"/>
                <w:i w:val="0"/>
                <w:sz w:val="21"/>
              </w:rPr>
              <w:t>从属于追保函；线下追保函上传补缴凭证是状态推进为已生效的触发依据</w:t>
            </w:r>
          </w:p>
        </w:tc>
      </w:tr>
      <w:tr>
        <w:tc>
          <w:tcPr>
            <w:tcW w:type="dxa" w:w="1474"/>
          </w:tcPr>
          <w:p>
            <w:pPr>
              <w:spacing w:before="20" w:after="20" w:line="276" w:lineRule="auto"/>
              <w:ind w:firstLine="0"/>
            </w:pPr>
            <w:r/>
            <w:r>
              <w:rPr>
                <w:rFonts w:ascii="Times New Roman" w:hAnsi="Times New Roman" w:eastAsia="宋体"/>
                <w:b w:val="0"/>
                <w:i w:val="0"/>
                <w:sz w:val="21"/>
              </w:rPr>
              <w:t>追保函历史</w:t>
            </w:r>
          </w:p>
        </w:tc>
        <w:tc>
          <w:tcPr>
            <w:tcW w:type="dxa" w:w="4195"/>
          </w:tcPr>
          <w:p>
            <w:pPr>
              <w:spacing w:before="20" w:after="20" w:line="276" w:lineRule="auto"/>
              <w:ind w:firstLine="0"/>
            </w:pPr>
            <w:r/>
            <w:r>
              <w:rPr>
                <w:rFonts w:ascii="Times New Roman" w:hAnsi="Times New Roman" w:eastAsia="宋体"/>
                <w:b w:val="0"/>
                <w:i w:val="0"/>
                <w:sz w:val="21"/>
              </w:rPr>
              <w:t>关联追保函：指向追保函主表</w:t>
            </w:r>
            <w:r>
              <w:br/>
            </w:r>
            <w:r>
              <w:rPr>
                <w:rFonts w:ascii="Times New Roman" w:hAnsi="Times New Roman" w:eastAsia="宋体"/>
                <w:b w:val="0"/>
                <w:i w:val="0"/>
                <w:sz w:val="21"/>
              </w:rPr>
              <w:t>变更类型：记录状态与信息的每次变更动作</w:t>
            </w:r>
          </w:p>
        </w:tc>
        <w:tc>
          <w:tcPr>
            <w:tcW w:type="dxa" w:w="3402"/>
          </w:tcPr>
          <w:p>
            <w:pPr>
              <w:spacing w:before="20" w:after="20" w:line="276" w:lineRule="auto"/>
              <w:ind w:firstLine="0"/>
            </w:pPr>
            <w:r/>
            <w:r>
              <w:rPr>
                <w:rFonts w:ascii="Times New Roman" w:hAnsi="Times New Roman" w:eastAsia="宋体"/>
                <w:b w:val="0"/>
                <w:i w:val="0"/>
                <w:sz w:val="21"/>
              </w:rPr>
              <w:t>从属于追保函；用于还原追保函从生成到生效或作废的完整操作轨迹</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4.18.6　角色权限与数据权限</w:t>
      </w:r>
    </w:p>
    <w:p>
      <w:pPr>
        <w:spacing w:before="0" w:after="120" w:line="360" w:lineRule="auto"/>
      </w:pPr>
      <w:r>
        <w:rPr>
          <w:rFonts w:ascii="Times New Roman" w:hAnsi="Times New Roman" w:eastAsia="宋体"/>
          <w:b w:val="0"/>
          <w:i w:val="0"/>
          <w:sz w:val="24"/>
        </w:rPr>
        <w:t>本期为系统全量权限（业务方裁决 D17）；下表角色为典型使用角色，非权限分级。模块内存在明确的操作可见性差异：新增追保函由业务员发起，审核由业务部与风控部承担，上传已生效单据与上传补缴凭证由业务员执行；列表操作按钮按状态矩阵差异化渲染，不适用按钮不渲染。作废与修改等新增操作的执行角色尚未明确，待业务方确认。</w:t>
      </w:r>
    </w:p>
    <w:p>
      <w:pPr>
        <w:spacing w:before="0" w:after="80" w:line="360" w:lineRule="auto"/>
      </w:pPr>
      <w:r>
        <w:rPr>
          <w:rFonts w:ascii="Times New Roman" w:hAnsi="Times New Roman" w:eastAsia="宋体"/>
          <w:b w:val="0"/>
          <w:i w:val="0"/>
          <w:sz w:val="24"/>
        </w:rPr>
        <w:t>数据可见性：按单据归属与业务筛选查看；手机号、统一社会信用代码等敏感字段默认打码，手动点击查看完整值且查看行为留痕。</w:t>
      </w:r>
    </w:p>
    <w:p>
      <w:pPr>
        <w:pStyle w:val="Heading3"/>
        <w:keepNext/>
        <w:spacing w:before="160" w:after="80" w:line="312" w:lineRule="auto"/>
        <w:ind w:firstLine="0"/>
      </w:pPr>
      <w:r>
        <w:rPr>
          <w:rFonts w:ascii="Times New Roman" w:hAnsi="Times New Roman" w:eastAsia="黑体"/>
          <w:b/>
          <w:i w:val="0"/>
          <w:sz w:val="24"/>
        </w:rPr>
        <w:t>4.18.7　业务流程与页面</w:t>
      </w:r>
    </w:p>
    <w:p>
      <w:pPr>
        <w:spacing w:before="120" w:after="60"/>
        <w:ind w:firstLine="0"/>
        <w:jc w:val="center"/>
      </w:pPr>
      <w:r>
        <w:drawing>
          <wp:inline xmlns:a="http://schemas.openxmlformats.org/drawingml/2006/main" xmlns:pic="http://schemas.openxmlformats.org/drawingml/2006/picture">
            <wp:extent cx="5616000" cy="1759034"/>
            <wp:docPr id="35" name="Picture 35"/>
            <wp:cNvGraphicFramePr>
              <a:graphicFrameLocks noChangeAspect="1"/>
            </wp:cNvGraphicFramePr>
            <a:graphic>
              <a:graphicData uri="http://schemas.openxmlformats.org/drawingml/2006/picture">
                <pic:pic>
                  <pic:nvPicPr>
                    <pic:cNvPr id="0" name="mermaid-bond-letter.png"/>
                    <pic:cNvPicPr/>
                  </pic:nvPicPr>
                  <pic:blipFill>
                    <a:blip r:embed="rId45"/>
                    <a:stretch>
                      <a:fillRect/>
                    </a:stretch>
                  </pic:blipFill>
                  <pic:spPr>
                    <a:xfrm>
                      <a:off x="0" y="0"/>
                      <a:ext cx="5616000" cy="1759034"/>
                    </a:xfrm>
                    <a:prstGeom prst="rect"/>
                  </pic:spPr>
                </pic:pic>
              </a:graphicData>
            </a:graphic>
          </wp:inline>
        </w:drawing>
      </w:r>
    </w:p>
    <w:p>
      <w:pPr>
        <w:spacing w:before="0" w:after="200" w:line="240" w:lineRule="auto"/>
        <w:ind w:firstLine="0"/>
        <w:jc w:val="center"/>
      </w:pPr>
      <w:r>
        <w:rPr>
          <w:rFonts w:ascii="Times New Roman" w:hAnsi="Times New Roman" w:eastAsia="宋体"/>
          <w:b w:val="0"/>
          <w:i w:val="0"/>
          <w:sz w:val="21"/>
        </w:rPr>
        <w:t>图 4-18-1　追保函管理 主业务流程</w:t>
      </w:r>
    </w:p>
    <w:p>
      <w:pPr>
        <w:spacing w:before="0" w:after="60" w:line="360" w:lineRule="auto"/>
      </w:pPr>
      <w:r>
        <w:rPr>
          <w:rFonts w:ascii="Times New Roman" w:hAnsi="Times New Roman" w:eastAsia="宋体"/>
          <w:b/>
          <w:i w:val="0"/>
          <w:sz w:val="24"/>
        </w:rPr>
        <w:t>主流程步骤：</w:t>
      </w:r>
    </w:p>
    <w:p>
      <w:pPr>
        <w:spacing w:before="0" w:after="60" w:line="336" w:lineRule="auto"/>
        <w:ind w:left="510" w:hanging="510"/>
      </w:pPr>
      <w:r>
        <w:rPr>
          <w:rFonts w:ascii="Times New Roman" w:hAnsi="Times New Roman" w:eastAsia="宋体"/>
          <w:b w:val="0"/>
          <w:i w:val="0"/>
          <w:sz w:val="24"/>
        </w:rPr>
        <w:t>1. 盯市价格跌破预警线或红线，或保证金率发生变化，系统自动生成追保函并记录触发指数与触发价格；业务人员也可手动新增</w:t>
      </w:r>
    </w:p>
    <w:p>
      <w:pPr>
        <w:spacing w:before="0" w:after="60" w:line="336" w:lineRule="auto"/>
        <w:ind w:left="510" w:hanging="510"/>
      </w:pPr>
      <w:r>
        <w:rPr>
          <w:rFonts w:ascii="Times New Roman" w:hAnsi="Times New Roman" w:eastAsia="宋体"/>
          <w:b w:val="0"/>
          <w:i w:val="0"/>
          <w:sz w:val="24"/>
        </w:rPr>
        <w:t>2. 新增时选择销售合同，系统自动带出该合同对应的最新指数与触发价格</w:t>
      </w:r>
    </w:p>
    <w:p>
      <w:pPr>
        <w:spacing w:before="0" w:after="60" w:line="336" w:lineRule="auto"/>
        <w:ind w:left="510" w:hanging="510"/>
      </w:pPr>
      <w:r>
        <w:rPr>
          <w:rFonts w:ascii="Times New Roman" w:hAnsi="Times New Roman" w:eastAsia="宋体"/>
          <w:b w:val="0"/>
          <w:i w:val="0"/>
          <w:sz w:val="24"/>
        </w:rPr>
        <w:t>3. 系统按合同金额乘追保率减已缴保证金自动算出追保金额，补缴截止日期默认 7 天后</w:t>
      </w:r>
    </w:p>
    <w:p>
      <w:pPr>
        <w:spacing w:before="0" w:after="60" w:line="336" w:lineRule="auto"/>
        <w:ind w:left="510" w:hanging="510"/>
      </w:pPr>
      <w:r>
        <w:rPr>
          <w:rFonts w:ascii="Times New Roman" w:hAnsi="Times New Roman" w:eastAsia="宋体"/>
          <w:b w:val="0"/>
          <w:i w:val="0"/>
          <w:sz w:val="24"/>
        </w:rPr>
        <w:t>4. 提交校验通过后追保函进入审批中状态</w:t>
      </w:r>
    </w:p>
    <w:p>
      <w:pPr>
        <w:spacing w:before="0" w:after="60" w:line="336" w:lineRule="auto"/>
        <w:ind w:left="510" w:hanging="510"/>
      </w:pPr>
      <w:r>
        <w:rPr>
          <w:rFonts w:ascii="Times New Roman" w:hAnsi="Times New Roman" w:eastAsia="宋体"/>
          <w:b w:val="0"/>
          <w:i w:val="0"/>
          <w:sz w:val="24"/>
        </w:rPr>
        <w:t>5. 业务与风控审核；通过进入待上传已生效单据，驳回进入驳回状态</w:t>
      </w:r>
    </w:p>
    <w:p>
      <w:pPr>
        <w:spacing w:before="0" w:after="60" w:line="336" w:lineRule="auto"/>
        <w:ind w:left="510" w:hanging="510"/>
      </w:pPr>
      <w:r>
        <w:rPr>
          <w:rFonts w:ascii="Times New Roman" w:hAnsi="Times New Roman" w:eastAsia="宋体"/>
          <w:b w:val="0"/>
          <w:i w:val="0"/>
          <w:sz w:val="24"/>
        </w:rPr>
        <w:t>6. 客户按函件要求线下补缴保证金，线下追保函由业务员上传补缴凭证，电子追保函由签约完成后系统自动推进</w:t>
      </w:r>
    </w:p>
    <w:p>
      <w:pPr>
        <w:spacing w:before="0" w:after="60" w:line="336" w:lineRule="auto"/>
        <w:ind w:left="510" w:hanging="510"/>
      </w:pPr>
      <w:r>
        <w:rPr>
          <w:rFonts w:ascii="Times New Roman" w:hAnsi="Times New Roman" w:eastAsia="宋体"/>
          <w:b w:val="0"/>
          <w:i w:val="0"/>
          <w:sz w:val="24"/>
        </w:rPr>
        <w:t>7. 上传凭证或签约完成后追保函状态变为已生效</w:t>
      </w:r>
    </w:p>
    <w:p>
      <w:pPr>
        <w:spacing w:before="0" w:after="60" w:line="336" w:lineRule="auto"/>
        <w:ind w:left="510" w:hanging="510"/>
      </w:pPr>
      <w:r>
        <w:rPr>
          <w:rFonts w:ascii="Times New Roman" w:hAnsi="Times New Roman" w:eastAsia="宋体"/>
          <w:b w:val="0"/>
          <w:i w:val="0"/>
          <w:sz w:val="24"/>
        </w:rPr>
        <w:t>8. 追保函生效后系统更新客户保证金池与客户可用额度，并向预警中心推送处理结果</w:t>
      </w:r>
    </w:p>
    <w:p>
      <w:pPr>
        <w:spacing w:before="0" w:after="60" w:line="336" w:lineRule="auto"/>
        <w:ind w:left="510" w:hanging="510"/>
      </w:pPr>
      <w:r>
        <w:rPr>
          <w:rFonts w:ascii="Times New Roman" w:hAnsi="Times New Roman" w:eastAsia="宋体"/>
          <w:b w:val="0"/>
          <w:i w:val="0"/>
          <w:sz w:val="24"/>
        </w:rPr>
        <w:t>9. 待上传已生效单据状态下超期未补缴的函件由系统自动作废；已生效的函件在追保函编号有效时仍可修改或作废</w:t>
      </w:r>
    </w:p>
    <w:p>
      <w:pPr>
        <w:spacing w:before="120" w:after="60" w:line="360" w:lineRule="auto"/>
      </w:pPr>
      <w:r>
        <w:rPr>
          <w:rFonts w:ascii="Times New Roman" w:hAnsi="Times New Roman" w:eastAsia="宋体"/>
          <w:b/>
          <w:i w:val="0"/>
          <w:sz w:val="24"/>
        </w:rPr>
        <w:t>异常分支：</w:t>
      </w:r>
    </w:p>
    <w:tbl>
      <w:tblPr>
        <w:tblStyle w:val="TableGrid"/>
        <w:tblW w:type="auto" w:w="0"/>
        <w:jc w:val="center"/>
        <w:tblLayout w:type="fixed"/>
        <w:tblLook w:firstColumn="1" w:firstRow="1" w:lastColumn="0" w:lastRow="0" w:noHBand="0" w:noVBand="1" w:val="04A0"/>
      </w:tblPr>
      <w:tblGrid>
        <w:gridCol w:w="4479"/>
        <w:gridCol w:w="4479"/>
      </w:tblGrid>
      <w:tr>
        <w:trPr>
          <w:tblHeader w:val="true"/>
        </w:trPr>
        <w:tc>
          <w:tcPr>
            <w:tcW w:type="dxa" w:w="2835"/>
            <w:shd w:val="clear" w:color="auto" w:fill="DCE6F1"/>
          </w:tcPr>
          <w:p>
            <w:pPr>
              <w:spacing w:before="40" w:after="40" w:line="276" w:lineRule="auto"/>
              <w:jc w:val="center"/>
            </w:pPr>
            <w:r/>
            <w:r>
              <w:rPr>
                <w:rFonts w:ascii="Times New Roman" w:hAnsi="Times New Roman" w:eastAsia="黑体"/>
                <w:b/>
                <w:i w:val="0"/>
                <w:sz w:val="21"/>
              </w:rPr>
              <w:t>异常场景</w:t>
            </w:r>
          </w:p>
        </w:tc>
        <w:tc>
          <w:tcPr>
            <w:tcW w:type="dxa" w:w="6236"/>
            <w:shd w:val="clear" w:color="auto" w:fill="DCE6F1"/>
          </w:tcPr>
          <w:p>
            <w:pPr>
              <w:spacing w:before="40" w:after="40" w:line="276" w:lineRule="auto"/>
              <w:jc w:val="center"/>
            </w:pPr>
            <w:r/>
            <w:r>
              <w:rPr>
                <w:rFonts w:ascii="Times New Roman" w:hAnsi="Times New Roman" w:eastAsia="黑体"/>
                <w:b/>
                <w:i w:val="0"/>
                <w:sz w:val="21"/>
              </w:rPr>
              <w:t>系统处理</w:t>
            </w:r>
          </w:p>
        </w:tc>
      </w:tr>
      <w:tr>
        <w:tc>
          <w:tcPr>
            <w:tcW w:type="dxa" w:w="2835"/>
          </w:tcPr>
          <w:p>
            <w:pPr>
              <w:spacing w:before="20" w:after="20" w:line="276" w:lineRule="auto"/>
              <w:ind w:firstLine="0"/>
            </w:pPr>
            <w:r/>
            <w:r>
              <w:rPr>
                <w:rFonts w:ascii="Times New Roman" w:hAnsi="Times New Roman" w:eastAsia="宋体"/>
                <w:b w:val="0"/>
                <w:i w:val="0"/>
                <w:sz w:val="21"/>
              </w:rPr>
              <w:t>新增追保函时未选择销售合同</w:t>
            </w:r>
          </w:p>
        </w:tc>
        <w:tc>
          <w:tcPr>
            <w:tcW w:type="dxa" w:w="6236"/>
          </w:tcPr>
          <w:p>
            <w:pPr>
              <w:spacing w:before="20" w:after="20" w:line="276" w:lineRule="auto"/>
              <w:ind w:firstLine="0"/>
            </w:pPr>
            <w:r/>
            <w:r>
              <w:rPr>
                <w:rFonts w:ascii="Times New Roman" w:hAnsi="Times New Roman" w:eastAsia="宋体"/>
                <w:b w:val="0"/>
                <w:i w:val="0"/>
                <w:sz w:val="21"/>
              </w:rPr>
              <w:t>提示必须先选择销售合同并阻止提交，合同选择弹窗保持打开并定位到该控件</w:t>
            </w:r>
          </w:p>
        </w:tc>
      </w:tr>
      <w:tr>
        <w:tc>
          <w:tcPr>
            <w:tcW w:type="dxa" w:w="2835"/>
          </w:tcPr>
          <w:p>
            <w:pPr>
              <w:spacing w:before="20" w:after="20" w:line="276" w:lineRule="auto"/>
              <w:ind w:firstLine="0"/>
            </w:pPr>
            <w:r/>
            <w:r>
              <w:rPr>
                <w:rFonts w:ascii="Times New Roman" w:hAnsi="Times New Roman" w:eastAsia="宋体"/>
                <w:b w:val="0"/>
                <w:i w:val="0"/>
                <w:sz w:val="21"/>
              </w:rPr>
              <w:t>所选销售合同已签章或客户已被冻结</w:t>
            </w:r>
          </w:p>
        </w:tc>
        <w:tc>
          <w:tcPr>
            <w:tcW w:type="dxa" w:w="6236"/>
          </w:tcPr>
          <w:p>
            <w:pPr>
              <w:spacing w:before="20" w:after="20" w:line="276" w:lineRule="auto"/>
              <w:ind w:firstLine="0"/>
            </w:pPr>
            <w:r/>
            <w:r>
              <w:rPr>
                <w:rFonts w:ascii="Times New Roman" w:hAnsi="Times New Roman" w:eastAsia="宋体"/>
                <w:b w:val="0"/>
                <w:i w:val="0"/>
                <w:sz w:val="21"/>
              </w:rPr>
              <w:t>销售合同已签章时提示销售合同已签章，不能创建追保函；客户已被冻结时提示客户已被冻结，不能创建追保函；两种情况均阻止提交并在对应合同行或字段做红字提示</w:t>
            </w:r>
          </w:p>
        </w:tc>
      </w:tr>
      <w:tr>
        <w:tc>
          <w:tcPr>
            <w:tcW w:type="dxa" w:w="2835"/>
          </w:tcPr>
          <w:p>
            <w:pPr>
              <w:spacing w:before="20" w:after="20" w:line="276" w:lineRule="auto"/>
              <w:ind w:firstLine="0"/>
            </w:pPr>
            <w:r/>
            <w:r>
              <w:rPr>
                <w:rFonts w:ascii="Times New Roman" w:hAnsi="Times New Roman" w:eastAsia="宋体"/>
                <w:b w:val="0"/>
                <w:i w:val="0"/>
                <w:sz w:val="21"/>
              </w:rPr>
              <w:t>追保金额小于等于 0 或补缴截止日期早于今天</w:t>
            </w:r>
          </w:p>
        </w:tc>
        <w:tc>
          <w:tcPr>
            <w:tcW w:type="dxa" w:w="6236"/>
          </w:tcPr>
          <w:p>
            <w:pPr>
              <w:spacing w:before="20" w:after="20" w:line="276" w:lineRule="auto"/>
              <w:ind w:firstLine="0"/>
            </w:pPr>
            <w:r/>
            <w:r>
              <w:rPr>
                <w:rFonts w:ascii="Times New Roman" w:hAnsi="Times New Roman" w:eastAsia="宋体"/>
                <w:b w:val="0"/>
                <w:i w:val="0"/>
                <w:sz w:val="21"/>
              </w:rPr>
              <w:t>追保金额提示追保金额必须大于 0，补缴截止日期提示补缴截止日期必须大于今天，两者均在对应字段红字提示并阻止提交</w:t>
            </w:r>
          </w:p>
        </w:tc>
      </w:tr>
      <w:tr>
        <w:tc>
          <w:tcPr>
            <w:tcW w:type="dxa" w:w="2835"/>
          </w:tcPr>
          <w:p>
            <w:pPr>
              <w:spacing w:before="20" w:after="20" w:line="276" w:lineRule="auto"/>
              <w:ind w:firstLine="0"/>
            </w:pPr>
            <w:r/>
            <w:r>
              <w:rPr>
                <w:rFonts w:ascii="Times New Roman" w:hAnsi="Times New Roman" w:eastAsia="宋体"/>
                <w:b w:val="0"/>
                <w:i w:val="0"/>
                <w:sz w:val="21"/>
              </w:rPr>
              <w:t>待上传已生效单据状态下超期未补缴</w:t>
            </w:r>
          </w:p>
        </w:tc>
        <w:tc>
          <w:tcPr>
            <w:tcW w:type="dxa" w:w="6236"/>
          </w:tcPr>
          <w:p>
            <w:pPr>
              <w:spacing w:before="20" w:after="20" w:line="276" w:lineRule="auto"/>
              <w:ind w:firstLine="0"/>
            </w:pPr>
            <w:r/>
            <w:r>
              <w:rPr>
                <w:rFonts w:ascii="Times New Roman" w:hAnsi="Times New Roman" w:eastAsia="宋体"/>
                <w:b w:val="0"/>
                <w:i w:val="0"/>
                <w:sz w:val="21"/>
              </w:rPr>
              <w:t>系统自动将追保函作废并提示追保函已超期天数已自动作废，列表自动刷新到已作废页签</w:t>
            </w:r>
          </w:p>
        </w:tc>
      </w:tr>
      <w:tr>
        <w:tc>
          <w:tcPr>
            <w:tcW w:type="dxa" w:w="2835"/>
          </w:tcPr>
          <w:p>
            <w:pPr>
              <w:spacing w:before="20" w:after="20" w:line="276" w:lineRule="auto"/>
              <w:ind w:firstLine="0"/>
            </w:pPr>
            <w:r/>
            <w:r>
              <w:rPr>
                <w:rFonts w:ascii="Times New Roman" w:hAnsi="Times New Roman" w:eastAsia="宋体"/>
                <w:b w:val="0"/>
                <w:i w:val="0"/>
                <w:sz w:val="21"/>
              </w:rPr>
              <w:t>作废操作</w:t>
            </w:r>
          </w:p>
        </w:tc>
        <w:tc>
          <w:tcPr>
            <w:tcW w:type="dxa" w:w="6236"/>
          </w:tcPr>
          <w:p>
            <w:pPr>
              <w:spacing w:before="20" w:after="20" w:line="276" w:lineRule="auto"/>
              <w:ind w:firstLine="0"/>
            </w:pPr>
            <w:r/>
            <w:r>
              <w:rPr>
                <w:rFonts w:ascii="Times New Roman" w:hAnsi="Times New Roman" w:eastAsia="宋体"/>
                <w:b w:val="0"/>
                <w:i w:val="0"/>
                <w:sz w:val="21"/>
              </w:rPr>
              <w:t>作废为危险操作，弹出二次确认；用户在确认框中取消时不执行任何变更，列表状态保持不变</w:t>
            </w:r>
          </w:p>
        </w:tc>
      </w:tr>
      <w:tr>
        <w:tc>
          <w:tcPr>
            <w:tcW w:type="dxa" w:w="2835"/>
          </w:tcPr>
          <w:p>
            <w:pPr>
              <w:spacing w:before="20" w:after="20" w:line="276" w:lineRule="auto"/>
              <w:ind w:firstLine="0"/>
            </w:pPr>
            <w:r/>
            <w:r>
              <w:rPr>
                <w:rFonts w:ascii="Times New Roman" w:hAnsi="Times New Roman" w:eastAsia="宋体"/>
                <w:b w:val="0"/>
                <w:i w:val="0"/>
                <w:sz w:val="21"/>
              </w:rPr>
              <w:t>已生效但追保函编号无效</w:t>
            </w:r>
          </w:p>
        </w:tc>
        <w:tc>
          <w:tcPr>
            <w:tcW w:type="dxa" w:w="6236"/>
          </w:tcPr>
          <w:p>
            <w:pPr>
              <w:spacing w:before="20" w:after="20" w:line="276" w:lineRule="auto"/>
              <w:ind w:firstLine="0"/>
            </w:pPr>
            <w:r/>
            <w:r>
              <w:rPr>
                <w:rFonts w:ascii="Times New Roman" w:hAnsi="Times New Roman" w:eastAsia="宋体"/>
                <w:b w:val="0"/>
                <w:i w:val="0"/>
                <w:sz w:val="21"/>
              </w:rPr>
              <w:t>操作列降级为仅显示详情，不提供修改与作废，避免对无效数据执行变更</w:t>
            </w:r>
          </w:p>
        </w:tc>
      </w:tr>
    </w:tbl>
    <w:p>
      <w:pPr>
        <w:spacing w:before="0" w:after="0" w:line="240" w:lineRule="auto"/>
      </w:pPr>
    </w:p>
    <w:p>
      <w:pPr>
        <w:spacing w:before="120" w:after="60"/>
        <w:ind w:firstLine="0"/>
        <w:jc w:val="center"/>
      </w:pPr>
      <w:r>
        <w:drawing>
          <wp:inline xmlns:a="http://schemas.openxmlformats.org/drawingml/2006/main" xmlns:pic="http://schemas.openxmlformats.org/drawingml/2006/picture">
            <wp:extent cx="5616000" cy="3334500"/>
            <wp:docPr id="36" name="Picture 36"/>
            <wp:cNvGraphicFramePr>
              <a:graphicFrameLocks noChangeAspect="1"/>
            </wp:cNvGraphicFramePr>
            <a:graphic>
              <a:graphicData uri="http://schemas.openxmlformats.org/drawingml/2006/picture">
                <pic:pic>
                  <pic:nvPicPr>
                    <pic:cNvPr id="0" name="bond-letter.png"/>
                    <pic:cNvPicPr/>
                  </pic:nvPicPr>
                  <pic:blipFill>
                    <a:blip r:embed="rId46"/>
                    <a:stretch>
                      <a:fillRect/>
                    </a:stretch>
                  </pic:blipFill>
                  <pic:spPr>
                    <a:xfrm>
                      <a:off x="0" y="0"/>
                      <a:ext cx="5616000" cy="3334500"/>
                    </a:xfrm>
                    <a:prstGeom prst="rect"/>
                  </pic:spPr>
                </pic:pic>
              </a:graphicData>
            </a:graphic>
          </wp:inline>
        </w:drawing>
      </w:r>
    </w:p>
    <w:p>
      <w:pPr>
        <w:spacing w:before="0" w:after="200" w:line="240" w:lineRule="auto"/>
        <w:ind w:firstLine="0"/>
        <w:jc w:val="center"/>
      </w:pPr>
      <w:r>
        <w:rPr>
          <w:rFonts w:ascii="Times New Roman" w:hAnsi="Times New Roman" w:eastAsia="宋体"/>
          <w:b w:val="0"/>
          <w:i w:val="0"/>
          <w:sz w:val="21"/>
        </w:rPr>
        <w:t>图 4-18-2　追保函管理 原型页面</w:t>
      </w:r>
    </w:p>
    <w:p>
      <w:pPr>
        <w:spacing w:before="80" w:after="60" w:line="360" w:lineRule="auto"/>
      </w:pPr>
      <w:r>
        <w:rPr>
          <w:rFonts w:ascii="Times New Roman" w:hAnsi="Times New Roman" w:eastAsia="宋体"/>
          <w:b/>
          <w:i w:val="0"/>
          <w:sz w:val="24"/>
        </w:rPr>
        <w:t>页面级说明：</w:t>
      </w: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tblGrid>
      <w:tr>
        <w:trPr>
          <w:tblHeader w:val="true"/>
        </w:trPr>
        <w:tc>
          <w:tcPr>
            <w:tcW w:type="dxa" w:w="1178"/>
            <w:shd w:val="clear" w:color="auto" w:fill="DCE6F1"/>
          </w:tcPr>
          <w:p>
            <w:pPr>
              <w:spacing w:before="40" w:after="40" w:line="276" w:lineRule="auto"/>
              <w:jc w:val="center"/>
            </w:pPr>
            <w:r/>
            <w:r>
              <w:rPr>
                <w:rFonts w:ascii="Times New Roman" w:hAnsi="Times New Roman" w:eastAsia="黑体"/>
                <w:b/>
                <w:i w:val="0"/>
                <w:sz w:val="19"/>
              </w:rPr>
              <w:t>页面</w:t>
            </w:r>
          </w:p>
        </w:tc>
        <w:tc>
          <w:tcPr>
            <w:tcW w:type="dxa" w:w="1531"/>
            <w:shd w:val="clear" w:color="auto" w:fill="DCE6F1"/>
          </w:tcPr>
          <w:p>
            <w:pPr>
              <w:spacing w:before="40" w:after="40" w:line="276" w:lineRule="auto"/>
              <w:jc w:val="center"/>
            </w:pPr>
            <w:r/>
            <w:r>
              <w:rPr>
                <w:rFonts w:ascii="Times New Roman" w:hAnsi="Times New Roman" w:eastAsia="黑体"/>
                <w:b/>
                <w:i w:val="0"/>
                <w:sz w:val="19"/>
              </w:rPr>
              <w:t>原型文件</w:t>
            </w:r>
          </w:p>
        </w:tc>
        <w:tc>
          <w:tcPr>
            <w:tcW w:type="dxa" w:w="1119"/>
            <w:shd w:val="clear" w:color="auto" w:fill="DCE6F1"/>
          </w:tcPr>
          <w:p>
            <w:pPr>
              <w:spacing w:before="40" w:after="40" w:line="276" w:lineRule="auto"/>
              <w:jc w:val="center"/>
            </w:pPr>
            <w:r/>
            <w:r>
              <w:rPr>
                <w:rFonts w:ascii="Times New Roman" w:hAnsi="Times New Roman" w:eastAsia="黑体"/>
                <w:b/>
                <w:i w:val="0"/>
                <w:sz w:val="19"/>
              </w:rPr>
              <w:t>进入方式</w:t>
            </w:r>
          </w:p>
        </w:tc>
        <w:tc>
          <w:tcPr>
            <w:tcW w:type="dxa" w:w="2062"/>
            <w:shd w:val="clear" w:color="auto" w:fill="DCE6F1"/>
          </w:tcPr>
          <w:p>
            <w:pPr>
              <w:spacing w:before="40" w:after="40" w:line="276" w:lineRule="auto"/>
              <w:jc w:val="center"/>
            </w:pPr>
            <w:r/>
            <w:r>
              <w:rPr>
                <w:rFonts w:ascii="Times New Roman" w:hAnsi="Times New Roman" w:eastAsia="黑体"/>
                <w:b/>
                <w:i w:val="0"/>
                <w:sz w:val="19"/>
              </w:rPr>
              <w:t>关键区块</w:t>
            </w:r>
          </w:p>
        </w:tc>
        <w:tc>
          <w:tcPr>
            <w:tcW w:type="dxa" w:w="1767"/>
            <w:shd w:val="clear" w:color="auto" w:fill="DCE6F1"/>
          </w:tcPr>
          <w:p>
            <w:pPr>
              <w:spacing w:before="40" w:after="40" w:line="276" w:lineRule="auto"/>
              <w:jc w:val="center"/>
            </w:pPr>
            <w:r/>
            <w:r>
              <w:rPr>
                <w:rFonts w:ascii="Times New Roman" w:hAnsi="Times New Roman" w:eastAsia="黑体"/>
                <w:b/>
                <w:i w:val="0"/>
                <w:sz w:val="19"/>
              </w:rPr>
              <w:t>主要按钮与行为</w:t>
            </w:r>
          </w:p>
        </w:tc>
        <w:tc>
          <w:tcPr>
            <w:tcW w:type="dxa" w:w="1414"/>
            <w:shd w:val="clear" w:color="auto" w:fill="DCE6F1"/>
          </w:tcPr>
          <w:p>
            <w:pPr>
              <w:spacing w:before="40" w:after="40" w:line="276" w:lineRule="auto"/>
              <w:jc w:val="center"/>
            </w:pPr>
            <w:r/>
            <w:r>
              <w:rPr>
                <w:rFonts w:ascii="Times New Roman" w:hAnsi="Times New Roman" w:eastAsia="黑体"/>
                <w:b/>
                <w:i w:val="0"/>
                <w:sz w:val="19"/>
              </w:rPr>
              <w:t>跳转去向</w:t>
            </w:r>
          </w:p>
        </w:tc>
      </w:tr>
      <w:tr>
        <w:tc>
          <w:tcPr>
            <w:tcW w:type="dxa" w:w="1178"/>
          </w:tcPr>
          <w:p>
            <w:pPr>
              <w:spacing w:before="20" w:after="20" w:line="276" w:lineRule="auto"/>
              <w:ind w:firstLine="0"/>
            </w:pPr>
            <w:r/>
            <w:r>
              <w:rPr>
                <w:rFonts w:ascii="Times New Roman" w:hAnsi="Times New Roman" w:eastAsia="宋体"/>
                <w:b w:val="0"/>
                <w:i w:val="0"/>
                <w:sz w:val="19"/>
              </w:rPr>
              <w:t>追保函管理</w:t>
            </w:r>
          </w:p>
        </w:tc>
        <w:tc>
          <w:tcPr>
            <w:tcW w:type="dxa" w:w="1531"/>
          </w:tcPr>
          <w:p>
            <w:pPr>
              <w:spacing w:before="20" w:after="20" w:line="276" w:lineRule="auto"/>
              <w:ind w:firstLine="0"/>
            </w:pPr>
            <w:r/>
            <w:r>
              <w:rPr>
                <w:rFonts w:ascii="Times New Roman" w:hAnsi="Times New Roman" w:eastAsia="宋体"/>
                <w:b w:val="0"/>
                <w:i w:val="0"/>
                <w:sz w:val="19"/>
              </w:rPr>
              <w:t>bond-letter.html</w:t>
            </w:r>
          </w:p>
        </w:tc>
        <w:tc>
          <w:tcPr>
            <w:tcW w:type="dxa" w:w="1119"/>
          </w:tcPr>
          <w:p>
            <w:pPr>
              <w:spacing w:before="20" w:after="20" w:line="276" w:lineRule="auto"/>
              <w:ind w:firstLine="0"/>
            </w:pPr>
            <w:r/>
            <w:r>
              <w:rPr>
                <w:rFonts w:ascii="Times New Roman" w:hAnsi="Times New Roman" w:eastAsia="宋体"/>
                <w:b w:val="0"/>
                <w:i w:val="0"/>
                <w:sz w:val="19"/>
              </w:rPr>
              <w:t>数字供应链 / 追保函管理 / 追保函管理</w:t>
            </w:r>
          </w:p>
        </w:tc>
        <w:tc>
          <w:tcPr>
            <w:tcW w:type="dxa" w:w="2062"/>
          </w:tcPr>
          <w:p>
            <w:pPr>
              <w:spacing w:before="20" w:after="20" w:line="276" w:lineRule="auto"/>
              <w:ind w:firstLine="0"/>
            </w:pPr>
            <w:r/>
            <w:r>
              <w:rPr>
                <w:rFonts w:ascii="Times New Roman" w:hAnsi="Times New Roman" w:eastAsia="宋体"/>
                <w:b w:val="0"/>
                <w:i w:val="0"/>
                <w:sz w:val="19"/>
              </w:rPr>
              <w:t>6 个状态页签（全部、审批中、待上传已生效单据、已生效、驳回、已作废）各带状态标识；3 字段筛选区（编号、企业名称、签发日期）；10 列台账表格；分页；页面右上数据导出与新增追保函按钮</w:t>
            </w:r>
          </w:p>
        </w:tc>
        <w:tc>
          <w:tcPr>
            <w:tcW w:type="dxa" w:w="1767"/>
          </w:tcPr>
          <w:p>
            <w:pPr>
              <w:spacing w:before="20" w:after="20" w:line="276" w:lineRule="auto"/>
              <w:ind w:firstLine="0"/>
            </w:pPr>
            <w:r/>
            <w:r>
              <w:rPr>
                <w:rFonts w:ascii="Times New Roman" w:hAnsi="Times New Roman" w:eastAsia="宋体"/>
                <w:b w:val="0"/>
                <w:i w:val="0"/>
                <w:sz w:val="19"/>
              </w:rPr>
              <w:t>新增追保函、页签切换、数据导出、行内详情、行内上传附件、行内作废、行内修改，作废前二次确认</w:t>
            </w:r>
          </w:p>
        </w:tc>
        <w:tc>
          <w:tcPr>
            <w:tcW w:type="dxa" w:w="1414"/>
          </w:tcPr>
          <w:p>
            <w:pPr>
              <w:spacing w:before="20" w:after="20" w:line="276" w:lineRule="auto"/>
              <w:ind w:firstLine="0"/>
            </w:pPr>
            <w:r/>
            <w:r>
              <w:rPr>
                <w:rFonts w:ascii="Times New Roman" w:hAnsi="Times New Roman" w:eastAsia="宋体"/>
                <w:b w:val="0"/>
                <w:i w:val="0"/>
                <w:sz w:val="19"/>
              </w:rPr>
              <w:t>点击详情跳追保函详情页 bond-letter-detail.html；点击新增追保函跳新增页 bond-letter-new.html 或线下新增页 bond-letter-new-offline.html</w:t>
            </w:r>
          </w:p>
        </w:tc>
      </w:tr>
      <w:tr>
        <w:tc>
          <w:tcPr>
            <w:tcW w:type="dxa" w:w="1178"/>
          </w:tcPr>
          <w:p>
            <w:pPr>
              <w:spacing w:before="20" w:after="20" w:line="276" w:lineRule="auto"/>
              <w:ind w:firstLine="0"/>
            </w:pPr>
            <w:r/>
            <w:r>
              <w:rPr>
                <w:rFonts w:ascii="Times New Roman" w:hAnsi="Times New Roman" w:eastAsia="宋体"/>
                <w:b w:val="0"/>
                <w:i w:val="0"/>
                <w:sz w:val="19"/>
              </w:rPr>
              <w:t>新增追保函</w:t>
            </w:r>
          </w:p>
        </w:tc>
        <w:tc>
          <w:tcPr>
            <w:tcW w:type="dxa" w:w="1531"/>
          </w:tcPr>
          <w:p>
            <w:pPr>
              <w:spacing w:before="20" w:after="20" w:line="276" w:lineRule="auto"/>
              <w:ind w:firstLine="0"/>
            </w:pPr>
            <w:r/>
            <w:r>
              <w:rPr>
                <w:rFonts w:ascii="Times New Roman" w:hAnsi="Times New Roman" w:eastAsia="宋体"/>
                <w:b w:val="0"/>
                <w:i w:val="0"/>
                <w:sz w:val="19"/>
              </w:rPr>
              <w:t>bond-letter-new.html</w:t>
            </w:r>
          </w:p>
        </w:tc>
        <w:tc>
          <w:tcPr>
            <w:tcW w:type="dxa" w:w="1119"/>
          </w:tcPr>
          <w:p>
            <w:pPr>
              <w:spacing w:before="20" w:after="20" w:line="276" w:lineRule="auto"/>
              <w:ind w:firstLine="0"/>
            </w:pPr>
            <w:r/>
            <w:r>
              <w:rPr>
                <w:rFonts w:ascii="Times New Roman" w:hAnsi="Times New Roman" w:eastAsia="宋体"/>
                <w:b w:val="0"/>
                <w:i w:val="0"/>
                <w:sz w:val="19"/>
              </w:rPr>
              <w:t>数字供应链 / 追保函管理 / 追保函管理 / 新增追保函（电子）</w:t>
            </w:r>
          </w:p>
        </w:tc>
        <w:tc>
          <w:tcPr>
            <w:tcW w:type="dxa" w:w="2062"/>
          </w:tcPr>
          <w:p>
            <w:pPr>
              <w:spacing w:before="20" w:after="20" w:line="276" w:lineRule="auto"/>
              <w:ind w:firstLine="0"/>
            </w:pPr>
            <w:r/>
            <w:r>
              <w:rPr>
                <w:rFonts w:ascii="Times New Roman" w:hAnsi="Times New Roman" w:eastAsia="宋体"/>
                <w:b w:val="0"/>
                <w:i w:val="0"/>
                <w:sz w:val="19"/>
              </w:rPr>
              <w:t>销售合同选择区（区分电子销售合同与线下销售合同）；触发指数自动带出区；追保金额自动计算区；补缴截止日期</w:t>
            </w:r>
          </w:p>
        </w:tc>
        <w:tc>
          <w:tcPr>
            <w:tcW w:type="dxa" w:w="1767"/>
          </w:tcPr>
          <w:p>
            <w:pPr>
              <w:spacing w:before="20" w:after="20" w:line="276" w:lineRule="auto"/>
              <w:ind w:firstLine="0"/>
            </w:pPr>
            <w:r/>
            <w:r>
              <w:rPr>
                <w:rFonts w:ascii="Times New Roman" w:hAnsi="Times New Roman" w:eastAsia="宋体"/>
                <w:b w:val="0"/>
                <w:i w:val="0"/>
                <w:sz w:val="19"/>
              </w:rPr>
              <w:t>选择销售合同、保存、取消；未选合同、合同已签章、追保金额不大于 0、截止日期不大于今天时阻止保存</w:t>
            </w:r>
          </w:p>
        </w:tc>
        <w:tc>
          <w:tcPr>
            <w:tcW w:type="dxa" w:w="1414"/>
          </w:tcPr>
          <w:p>
            <w:pPr>
              <w:spacing w:before="20" w:after="20" w:line="276" w:lineRule="auto"/>
              <w:ind w:firstLine="0"/>
            </w:pPr>
            <w:r/>
            <w:r>
              <w:rPr>
                <w:rFonts w:ascii="Times New Roman" w:hAnsi="Times New Roman" w:eastAsia="宋体"/>
                <w:b w:val="0"/>
                <w:i w:val="0"/>
                <w:sz w:val="19"/>
              </w:rPr>
              <w:t>保存成功后返回追保函管理列表 bond-letter.html</w:t>
            </w:r>
          </w:p>
        </w:tc>
      </w:tr>
      <w:tr>
        <w:tc>
          <w:tcPr>
            <w:tcW w:type="dxa" w:w="1178"/>
          </w:tcPr>
          <w:p>
            <w:pPr>
              <w:spacing w:before="20" w:after="20" w:line="276" w:lineRule="auto"/>
              <w:ind w:firstLine="0"/>
            </w:pPr>
            <w:r/>
            <w:r>
              <w:rPr>
                <w:rFonts w:ascii="Times New Roman" w:hAnsi="Times New Roman" w:eastAsia="宋体"/>
                <w:b w:val="0"/>
                <w:i w:val="0"/>
                <w:sz w:val="19"/>
              </w:rPr>
              <w:t>新增追保函（线下）</w:t>
            </w:r>
          </w:p>
        </w:tc>
        <w:tc>
          <w:tcPr>
            <w:tcW w:type="dxa" w:w="1531"/>
          </w:tcPr>
          <w:p>
            <w:pPr>
              <w:spacing w:before="20" w:after="20" w:line="276" w:lineRule="auto"/>
              <w:ind w:firstLine="0"/>
            </w:pPr>
            <w:r/>
            <w:r>
              <w:rPr>
                <w:rFonts w:ascii="Times New Roman" w:hAnsi="Times New Roman" w:eastAsia="宋体"/>
                <w:b w:val="0"/>
                <w:i w:val="0"/>
                <w:sz w:val="19"/>
              </w:rPr>
              <w:t>bond-letter-new-offline.html</w:t>
            </w:r>
          </w:p>
        </w:tc>
        <w:tc>
          <w:tcPr>
            <w:tcW w:type="dxa" w:w="1119"/>
          </w:tcPr>
          <w:p>
            <w:pPr>
              <w:spacing w:before="20" w:after="20" w:line="276" w:lineRule="auto"/>
              <w:ind w:firstLine="0"/>
            </w:pPr>
            <w:r/>
            <w:r>
              <w:rPr>
                <w:rFonts w:ascii="Times New Roman" w:hAnsi="Times New Roman" w:eastAsia="宋体"/>
                <w:b w:val="0"/>
                <w:i w:val="0"/>
                <w:sz w:val="19"/>
              </w:rPr>
              <w:t>数字供应链 / 追保函管理 / 追保函管理 / 新增追保函（线下）</w:t>
            </w:r>
          </w:p>
        </w:tc>
        <w:tc>
          <w:tcPr>
            <w:tcW w:type="dxa" w:w="2062"/>
          </w:tcPr>
          <w:p>
            <w:pPr>
              <w:spacing w:before="20" w:after="20" w:line="276" w:lineRule="auto"/>
              <w:ind w:firstLine="0"/>
            </w:pPr>
            <w:r/>
            <w:r>
              <w:rPr>
                <w:rFonts w:ascii="Times New Roman" w:hAnsi="Times New Roman" w:eastAsia="宋体"/>
                <w:b w:val="0"/>
                <w:i w:val="0"/>
                <w:sz w:val="19"/>
              </w:rPr>
              <w:t>区块 1 基本信息 10 字段：追保函编号、关联合同、追保金额、追保日期、生效日期、失效日期、追保类型、关联客户、关联业务线、备注；区块 2 线下凭证：线下追保函扫描件、扫描件说明、核心企业签字人与盖章日期、客户签字人与盖章日期</w:t>
            </w:r>
          </w:p>
        </w:tc>
        <w:tc>
          <w:tcPr>
            <w:tcW w:type="dxa" w:w="1767"/>
          </w:tcPr>
          <w:p>
            <w:pPr>
              <w:spacing w:before="20" w:after="20" w:line="276" w:lineRule="auto"/>
              <w:ind w:firstLine="0"/>
            </w:pPr>
            <w:r/>
            <w:r>
              <w:rPr>
                <w:rFonts w:ascii="Times New Roman" w:hAnsi="Times New Roman" w:eastAsia="宋体"/>
                <w:b w:val="0"/>
                <w:i w:val="0"/>
                <w:sz w:val="19"/>
              </w:rPr>
              <w:t>选择合同、上传扫描件、删除扫描件、提交、取消；提交前二次确认，提示内容为确认提交本次线下追保函登记并说明提交后将更新客户与合同的追保金额</w:t>
            </w:r>
          </w:p>
        </w:tc>
        <w:tc>
          <w:tcPr>
            <w:tcW w:type="dxa" w:w="1414"/>
          </w:tcPr>
          <w:p>
            <w:pPr>
              <w:spacing w:before="20" w:after="20" w:line="276" w:lineRule="auto"/>
              <w:ind w:firstLine="0"/>
            </w:pPr>
            <w:r/>
            <w:r>
              <w:rPr>
                <w:rFonts w:ascii="Times New Roman" w:hAnsi="Times New Roman" w:eastAsia="宋体"/>
                <w:b w:val="0"/>
                <w:i w:val="0"/>
                <w:sz w:val="19"/>
              </w:rPr>
              <w:t>提交成功后跳追保函管理列表 bond-letter.html，并在列表刷新该条线下追保函记录</w:t>
            </w:r>
          </w:p>
        </w:tc>
      </w:tr>
      <w:tr>
        <w:tc>
          <w:tcPr>
            <w:tcW w:type="dxa" w:w="1178"/>
          </w:tcPr>
          <w:p>
            <w:pPr>
              <w:spacing w:before="20" w:after="20" w:line="276" w:lineRule="auto"/>
              <w:ind w:firstLine="0"/>
            </w:pPr>
            <w:r/>
            <w:r>
              <w:rPr>
                <w:rFonts w:ascii="Times New Roman" w:hAnsi="Times New Roman" w:eastAsia="宋体"/>
                <w:b w:val="0"/>
                <w:i w:val="0"/>
                <w:sz w:val="19"/>
              </w:rPr>
              <w:t>追保函详情</w:t>
            </w:r>
          </w:p>
        </w:tc>
        <w:tc>
          <w:tcPr>
            <w:tcW w:type="dxa" w:w="1531"/>
          </w:tcPr>
          <w:p>
            <w:pPr>
              <w:spacing w:before="20" w:after="20" w:line="276" w:lineRule="auto"/>
              <w:ind w:firstLine="0"/>
            </w:pPr>
            <w:r/>
            <w:r>
              <w:rPr>
                <w:rFonts w:ascii="Times New Roman" w:hAnsi="Times New Roman" w:eastAsia="宋体"/>
                <w:b w:val="0"/>
                <w:i w:val="0"/>
                <w:sz w:val="19"/>
              </w:rPr>
              <w:t>bond-letter-detail.html</w:t>
            </w:r>
          </w:p>
        </w:tc>
        <w:tc>
          <w:tcPr>
            <w:tcW w:type="dxa" w:w="1119"/>
          </w:tcPr>
          <w:p>
            <w:pPr>
              <w:spacing w:before="20" w:after="20" w:line="276" w:lineRule="auto"/>
              <w:ind w:firstLine="0"/>
            </w:pPr>
            <w:r/>
            <w:r>
              <w:rPr>
                <w:rFonts w:ascii="Times New Roman" w:hAnsi="Times New Roman" w:eastAsia="宋体"/>
                <w:b w:val="0"/>
                <w:i w:val="0"/>
                <w:sz w:val="19"/>
              </w:rPr>
              <w:t>数字供应链 / 追保函管理 / 追保函管理 / 行内详情</w:t>
            </w:r>
          </w:p>
        </w:tc>
        <w:tc>
          <w:tcPr>
            <w:tcW w:type="dxa" w:w="2062"/>
          </w:tcPr>
          <w:p>
            <w:pPr>
              <w:spacing w:before="20" w:after="20" w:line="276" w:lineRule="auto"/>
              <w:ind w:firstLine="0"/>
            </w:pPr>
            <w:r/>
            <w:r>
              <w:rPr>
                <w:rFonts w:ascii="Times New Roman" w:hAnsi="Times New Roman" w:eastAsia="宋体"/>
                <w:b w:val="0"/>
                <w:i w:val="0"/>
                <w:sz w:val="19"/>
              </w:rPr>
              <w:t>追保函基本信息；关联销售合同信息；触发指数与触发价格；追保金额与补缴信息；凭证附件区（无附件时显示暂无附件）；状态与操作轨迹</w:t>
            </w:r>
          </w:p>
        </w:tc>
        <w:tc>
          <w:tcPr>
            <w:tcW w:type="dxa" w:w="1767"/>
          </w:tcPr>
          <w:p>
            <w:pPr>
              <w:spacing w:before="20" w:after="20" w:line="276" w:lineRule="auto"/>
              <w:ind w:firstLine="0"/>
            </w:pPr>
            <w:r/>
            <w:r>
              <w:rPr>
                <w:rFonts w:ascii="Times New Roman" w:hAnsi="Times New Roman" w:eastAsia="宋体"/>
                <w:b w:val="0"/>
                <w:i w:val="0"/>
                <w:sz w:val="19"/>
              </w:rPr>
              <w:t>上传附件、下载附件、修改、作废、返回</w:t>
            </w:r>
          </w:p>
        </w:tc>
        <w:tc>
          <w:tcPr>
            <w:tcW w:type="dxa" w:w="1414"/>
          </w:tcPr>
          <w:p>
            <w:pPr>
              <w:spacing w:before="20" w:after="20" w:line="276" w:lineRule="auto"/>
              <w:ind w:firstLine="0"/>
            </w:pPr>
            <w:r/>
            <w:r>
              <w:rPr>
                <w:rFonts w:ascii="Times New Roman" w:hAnsi="Times New Roman" w:eastAsia="宋体"/>
                <w:b w:val="0"/>
                <w:i w:val="0"/>
                <w:sz w:val="19"/>
              </w:rPr>
              <w:t>返回追保函管理列表 bond-letter.html</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4.18.8　验收标准与待确认项</w:t>
      </w:r>
    </w:p>
    <w:tbl>
      <w:tblPr>
        <w:tblStyle w:val="TableGrid"/>
        <w:tblW w:type="auto" w:w="0"/>
        <w:jc w:val="center"/>
        <w:tblLayout w:type="fixed"/>
        <w:tblLook w:firstColumn="1" w:firstRow="1" w:lastColumn="0" w:lastRow="0" w:noHBand="0" w:noVBand="1" w:val="04A0"/>
      </w:tblPr>
      <w:tblGrid>
        <w:gridCol w:w="4479"/>
        <w:gridCol w:w="4479"/>
      </w:tblGrid>
      <w:tr>
        <w:trPr>
          <w:tblHeader w:val="true"/>
        </w:trPr>
        <w:tc>
          <w:tcPr>
            <w:tcW w:type="dxa" w:w="1701"/>
            <w:shd w:val="clear" w:color="auto" w:fill="DCE6F1"/>
          </w:tcPr>
          <w:p>
            <w:pPr>
              <w:spacing w:before="40" w:after="40" w:line="276" w:lineRule="auto"/>
              <w:jc w:val="center"/>
            </w:pPr>
            <w:r/>
            <w:r>
              <w:rPr>
                <w:rFonts w:ascii="Times New Roman" w:hAnsi="Times New Roman" w:eastAsia="黑体"/>
                <w:b/>
                <w:i w:val="0"/>
                <w:sz w:val="21"/>
              </w:rPr>
              <w:t>功能</w:t>
            </w:r>
          </w:p>
        </w:tc>
        <w:tc>
          <w:tcPr>
            <w:tcW w:type="dxa" w:w="7370"/>
            <w:shd w:val="clear" w:color="auto" w:fill="DCE6F1"/>
          </w:tcPr>
          <w:p>
            <w:pPr>
              <w:spacing w:before="40" w:after="40" w:line="276" w:lineRule="auto"/>
              <w:jc w:val="center"/>
            </w:pPr>
            <w:r/>
            <w:r>
              <w:rPr>
                <w:rFonts w:ascii="Times New Roman" w:hAnsi="Times New Roman" w:eastAsia="黑体"/>
                <w:b/>
                <w:i w:val="0"/>
                <w:sz w:val="21"/>
              </w:rPr>
              <w:t>验收要点（由关键规则转写）</w:t>
            </w:r>
          </w:p>
        </w:tc>
      </w:tr>
      <w:tr>
        <w:tc>
          <w:tcPr>
            <w:tcW w:type="dxa" w:w="1701"/>
          </w:tcPr>
          <w:p>
            <w:pPr>
              <w:spacing w:before="20" w:after="20" w:line="276" w:lineRule="auto"/>
              <w:ind w:firstLine="0"/>
            </w:pPr>
            <w:r/>
            <w:r>
              <w:rPr>
                <w:rFonts w:ascii="Times New Roman" w:hAnsi="Times New Roman" w:eastAsia="宋体"/>
                <w:b w:val="0"/>
                <w:i w:val="0"/>
                <w:sz w:val="21"/>
              </w:rPr>
              <w:t>追保函列表与状态页签</w:t>
            </w:r>
          </w:p>
        </w:tc>
        <w:tc>
          <w:tcPr>
            <w:tcW w:type="dxa" w:w="7370"/>
          </w:tcPr>
          <w:p>
            <w:pPr>
              <w:spacing w:before="20" w:after="20" w:line="276" w:lineRule="auto"/>
              <w:ind w:firstLine="0"/>
            </w:pPr>
            <w:r/>
            <w:r>
              <w:rPr>
                <w:rFonts w:ascii="Times New Roman" w:hAnsi="Times New Roman" w:eastAsia="宋体"/>
                <w:b w:val="0"/>
                <w:i w:val="0"/>
                <w:sz w:val="21"/>
              </w:rPr>
              <w:t>列表提供 6 个页签，全部、审批中、待上传已生效单据、已生效、驳回、已作废，其中全部为聚合页签不计入业务状态数；筛选字段为编号、企业名称、签发日期共 3 项；表格为 10 列，含合同编号、卖方企业、买方企业、追保金额、追保截止日期、签发日期、追保函编号、上传时间、追保函状态、操作；分页为每页 10 条</w:t>
            </w:r>
          </w:p>
        </w:tc>
      </w:tr>
      <w:tr>
        <w:tc>
          <w:tcPr>
            <w:tcW w:type="dxa" w:w="1701"/>
          </w:tcPr>
          <w:p>
            <w:pPr>
              <w:spacing w:before="20" w:after="20" w:line="276" w:lineRule="auto"/>
              <w:ind w:firstLine="0"/>
            </w:pPr>
            <w:r/>
            <w:r>
              <w:rPr>
                <w:rFonts w:ascii="Times New Roman" w:hAnsi="Times New Roman" w:eastAsia="宋体"/>
                <w:b w:val="0"/>
                <w:i w:val="0"/>
                <w:sz w:val="21"/>
              </w:rPr>
              <w:t>新增追保函与销售合同关联</w:t>
            </w:r>
          </w:p>
        </w:tc>
        <w:tc>
          <w:tcPr>
            <w:tcW w:type="dxa" w:w="7370"/>
          </w:tcPr>
          <w:p>
            <w:pPr>
              <w:spacing w:before="20" w:after="20" w:line="276" w:lineRule="auto"/>
              <w:ind w:firstLine="0"/>
            </w:pPr>
            <w:r/>
            <w:r>
              <w:rPr>
                <w:rFonts w:ascii="Times New Roman" w:hAnsi="Times New Roman" w:eastAsia="宋体"/>
                <w:b w:val="0"/>
                <w:i w:val="0"/>
                <w:sz w:val="21"/>
              </w:rPr>
              <w:t>销售合同为必选项，未选择时提示必须先选择销售合同并阻止提交；已签章的销售合同不能创建追保函；客户已被冻结时提示客户已被冻结，不能创建追保函并阻止提交；补缴截止日期默认取当前日期 7 天后，且必须大于今天</w:t>
            </w:r>
          </w:p>
        </w:tc>
      </w:tr>
      <w:tr>
        <w:tc>
          <w:tcPr>
            <w:tcW w:type="dxa" w:w="1701"/>
          </w:tcPr>
          <w:p>
            <w:pPr>
              <w:spacing w:before="20" w:after="20" w:line="276" w:lineRule="auto"/>
              <w:ind w:firstLine="0"/>
            </w:pPr>
            <w:r/>
            <w:r>
              <w:rPr>
                <w:rFonts w:ascii="Times New Roman" w:hAnsi="Times New Roman" w:eastAsia="宋体"/>
                <w:b w:val="0"/>
                <w:i w:val="0"/>
                <w:sz w:val="21"/>
              </w:rPr>
              <w:t>追保金额自动计算</w:t>
            </w:r>
          </w:p>
        </w:tc>
        <w:tc>
          <w:tcPr>
            <w:tcW w:type="dxa" w:w="7370"/>
          </w:tcPr>
          <w:p>
            <w:pPr>
              <w:spacing w:before="20" w:after="20" w:line="276" w:lineRule="auto"/>
              <w:ind w:firstLine="0"/>
            </w:pPr>
            <w:r/>
            <w:r>
              <w:rPr>
                <w:rFonts w:ascii="Times New Roman" w:hAnsi="Times New Roman" w:eastAsia="宋体"/>
                <w:b w:val="0"/>
                <w:i w:val="0"/>
                <w:sz w:val="21"/>
              </w:rPr>
              <w:t>追保金额等于合同金额乘以追保率后减去已缴保证金；追保金额小于等于 0 时提示追保金额必须大于 0 并阻止提交；追保金额以元为单位保留 2 位小数</w:t>
            </w:r>
          </w:p>
        </w:tc>
      </w:tr>
      <w:tr>
        <w:tc>
          <w:tcPr>
            <w:tcW w:type="dxa" w:w="1701"/>
          </w:tcPr>
          <w:p>
            <w:pPr>
              <w:spacing w:before="20" w:after="20" w:line="276" w:lineRule="auto"/>
              <w:ind w:firstLine="0"/>
            </w:pPr>
            <w:r/>
            <w:r>
              <w:rPr>
                <w:rFonts w:ascii="Times New Roman" w:hAnsi="Times New Roman" w:eastAsia="宋体"/>
                <w:b w:val="0"/>
                <w:i w:val="0"/>
                <w:sz w:val="21"/>
              </w:rPr>
              <w:t>电子追保函与线下追保函两类处理</w:t>
            </w:r>
          </w:p>
        </w:tc>
        <w:tc>
          <w:tcPr>
            <w:tcW w:type="dxa" w:w="7370"/>
          </w:tcPr>
          <w:p>
            <w:pPr>
              <w:spacing w:before="20" w:after="20" w:line="276" w:lineRule="auto"/>
              <w:ind w:firstLine="0"/>
            </w:pPr>
            <w:r/>
            <w:r>
              <w:rPr>
                <w:rFonts w:ascii="Times New Roman" w:hAnsi="Times New Roman" w:eastAsia="宋体"/>
                <w:b w:val="0"/>
                <w:i w:val="0"/>
                <w:sz w:val="21"/>
              </w:rPr>
              <w:t>电子追保函签约方式为电子签章，已生效单据为电子合同 PDF，签约完成后状态由系统自动变更为已生效；线下追保函签约方式为线下盖章，已生效单据为盖章扫描件，状态由业务员上传凭证后变更为已生效；电子追保函适用长期合作客户，线下追保函适用一次性合作与中小客户</w:t>
            </w:r>
          </w:p>
        </w:tc>
      </w:tr>
      <w:tr>
        <w:tc>
          <w:tcPr>
            <w:tcW w:type="dxa" w:w="1701"/>
          </w:tcPr>
          <w:p>
            <w:pPr>
              <w:spacing w:before="20" w:after="20" w:line="276" w:lineRule="auto"/>
              <w:ind w:firstLine="0"/>
            </w:pPr>
            <w:r/>
            <w:r>
              <w:rPr>
                <w:rFonts w:ascii="Times New Roman" w:hAnsi="Times New Roman" w:eastAsia="宋体"/>
                <w:b w:val="0"/>
                <w:i w:val="0"/>
                <w:sz w:val="21"/>
              </w:rPr>
              <w:t>审核与状态流转</w:t>
            </w:r>
          </w:p>
        </w:tc>
        <w:tc>
          <w:tcPr>
            <w:tcW w:type="dxa" w:w="7370"/>
          </w:tcPr>
          <w:p>
            <w:pPr>
              <w:spacing w:before="20" w:after="20" w:line="276" w:lineRule="auto"/>
              <w:ind w:firstLine="0"/>
            </w:pPr>
            <w:r/>
            <w:r>
              <w:rPr>
                <w:rFonts w:ascii="Times New Roman" w:hAnsi="Times New Roman" w:eastAsia="宋体"/>
                <w:b w:val="0"/>
                <w:i w:val="0"/>
                <w:sz w:val="21"/>
              </w:rPr>
              <w:t>业务与风控审核通过后状态由审批中变为待上传已生效单据；审核驳回后状态变为驳回；待上传已生效单据状态下超期未补缴由系统自动作废并提示追保函已超期天数已自动作废；线下追保函由业务员上传补缴凭证后状态变为已生效</w:t>
            </w:r>
          </w:p>
        </w:tc>
      </w:tr>
      <w:tr>
        <w:tc>
          <w:tcPr>
            <w:tcW w:type="dxa" w:w="1701"/>
          </w:tcPr>
          <w:p>
            <w:pPr>
              <w:spacing w:before="20" w:after="20" w:line="276" w:lineRule="auto"/>
              <w:ind w:firstLine="0"/>
            </w:pPr>
            <w:r/>
            <w:r>
              <w:rPr>
                <w:rFonts w:ascii="Times New Roman" w:hAnsi="Times New Roman" w:eastAsia="宋体"/>
                <w:b w:val="0"/>
                <w:i w:val="0"/>
                <w:sz w:val="21"/>
              </w:rPr>
              <w:t>状态化操作按钮矩阵</w:t>
            </w:r>
          </w:p>
        </w:tc>
        <w:tc>
          <w:tcPr>
            <w:tcW w:type="dxa" w:w="7370"/>
          </w:tcPr>
          <w:p>
            <w:pPr>
              <w:spacing w:before="20" w:after="20" w:line="276" w:lineRule="auto"/>
              <w:ind w:firstLine="0"/>
            </w:pPr>
            <w:r/>
            <w:r>
              <w:rPr>
                <w:rFonts w:ascii="Times New Roman" w:hAnsi="Times New Roman" w:eastAsia="宋体"/>
                <w:b w:val="0"/>
                <w:i w:val="0"/>
                <w:sz w:val="21"/>
              </w:rPr>
              <w:t>审批中仅显示详情；待上传已生效单据显示详情、上传附件、作废；已生效且追保函编号有效显示详情、修改、作废；已生效且追保函编号无效仅显示详情；驳回显示详情、修改、作废；已作废仅显示详情；不适用的按钮不渲染而非置灰；作废为危险操作，必须二次确认</w:t>
            </w:r>
          </w:p>
        </w:tc>
      </w:tr>
      <w:tr>
        <w:tc>
          <w:tcPr>
            <w:tcW w:type="dxa" w:w="1701"/>
          </w:tcPr>
          <w:p>
            <w:pPr>
              <w:spacing w:before="20" w:after="20" w:line="276" w:lineRule="auto"/>
              <w:ind w:firstLine="0"/>
            </w:pPr>
            <w:r/>
            <w:r>
              <w:rPr>
                <w:rFonts w:ascii="Times New Roman" w:hAnsi="Times New Roman" w:eastAsia="宋体"/>
                <w:b w:val="0"/>
                <w:i w:val="0"/>
                <w:sz w:val="21"/>
              </w:rPr>
              <w:t>附件与凭证管理</w:t>
            </w:r>
          </w:p>
        </w:tc>
        <w:tc>
          <w:tcPr>
            <w:tcW w:type="dxa" w:w="7370"/>
          </w:tcPr>
          <w:p>
            <w:pPr>
              <w:spacing w:before="20" w:after="20" w:line="276" w:lineRule="auto"/>
              <w:ind w:firstLine="0"/>
            </w:pPr>
            <w:r/>
            <w:r>
              <w:rPr>
                <w:rFonts w:ascii="Times New Roman" w:hAnsi="Times New Roman" w:eastAsia="宋体"/>
                <w:b w:val="0"/>
                <w:i w:val="0"/>
                <w:sz w:val="21"/>
              </w:rPr>
              <w:t>附件类型分为已签追保函、补缴凭证、盖章扫描件三类；上传附件入口仅在待上传已生效单据状态下可见；详情页无附件时显示暂无附件并提供上传附件入口；线下追保函登记必须上传扫描件且同时填写核心企业与客户双方的签字人及盖章日期，扫描件格式限 jpg、jpeg、png、pdf，单文件不超过 100MB，签字盖章信息缺失时提交按钮禁用并红字提示</w:t>
            </w:r>
          </w:p>
        </w:tc>
      </w:tr>
      <w:tr>
        <w:tc>
          <w:tcPr>
            <w:tcW w:type="dxa" w:w="1701"/>
          </w:tcPr>
          <w:p>
            <w:pPr>
              <w:spacing w:before="20" w:after="20" w:line="276" w:lineRule="auto"/>
              <w:ind w:firstLine="0"/>
            </w:pPr>
            <w:r/>
            <w:r>
              <w:rPr>
                <w:rFonts w:ascii="Times New Roman" w:hAnsi="Times New Roman" w:eastAsia="宋体"/>
                <w:b w:val="0"/>
                <w:i w:val="0"/>
                <w:sz w:val="21"/>
              </w:rPr>
              <w:t>数据导出与列表视图</w:t>
            </w:r>
          </w:p>
        </w:tc>
        <w:tc>
          <w:tcPr>
            <w:tcW w:type="dxa" w:w="7370"/>
          </w:tcPr>
          <w:p>
            <w:pPr>
              <w:spacing w:before="20" w:after="20" w:line="276" w:lineRule="auto"/>
              <w:ind w:firstLine="0"/>
            </w:pPr>
            <w:r/>
            <w:r>
              <w:rPr>
                <w:rFonts w:ascii="Times New Roman" w:hAnsi="Times New Roman" w:eastAsia="宋体"/>
                <w:b w:val="0"/>
                <w:i w:val="0"/>
                <w:sz w:val="21"/>
              </w:rPr>
              <w:t>页面右上与页签栏右侧各提供一处数据导出入口，导出内容为当前列表数据为 Excel 格式；列表行内提供详情入口，跳转追保函详情页</w:t>
            </w:r>
          </w:p>
        </w:tc>
      </w:tr>
      <w:tr>
        <w:tc>
          <w:tcPr>
            <w:tcW w:type="dxa" w:w="1701"/>
          </w:tcPr>
          <w:p>
            <w:pPr>
              <w:spacing w:before="20" w:after="20" w:line="276" w:lineRule="auto"/>
              <w:ind w:firstLine="0"/>
            </w:pPr>
            <w:r/>
            <w:r>
              <w:rPr>
                <w:rFonts w:ascii="Times New Roman" w:hAnsi="Times New Roman" w:eastAsia="宋体"/>
                <w:b w:val="0"/>
                <w:i w:val="0"/>
                <w:sz w:val="21"/>
              </w:rPr>
              <w:t>下游联动</w:t>
            </w:r>
          </w:p>
        </w:tc>
        <w:tc>
          <w:tcPr>
            <w:tcW w:type="dxa" w:w="7370"/>
          </w:tcPr>
          <w:p>
            <w:pPr>
              <w:spacing w:before="20" w:after="20" w:line="276" w:lineRule="auto"/>
              <w:ind w:firstLine="0"/>
            </w:pPr>
            <w:r/>
            <w:r>
              <w:rPr>
                <w:rFonts w:ascii="Times New Roman" w:hAnsi="Times New Roman" w:eastAsia="宋体"/>
                <w:b w:val="0"/>
                <w:i w:val="0"/>
                <w:sz w:val="21"/>
              </w:rPr>
              <w:t>追保函变为已生效后更新客户保证金池并更新客户可用额度；追保函生成或驳回时向预警中心触发预警信号；保证金率变化时由保证金管理反向触发追保函</w:t>
            </w:r>
          </w:p>
        </w:tc>
      </w:tr>
    </w:tbl>
    <w:p>
      <w:pPr>
        <w:spacing w:before="0" w:after="0" w:line="240" w:lineRule="auto"/>
      </w:pPr>
    </w:p>
    <w:p>
      <w:pPr>
        <w:spacing w:before="120" w:after="60" w:line="360" w:lineRule="auto"/>
      </w:pPr>
      <w:r>
        <w:rPr>
          <w:rFonts w:ascii="Times New Roman" w:hAnsi="Times New Roman" w:eastAsia="宋体"/>
          <w:b/>
          <w:i w:val="0"/>
          <w:sz w:val="24"/>
        </w:rPr>
        <w:t>待业务方确认：</w:t>
      </w:r>
    </w:p>
    <w:p>
      <w:pPr>
        <w:spacing w:before="0" w:after="60" w:line="336" w:lineRule="auto"/>
        <w:ind w:left="340" w:firstLine="0"/>
      </w:pPr>
      <w:r>
        <w:rPr>
          <w:rFonts w:ascii="Times New Roman" w:hAnsi="Times New Roman" w:eastAsia="宋体"/>
          <w:b w:val="0"/>
          <w:i w:val="0"/>
          <w:sz w:val="24"/>
        </w:rPr>
        <w:t>· 待业务方确认：超期自动作废的天数上限，提示文案中的超期天数为可配置项还是固定值</w:t>
      </w:r>
    </w:p>
    <w:p>
      <w:pPr>
        <w:spacing w:before="0" w:after="60" w:line="336" w:lineRule="auto"/>
        <w:ind w:left="340" w:firstLine="0"/>
      </w:pPr>
      <w:r>
        <w:rPr>
          <w:rFonts w:ascii="Times New Roman" w:hAnsi="Times New Roman" w:eastAsia="宋体"/>
          <w:b w:val="0"/>
          <w:i w:val="0"/>
          <w:sz w:val="24"/>
        </w:rPr>
        <w:t>· 待业务方确认：追保率存在哪张表、是否可按客户或合同配置，以及默认值</w:t>
      </w:r>
    </w:p>
    <w:p>
      <w:pPr>
        <w:spacing w:before="0" w:after="60" w:line="336" w:lineRule="auto"/>
        <w:ind w:left="340" w:firstLine="0"/>
      </w:pPr>
      <w:r>
        <w:rPr>
          <w:rFonts w:ascii="Times New Roman" w:hAnsi="Times New Roman" w:eastAsia="宋体"/>
          <w:b w:val="0"/>
          <w:i w:val="0"/>
          <w:sz w:val="24"/>
        </w:rPr>
        <w:t>· 待业务方确认：合同金额、已缴保证金分别取自哪个业务字段，以及三者任一缺失时追保金额如何处理</w:t>
      </w:r>
    </w:p>
    <w:p>
      <w:pPr>
        <w:spacing w:before="0" w:after="60" w:line="336" w:lineRule="auto"/>
        <w:ind w:left="340" w:firstLine="0"/>
      </w:pPr>
      <w:r>
        <w:rPr>
          <w:rFonts w:ascii="Times New Roman" w:hAnsi="Times New Roman" w:eastAsia="宋体"/>
          <w:b w:val="0"/>
          <w:i w:val="0"/>
          <w:sz w:val="24"/>
        </w:rPr>
        <w:t>· 待业务方确认：已补缴金额大于追保金额时是否允许提交，超补如何处理</w:t>
      </w:r>
    </w:p>
    <w:p>
      <w:pPr>
        <w:spacing w:before="0" w:after="60" w:line="336" w:lineRule="auto"/>
        <w:ind w:left="340" w:firstLine="0"/>
      </w:pPr>
      <w:r>
        <w:rPr>
          <w:rFonts w:ascii="Times New Roman" w:hAnsi="Times New Roman" w:eastAsia="宋体"/>
          <w:b w:val="0"/>
          <w:i w:val="0"/>
          <w:sz w:val="24"/>
        </w:rPr>
        <w:t>· 待业务方确认：追保函编号的有效判定规则，以及编号的生成规则</w:t>
      </w:r>
    </w:p>
    <w:p>
      <w:pPr>
        <w:spacing w:before="0" w:after="60" w:line="336" w:lineRule="auto"/>
        <w:ind w:left="340" w:firstLine="0"/>
      </w:pPr>
      <w:r>
        <w:rPr>
          <w:rFonts w:ascii="Times New Roman" w:hAnsi="Times New Roman" w:eastAsia="宋体"/>
          <w:b w:val="0"/>
          <w:i w:val="0"/>
          <w:sz w:val="24"/>
        </w:rPr>
        <w:t>· 待业务方确认：电子追保函与线下追保函是否必须关联同类型的销售合同</w:t>
      </w:r>
    </w:p>
    <w:p>
      <w:pPr>
        <w:spacing w:before="0" w:after="60" w:line="336" w:lineRule="auto"/>
        <w:ind w:left="340" w:firstLine="0"/>
      </w:pPr>
      <w:r>
        <w:rPr>
          <w:rFonts w:ascii="Times New Roman" w:hAnsi="Times New Roman" w:eastAsia="宋体"/>
          <w:b w:val="0"/>
          <w:i w:val="0"/>
          <w:sz w:val="24"/>
        </w:rPr>
        <w:t>· 待业务方确认：驳回状态下的修改操作与修改后的重新提交路径，以及已生效后的作废是否需要审核、作废后能否恢复</w:t>
      </w:r>
    </w:p>
    <w:p>
      <w:pPr>
        <w:spacing w:before="0" w:after="60" w:line="336" w:lineRule="auto"/>
        <w:ind w:left="340" w:firstLine="0"/>
      </w:pPr>
      <w:r>
        <w:rPr>
          <w:rFonts w:ascii="Times New Roman" w:hAnsi="Times New Roman" w:eastAsia="宋体"/>
          <w:b w:val="0"/>
          <w:i w:val="0"/>
          <w:sz w:val="24"/>
        </w:rPr>
        <w:t>· 待业务方确认：修改、上传附件、作废三个操作的具体执行角色与是否需要审批</w:t>
      </w:r>
    </w:p>
    <w:p>
      <w:r>
        <w:br w:type="page"/>
      </w:r>
    </w:p>
    <w:p>
      <w:pPr>
        <w:pStyle w:val="Heading2"/>
        <w:keepNext/>
        <w:spacing w:before="240" w:after="120" w:line="312" w:lineRule="auto"/>
        <w:ind w:firstLine="0"/>
      </w:pPr>
      <w:r>
        <w:rPr>
          <w:rFonts w:ascii="Times New Roman" w:hAnsi="Times New Roman" w:eastAsia="黑体"/>
          <w:b/>
          <w:i w:val="0"/>
          <w:sz w:val="28"/>
        </w:rPr>
        <w:t>4.19　审批管理</w:t>
      </w:r>
    </w:p>
    <w:p>
      <w:pPr>
        <w:spacing w:before="0" w:after="160" w:line="360" w:lineRule="auto"/>
      </w:pPr>
      <w:r>
        <w:rPr>
          <w:rFonts w:ascii="Times New Roman" w:hAnsi="Times New Roman" w:eastAsia="宋体"/>
          <w:b w:val="0"/>
          <w:i w:val="0"/>
          <w:color w:val="595959"/>
          <w:sz w:val="21"/>
        </w:rPr>
        <w:t>菜单路径：数字供应链 / 审批管理</w:t>
      </w:r>
    </w:p>
    <w:p>
      <w:pPr>
        <w:pStyle w:val="Heading3"/>
        <w:keepNext/>
        <w:spacing w:before="160" w:after="80" w:line="312" w:lineRule="auto"/>
        <w:ind w:firstLine="0"/>
      </w:pPr>
      <w:r>
        <w:rPr>
          <w:rFonts w:ascii="Times New Roman" w:hAnsi="Times New Roman" w:eastAsia="黑体"/>
          <w:b/>
          <w:i w:val="0"/>
          <w:sz w:val="24"/>
        </w:rPr>
        <w:t>4.19.1　一页结论</w:t>
      </w:r>
    </w:p>
    <w:p>
      <w:pPr>
        <w:spacing w:before="0" w:after="120" w:line="360" w:lineRule="auto"/>
      </w:pPr>
      <w:r>
        <w:rPr>
          <w:rFonts w:ascii="Times New Roman" w:hAnsi="Times New Roman" w:eastAsia="宋体"/>
          <w:b w:val="0"/>
          <w:i w:val="0"/>
          <w:sz w:val="24"/>
        </w:rPr>
        <w:t>把各业务单据写死在页面里的审批链路改为可配置流程，统一管理审批模板、节点编排与在途单据的审批状态监控。</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928"/>
            <w:shd w:val="clear" w:color="auto" w:fill="DCE6F1"/>
          </w:tcPr>
          <w:p>
            <w:pPr>
              <w:spacing w:before="40" w:after="40" w:line="276" w:lineRule="auto"/>
              <w:jc w:val="center"/>
            </w:pPr>
            <w:r/>
            <w:r>
              <w:rPr>
                <w:rFonts w:ascii="Times New Roman" w:hAnsi="Times New Roman" w:eastAsia="黑体"/>
                <w:b/>
                <w:i w:val="0"/>
                <w:sz w:val="21"/>
              </w:rPr>
              <w:t>问题</w:t>
            </w:r>
          </w:p>
        </w:tc>
        <w:tc>
          <w:tcPr>
            <w:tcW w:type="dxa" w:w="3572"/>
            <w:shd w:val="clear" w:color="auto" w:fill="DCE6F1"/>
          </w:tcPr>
          <w:p>
            <w:pPr>
              <w:spacing w:before="40" w:after="40" w:line="276" w:lineRule="auto"/>
              <w:jc w:val="center"/>
            </w:pPr>
            <w:r/>
            <w:r>
              <w:rPr>
                <w:rFonts w:ascii="Times New Roman" w:hAnsi="Times New Roman" w:eastAsia="黑体"/>
                <w:b/>
                <w:i w:val="0"/>
                <w:sz w:val="21"/>
              </w:rPr>
              <w:t>当前做法</w:t>
            </w:r>
          </w:p>
        </w:tc>
        <w:tc>
          <w:tcPr>
            <w:tcW w:type="dxa" w:w="3572"/>
            <w:shd w:val="clear" w:color="auto" w:fill="DCE6F1"/>
          </w:tcPr>
          <w:p>
            <w:pPr>
              <w:spacing w:before="40" w:after="40" w:line="276" w:lineRule="auto"/>
              <w:jc w:val="center"/>
            </w:pPr>
            <w:r/>
            <w:r>
              <w:rPr>
                <w:rFonts w:ascii="Times New Roman" w:hAnsi="Times New Roman" w:eastAsia="黑体"/>
                <w:b/>
                <w:i w:val="0"/>
                <w:sz w:val="21"/>
              </w:rPr>
              <w:t>本模块解法</w:t>
            </w:r>
          </w:p>
        </w:tc>
      </w:tr>
      <w:tr>
        <w:tc>
          <w:tcPr>
            <w:tcW w:type="dxa" w:w="1928"/>
          </w:tcPr>
          <w:p>
            <w:pPr>
              <w:spacing w:before="20" w:after="20" w:line="276" w:lineRule="auto"/>
              <w:ind w:firstLine="0"/>
            </w:pPr>
            <w:r/>
            <w:r>
              <w:rPr>
                <w:rFonts w:ascii="Times New Roman" w:hAnsi="Times New Roman" w:eastAsia="宋体"/>
                <w:b w:val="0"/>
                <w:i w:val="0"/>
                <w:sz w:val="21"/>
              </w:rPr>
              <w:t>审批规则写死在各业务页面中，调整一次层级要跨多个页面改造</w:t>
            </w:r>
          </w:p>
        </w:tc>
        <w:tc>
          <w:tcPr>
            <w:tcW w:type="dxa" w:w="3572"/>
          </w:tcPr>
          <w:p>
            <w:pPr>
              <w:spacing w:before="20" w:after="20" w:line="276" w:lineRule="auto"/>
              <w:ind w:firstLine="0"/>
            </w:pPr>
            <w:r/>
            <w:r>
              <w:rPr>
                <w:rFonts w:ascii="Times New Roman" w:hAnsi="Times New Roman" w:eastAsia="宋体"/>
                <w:b w:val="0"/>
                <w:i w:val="0"/>
                <w:sz w:val="21"/>
              </w:rPr>
              <w:t>每个业务页面各写一套审批时间线，节点、审批人、层级都固化在代码中</w:t>
            </w:r>
          </w:p>
        </w:tc>
        <w:tc>
          <w:tcPr>
            <w:tcW w:type="dxa" w:w="3572"/>
          </w:tcPr>
          <w:p>
            <w:pPr>
              <w:spacing w:before="20" w:after="20" w:line="276" w:lineRule="auto"/>
              <w:ind w:firstLine="0"/>
            </w:pPr>
            <w:r/>
            <w:r>
              <w:rPr>
                <w:rFonts w:ascii="Times New Roman" w:hAnsi="Times New Roman" w:eastAsia="宋体"/>
                <w:b w:val="0"/>
                <w:i w:val="0"/>
                <w:sz w:val="21"/>
              </w:rPr>
              <w:t>新增统一审批管理模块，流程模板增删改查与复制启停在一处完成，业务页面零改动即可生效</w:t>
            </w:r>
          </w:p>
        </w:tc>
      </w:tr>
      <w:tr>
        <w:tc>
          <w:tcPr>
            <w:tcW w:type="dxa" w:w="1928"/>
          </w:tcPr>
          <w:p>
            <w:pPr>
              <w:spacing w:before="20" w:after="20" w:line="276" w:lineRule="auto"/>
              <w:ind w:firstLine="0"/>
            </w:pPr>
            <w:r/>
            <w:r>
              <w:rPr>
                <w:rFonts w:ascii="Times New Roman" w:hAnsi="Times New Roman" w:eastAsia="宋体"/>
                <w:b w:val="0"/>
                <w:i w:val="0"/>
                <w:sz w:val="21"/>
              </w:rPr>
              <w:t>同类单据在不同模块的审批标准不统一，无法横向对比</w:t>
            </w:r>
          </w:p>
        </w:tc>
        <w:tc>
          <w:tcPr>
            <w:tcW w:type="dxa" w:w="3572"/>
          </w:tcPr>
          <w:p>
            <w:pPr>
              <w:spacing w:before="20" w:after="20" w:line="276" w:lineRule="auto"/>
              <w:ind w:firstLine="0"/>
            </w:pPr>
            <w:r/>
            <w:r>
              <w:rPr>
                <w:rFonts w:ascii="Times New Roman" w:hAnsi="Times New Roman" w:eastAsia="宋体"/>
                <w:b w:val="0"/>
                <w:i w:val="0"/>
                <w:sz w:val="21"/>
              </w:rPr>
              <w:t>合同、回款、立项各写一套审批链路，审批层级与节点口径互不相同</w:t>
            </w:r>
          </w:p>
        </w:tc>
        <w:tc>
          <w:tcPr>
            <w:tcW w:type="dxa" w:w="3572"/>
          </w:tcPr>
          <w:p>
            <w:pPr>
              <w:spacing w:before="20" w:after="20" w:line="276" w:lineRule="auto"/>
              <w:ind w:firstLine="0"/>
            </w:pPr>
            <w:r/>
            <w:r>
              <w:rPr>
                <w:rFonts w:ascii="Times New Roman" w:hAnsi="Times New Roman" w:eastAsia="宋体"/>
                <w:b w:val="0"/>
                <w:i w:val="0"/>
                <w:sz w:val="21"/>
              </w:rPr>
              <w:t>所有业务单据引用同一套流程模板与引擎，一份配置同时驱动配置页、监控页与业务页面</w:t>
            </w:r>
          </w:p>
        </w:tc>
      </w:tr>
      <w:tr>
        <w:tc>
          <w:tcPr>
            <w:tcW w:type="dxa" w:w="1928"/>
          </w:tcPr>
          <w:p>
            <w:pPr>
              <w:spacing w:before="20" w:after="20" w:line="276" w:lineRule="auto"/>
              <w:ind w:firstLine="0"/>
            </w:pPr>
            <w:r/>
            <w:r>
              <w:rPr>
                <w:rFonts w:ascii="Times New Roman" w:hAnsi="Times New Roman" w:eastAsia="宋体"/>
                <w:b w:val="0"/>
                <w:i w:val="0"/>
                <w:sz w:val="21"/>
              </w:rPr>
              <w:t>大额单据与小额单据走同一条链路，金额风险没有自动加签</w:t>
            </w:r>
          </w:p>
        </w:tc>
        <w:tc>
          <w:tcPr>
            <w:tcW w:type="dxa" w:w="3572"/>
          </w:tcPr>
          <w:p>
            <w:pPr>
              <w:spacing w:before="20" w:after="20" w:line="276" w:lineRule="auto"/>
              <w:ind w:firstLine="0"/>
            </w:pPr>
            <w:r/>
            <w:r>
              <w:rPr>
                <w:rFonts w:ascii="Times New Roman" w:hAnsi="Times New Roman" w:eastAsia="宋体"/>
                <w:b w:val="0"/>
                <w:i w:val="0"/>
                <w:sz w:val="21"/>
              </w:rPr>
              <w:t>小额与高额单据审批层级相同，风险敞口只能靠人工把关</w:t>
            </w:r>
          </w:p>
        </w:tc>
        <w:tc>
          <w:tcPr>
            <w:tcW w:type="dxa" w:w="3572"/>
          </w:tcPr>
          <w:p>
            <w:pPr>
              <w:spacing w:before="20" w:after="20" w:line="276" w:lineRule="auto"/>
              <w:ind w:firstLine="0"/>
            </w:pPr>
            <w:r/>
            <w:r>
              <w:rPr>
                <w:rFonts w:ascii="Times New Roman" w:hAnsi="Times New Roman" w:eastAsia="宋体"/>
                <w:b w:val="0"/>
                <w:i w:val="0"/>
                <w:sz w:val="21"/>
              </w:rPr>
              <w:t>节点支持配置单据金额条件，超过阈值时自动追加总经理审批层级，未命中时节点标记已跳过并继续流程</w:t>
            </w:r>
          </w:p>
        </w:tc>
      </w:tr>
      <w:tr>
        <w:tc>
          <w:tcPr>
            <w:tcW w:type="dxa" w:w="1928"/>
          </w:tcPr>
          <w:p>
            <w:pPr>
              <w:spacing w:before="20" w:after="20" w:line="276" w:lineRule="auto"/>
              <w:ind w:firstLine="0"/>
            </w:pPr>
            <w:r/>
            <w:r>
              <w:rPr>
                <w:rFonts w:ascii="Times New Roman" w:hAnsi="Times New Roman" w:eastAsia="宋体"/>
                <w:b w:val="0"/>
                <w:i w:val="0"/>
                <w:sz w:val="21"/>
              </w:rPr>
              <w:t>在途单据卡在哪一步、由谁在审，只能靠人工询问</w:t>
            </w:r>
          </w:p>
        </w:tc>
        <w:tc>
          <w:tcPr>
            <w:tcW w:type="dxa" w:w="3572"/>
          </w:tcPr>
          <w:p>
            <w:pPr>
              <w:spacing w:before="20" w:after="20" w:line="276" w:lineRule="auto"/>
              <w:ind w:firstLine="0"/>
            </w:pPr>
            <w:r/>
            <w:r>
              <w:rPr>
                <w:rFonts w:ascii="Times New Roman" w:hAnsi="Times New Roman" w:eastAsia="宋体"/>
                <w:b w:val="0"/>
                <w:i w:val="0"/>
                <w:sz w:val="21"/>
              </w:rPr>
              <w:t>缺少统一的运行态视图，业务方需要逐个单据询问才知进度</w:t>
            </w:r>
          </w:p>
        </w:tc>
        <w:tc>
          <w:tcPr>
            <w:tcW w:type="dxa" w:w="3572"/>
          </w:tcPr>
          <w:p>
            <w:pPr>
              <w:spacing w:before="20" w:after="20" w:line="276" w:lineRule="auto"/>
              <w:ind w:firstLine="0"/>
            </w:pPr>
            <w:r/>
            <w:r>
              <w:rPr>
                <w:rFonts w:ascii="Times New Roman" w:hAnsi="Times New Roman" w:eastAsia="宋体"/>
                <w:b w:val="0"/>
                <w:i w:val="0"/>
                <w:sz w:val="21"/>
              </w:rPr>
              <w:t>审批流程监控提供 KPI、状态页签、实例列表与提醒记录，每条在途单据可查到当前节点、当前审批人、已耗时与条件求值明细</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4.19.2　背景与目标</w:t>
      </w:r>
    </w:p>
    <w:tbl>
      <w:tblPr>
        <w:tblStyle w:val="TableGrid"/>
        <w:tblW w:type="auto" w:w="0"/>
        <w:jc w:val="center"/>
        <w:tblLayout w:type="fixed"/>
        <w:tblLook w:firstColumn="1" w:firstRow="1" w:lastColumn="0" w:lastRow="0" w:noHBand="0" w:noVBand="1" w:val="04A0"/>
      </w:tblPr>
      <w:tblGrid>
        <w:gridCol w:w="8958"/>
      </w:tblGrid>
      <w:tr>
        <w:trPr>
          <w:tblHeader w:val="true"/>
        </w:trPr>
        <w:tc>
          <w:tcPr>
            <w:tcW w:type="dxa" w:w="9071"/>
            <w:shd w:val="clear" w:color="auto" w:fill="DCE6F1"/>
          </w:tcPr>
          <w:p>
            <w:pPr>
              <w:spacing w:before="40" w:after="40" w:line="276" w:lineRule="auto"/>
              <w:jc w:val="center"/>
            </w:pPr>
            <w:r/>
            <w:r>
              <w:rPr>
                <w:rFonts w:ascii="Times New Roman" w:hAnsi="Times New Roman" w:eastAsia="黑体"/>
                <w:b/>
                <w:i w:val="0"/>
                <w:sz w:val="21"/>
              </w:rPr>
              <w:t>目标 / 衡量口径</w:t>
            </w:r>
          </w:p>
        </w:tc>
      </w:tr>
      <w:tr>
        <w:tc>
          <w:tcPr>
            <w:tcW w:type="dxa" w:w="9071"/>
          </w:tcPr>
          <w:p>
            <w:pPr>
              <w:spacing w:before="20" w:after="20" w:line="276" w:lineRule="auto"/>
              <w:ind w:firstLine="0"/>
            </w:pPr>
            <w:r/>
            <w:r>
              <w:rPr>
                <w:rFonts w:ascii="Times New Roman" w:hAnsi="Times New Roman" w:eastAsia="宋体"/>
                <w:b w:val="0"/>
                <w:i w:val="0"/>
                <w:sz w:val="21"/>
              </w:rPr>
              <w:t>审批规则可配置，审批层级调整的交付物是一次流程配置变更，不涉及业务页面代码改动</w:t>
            </w:r>
          </w:p>
        </w:tc>
      </w:tr>
      <w:tr>
        <w:tc>
          <w:tcPr>
            <w:tcW w:type="dxa" w:w="9071"/>
          </w:tcPr>
          <w:p>
            <w:pPr>
              <w:spacing w:before="20" w:after="20" w:line="276" w:lineRule="auto"/>
              <w:ind w:firstLine="0"/>
            </w:pPr>
            <w:r/>
            <w:r>
              <w:rPr>
                <w:rFonts w:ascii="Times New Roman" w:hAnsi="Times New Roman" w:eastAsia="宋体"/>
                <w:b w:val="0"/>
                <w:i w:val="0"/>
                <w:sz w:val="21"/>
              </w:rPr>
              <w:t>单据金额超过 100 万元的申请，审批链路中必定出现总经理审批节点</w:t>
            </w:r>
          </w:p>
        </w:tc>
      </w:tr>
      <w:tr>
        <w:tc>
          <w:tcPr>
            <w:tcW w:type="dxa" w:w="9071"/>
          </w:tcPr>
          <w:p>
            <w:pPr>
              <w:spacing w:before="20" w:after="20" w:line="276" w:lineRule="auto"/>
              <w:ind w:firstLine="0"/>
            </w:pPr>
            <w:r/>
            <w:r>
              <w:rPr>
                <w:rFonts w:ascii="Times New Roman" w:hAnsi="Times New Roman" w:eastAsia="宋体"/>
                <w:b w:val="0"/>
                <w:i w:val="0"/>
                <w:sz w:val="21"/>
              </w:rPr>
              <w:t>在途单据可查到当前节点、当前审批人、已耗时与提醒规则，覆盖率 100%</w:t>
            </w:r>
          </w:p>
        </w:tc>
      </w:tr>
      <w:tr>
        <w:tc>
          <w:tcPr>
            <w:tcW w:type="dxa" w:w="9071"/>
          </w:tcPr>
          <w:p>
            <w:pPr>
              <w:spacing w:before="20" w:after="20" w:line="276" w:lineRule="auto"/>
              <w:ind w:firstLine="0"/>
            </w:pPr>
            <w:r/>
            <w:r>
              <w:rPr>
                <w:rFonts w:ascii="Times New Roman" w:hAnsi="Times New Roman" w:eastAsia="宋体"/>
                <w:b w:val="0"/>
                <w:i w:val="0"/>
                <w:sz w:val="21"/>
              </w:rPr>
              <w:t>审批动作有留痕，审批通过后必定产生一条站内信记录且站内信不可关闭；各项达成情况以上线后系统运行报表为准</w:t>
            </w:r>
          </w:p>
        </w:tc>
      </w:tr>
    </w:tbl>
    <w:p>
      <w:pPr>
        <w:spacing w:before="0" w:after="0" w:line="240" w:lineRule="auto"/>
      </w:pPr>
    </w:p>
    <w:p>
      <w:pPr>
        <w:spacing w:before="80" w:after="120" w:line="360" w:lineRule="auto"/>
      </w:pPr>
      <w:r>
        <w:rPr>
          <w:rFonts w:ascii="Times New Roman" w:hAnsi="Times New Roman" w:eastAsia="宋体"/>
          <w:b w:val="0"/>
          <w:i w:val="0"/>
          <w:color w:val="595959"/>
          <w:sz w:val="21"/>
        </w:rPr>
        <w:t>说明：文中口径以业务方已确认结论为准；未确认项集中列于本章末与第 5 章。</w:t>
      </w:r>
    </w:p>
    <w:p>
      <w:pPr>
        <w:pStyle w:val="Heading3"/>
        <w:keepNext/>
        <w:spacing w:before="160" w:after="80" w:line="312" w:lineRule="auto"/>
        <w:ind w:firstLine="0"/>
      </w:pPr>
      <w:r>
        <w:rPr>
          <w:rFonts w:ascii="Times New Roman" w:hAnsi="Times New Roman" w:eastAsia="黑体"/>
          <w:b/>
          <w:i w:val="0"/>
          <w:sz w:val="24"/>
        </w:rPr>
        <w:t>4.19.3　角色与用户需求</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361"/>
            <w:shd w:val="clear" w:color="auto" w:fill="DCE6F1"/>
          </w:tcPr>
          <w:p>
            <w:pPr>
              <w:spacing w:before="40" w:after="40" w:line="276" w:lineRule="auto"/>
              <w:jc w:val="center"/>
            </w:pPr>
            <w:r/>
            <w:r>
              <w:rPr>
                <w:rFonts w:ascii="Times New Roman" w:hAnsi="Times New Roman" w:eastAsia="黑体"/>
                <w:b/>
                <w:i w:val="0"/>
                <w:sz w:val="21"/>
              </w:rPr>
              <w:t>角色</w:t>
            </w:r>
          </w:p>
        </w:tc>
        <w:tc>
          <w:tcPr>
            <w:tcW w:type="dxa" w:w="1247"/>
            <w:shd w:val="clear" w:color="auto" w:fill="DCE6F1"/>
          </w:tcPr>
          <w:p>
            <w:pPr>
              <w:spacing w:before="40" w:after="40" w:line="276" w:lineRule="auto"/>
              <w:jc w:val="center"/>
            </w:pPr>
            <w:r/>
            <w:r>
              <w:rPr>
                <w:rFonts w:ascii="Times New Roman" w:hAnsi="Times New Roman" w:eastAsia="黑体"/>
                <w:b/>
                <w:i w:val="0"/>
                <w:sz w:val="21"/>
              </w:rPr>
              <w:t>所属部门</w:t>
            </w:r>
          </w:p>
        </w:tc>
        <w:tc>
          <w:tcPr>
            <w:tcW w:type="dxa" w:w="6463"/>
            <w:shd w:val="clear" w:color="auto" w:fill="DCE6F1"/>
          </w:tcPr>
          <w:p>
            <w:pPr>
              <w:spacing w:before="40" w:after="40" w:line="276" w:lineRule="auto"/>
              <w:jc w:val="center"/>
            </w:pPr>
            <w:r/>
            <w:r>
              <w:rPr>
                <w:rFonts w:ascii="Times New Roman" w:hAnsi="Times New Roman" w:eastAsia="黑体"/>
                <w:b/>
                <w:i w:val="0"/>
                <w:sz w:val="21"/>
              </w:rPr>
              <w:t>用户需求（我要…以便…）</w:t>
            </w:r>
          </w:p>
        </w:tc>
      </w:tr>
      <w:tr>
        <w:tc>
          <w:tcPr>
            <w:tcW w:type="dxa" w:w="1361"/>
          </w:tcPr>
          <w:p>
            <w:pPr>
              <w:spacing w:before="20" w:after="20" w:line="276" w:lineRule="auto"/>
              <w:ind w:firstLine="0"/>
            </w:pPr>
            <w:r/>
            <w:r>
              <w:rPr>
                <w:rFonts w:ascii="Times New Roman" w:hAnsi="Times New Roman" w:eastAsia="宋体"/>
                <w:b w:val="0"/>
                <w:i w:val="0"/>
                <w:sz w:val="21"/>
              </w:rPr>
              <w:t>平台管理员</w:t>
            </w:r>
          </w:p>
        </w:tc>
        <w:tc>
          <w:tcPr>
            <w:tcW w:type="dxa" w:w="1247"/>
          </w:tcPr>
          <w:p>
            <w:pPr>
              <w:spacing w:before="20" w:after="20" w:line="276" w:lineRule="auto"/>
              <w:ind w:firstLine="0"/>
            </w:pPr>
            <w:r/>
            <w:r>
              <w:rPr>
                <w:rFonts w:ascii="Times New Roman" w:hAnsi="Times New Roman" w:eastAsia="宋体"/>
                <w:b w:val="0"/>
                <w:i w:val="0"/>
                <w:sz w:val="21"/>
              </w:rPr>
              <w:t>运营管理部</w:t>
            </w:r>
          </w:p>
        </w:tc>
        <w:tc>
          <w:tcPr>
            <w:tcW w:type="dxa" w:w="6463"/>
          </w:tcPr>
          <w:p>
            <w:pPr>
              <w:spacing w:before="20" w:after="20" w:line="276" w:lineRule="auto"/>
              <w:ind w:firstLine="0"/>
            </w:pPr>
            <w:r/>
            <w:r>
              <w:rPr>
                <w:rFonts w:ascii="Times New Roman" w:hAnsi="Times New Roman" w:eastAsia="宋体"/>
                <w:b w:val="0"/>
                <w:i w:val="0"/>
                <w:sz w:val="21"/>
              </w:rPr>
              <w:t>我要新建、复制、编排与启停流程模板，以便调整审批链路不再依赖研发发版</w:t>
            </w:r>
          </w:p>
        </w:tc>
      </w:tr>
      <w:tr>
        <w:tc>
          <w:tcPr>
            <w:tcW w:type="dxa" w:w="1361"/>
          </w:tcPr>
          <w:p>
            <w:pPr>
              <w:spacing w:before="20" w:after="20" w:line="276" w:lineRule="auto"/>
              <w:ind w:firstLine="0"/>
            </w:pPr>
            <w:r/>
            <w:r>
              <w:rPr>
                <w:rFonts w:ascii="Times New Roman" w:hAnsi="Times New Roman" w:eastAsia="宋体"/>
                <w:b w:val="0"/>
                <w:i w:val="0"/>
                <w:sz w:val="21"/>
              </w:rPr>
              <w:t>业务审批人</w:t>
            </w:r>
          </w:p>
        </w:tc>
        <w:tc>
          <w:tcPr>
            <w:tcW w:type="dxa" w:w="1247"/>
          </w:tcPr>
          <w:p>
            <w:pPr>
              <w:spacing w:before="20" w:after="20" w:line="276" w:lineRule="auto"/>
              <w:ind w:firstLine="0"/>
            </w:pPr>
            <w:r/>
            <w:r>
              <w:rPr>
                <w:rFonts w:ascii="Times New Roman" w:hAnsi="Times New Roman" w:eastAsia="宋体"/>
                <w:b w:val="0"/>
                <w:i w:val="0"/>
                <w:sz w:val="21"/>
              </w:rPr>
              <w:t>业务部</w:t>
            </w:r>
          </w:p>
        </w:tc>
        <w:tc>
          <w:tcPr>
            <w:tcW w:type="dxa" w:w="6463"/>
          </w:tcPr>
          <w:p>
            <w:pPr>
              <w:spacing w:before="20" w:after="20" w:line="276" w:lineRule="auto"/>
              <w:ind w:firstLine="0"/>
            </w:pPr>
            <w:r/>
            <w:r>
              <w:rPr>
                <w:rFonts w:ascii="Times New Roman" w:hAnsi="Times New Roman" w:eastAsia="宋体"/>
                <w:b w:val="0"/>
                <w:i w:val="0"/>
                <w:sz w:val="21"/>
              </w:rPr>
              <w:t>我要在单据详情页看到完整审批时间线并处理我的待办节点，以便判断该由我审批</w:t>
            </w:r>
          </w:p>
        </w:tc>
      </w:tr>
      <w:tr>
        <w:tc>
          <w:tcPr>
            <w:tcW w:type="dxa" w:w="1361"/>
          </w:tcPr>
          <w:p>
            <w:pPr>
              <w:spacing w:before="20" w:after="20" w:line="276" w:lineRule="auto"/>
              <w:ind w:firstLine="0"/>
            </w:pPr>
            <w:r/>
            <w:r>
              <w:rPr>
                <w:rFonts w:ascii="Times New Roman" w:hAnsi="Times New Roman" w:eastAsia="宋体"/>
                <w:b w:val="0"/>
                <w:i w:val="0"/>
                <w:sz w:val="21"/>
              </w:rPr>
              <w:t>风控与财务审批人</w:t>
            </w:r>
          </w:p>
        </w:tc>
        <w:tc>
          <w:tcPr>
            <w:tcW w:type="dxa" w:w="1247"/>
          </w:tcPr>
          <w:p>
            <w:pPr>
              <w:spacing w:before="20" w:after="20" w:line="276" w:lineRule="auto"/>
              <w:ind w:firstLine="0"/>
            </w:pPr>
            <w:r/>
            <w:r>
              <w:rPr>
                <w:rFonts w:ascii="Times New Roman" w:hAnsi="Times New Roman" w:eastAsia="宋体"/>
                <w:b w:val="0"/>
                <w:i w:val="0"/>
                <w:sz w:val="21"/>
              </w:rPr>
              <w:t>风控部 / 财务部</w:t>
            </w:r>
          </w:p>
        </w:tc>
        <w:tc>
          <w:tcPr>
            <w:tcW w:type="dxa" w:w="6463"/>
          </w:tcPr>
          <w:p>
            <w:pPr>
              <w:spacing w:before="20" w:after="20" w:line="276" w:lineRule="auto"/>
              <w:ind w:firstLine="0"/>
            </w:pPr>
            <w:r/>
            <w:r>
              <w:rPr>
                <w:rFonts w:ascii="Times New Roman" w:hAnsi="Times New Roman" w:eastAsia="宋体"/>
                <w:b w:val="0"/>
                <w:i w:val="0"/>
                <w:sz w:val="21"/>
              </w:rPr>
              <w:t>我要在会签节点看到同节点还有谁未审并逐一处理，以便风险与资金口径一致</w:t>
            </w:r>
          </w:p>
        </w:tc>
      </w:tr>
      <w:tr>
        <w:tc>
          <w:tcPr>
            <w:tcW w:type="dxa" w:w="1361"/>
          </w:tcPr>
          <w:p>
            <w:pPr>
              <w:spacing w:before="20" w:after="20" w:line="276" w:lineRule="auto"/>
              <w:ind w:firstLine="0"/>
            </w:pPr>
            <w:r/>
            <w:r>
              <w:rPr>
                <w:rFonts w:ascii="Times New Roman" w:hAnsi="Times New Roman" w:eastAsia="宋体"/>
                <w:b w:val="0"/>
                <w:i w:val="0"/>
                <w:sz w:val="21"/>
              </w:rPr>
              <w:t>合规审查人</w:t>
            </w:r>
          </w:p>
        </w:tc>
        <w:tc>
          <w:tcPr>
            <w:tcW w:type="dxa" w:w="1247"/>
          </w:tcPr>
          <w:p>
            <w:pPr>
              <w:spacing w:before="20" w:after="20" w:line="276" w:lineRule="auto"/>
              <w:ind w:firstLine="0"/>
            </w:pPr>
            <w:r/>
            <w:r>
              <w:rPr>
                <w:rFonts w:ascii="Times New Roman" w:hAnsi="Times New Roman" w:eastAsia="宋体"/>
                <w:b w:val="0"/>
                <w:i w:val="0"/>
                <w:sz w:val="21"/>
              </w:rPr>
              <w:t>法务部</w:t>
            </w:r>
          </w:p>
        </w:tc>
        <w:tc>
          <w:tcPr>
            <w:tcW w:type="dxa" w:w="6463"/>
          </w:tcPr>
          <w:p>
            <w:pPr>
              <w:spacing w:before="20" w:after="20" w:line="276" w:lineRule="auto"/>
              <w:ind w:firstLine="0"/>
            </w:pPr>
            <w:r/>
            <w:r>
              <w:rPr>
                <w:rFonts w:ascii="Times New Roman" w:hAnsi="Times New Roman" w:eastAsia="宋体"/>
                <w:b w:val="0"/>
                <w:i w:val="0"/>
                <w:sz w:val="21"/>
              </w:rPr>
              <w:t>我要在合规审查节点处理合同与追保函，以便合规意见在流程内有固定位置</w:t>
            </w:r>
          </w:p>
        </w:tc>
      </w:tr>
      <w:tr>
        <w:tc>
          <w:tcPr>
            <w:tcW w:type="dxa" w:w="1361"/>
          </w:tcPr>
          <w:p>
            <w:pPr>
              <w:spacing w:before="20" w:after="20" w:line="276" w:lineRule="auto"/>
              <w:ind w:firstLine="0"/>
            </w:pPr>
            <w:r/>
            <w:r>
              <w:rPr>
                <w:rFonts w:ascii="Times New Roman" w:hAnsi="Times New Roman" w:eastAsia="宋体"/>
                <w:b w:val="0"/>
                <w:i w:val="0"/>
                <w:sz w:val="21"/>
              </w:rPr>
              <w:t>总经理</w:t>
            </w:r>
          </w:p>
        </w:tc>
        <w:tc>
          <w:tcPr>
            <w:tcW w:type="dxa" w:w="1247"/>
          </w:tcPr>
          <w:p>
            <w:pPr>
              <w:spacing w:before="20" w:after="20" w:line="276" w:lineRule="auto"/>
              <w:ind w:firstLine="0"/>
            </w:pPr>
            <w:r/>
            <w:r>
              <w:rPr>
                <w:rFonts w:ascii="Times New Roman" w:hAnsi="Times New Roman" w:eastAsia="宋体"/>
                <w:b w:val="0"/>
                <w:i w:val="0"/>
                <w:sz w:val="21"/>
              </w:rPr>
              <w:t>总经理</w:t>
            </w:r>
          </w:p>
        </w:tc>
        <w:tc>
          <w:tcPr>
            <w:tcW w:type="dxa" w:w="6463"/>
          </w:tcPr>
          <w:p>
            <w:pPr>
              <w:spacing w:before="20" w:after="20" w:line="276" w:lineRule="auto"/>
              <w:ind w:firstLine="0"/>
            </w:pPr>
            <w:r/>
            <w:r>
              <w:rPr>
                <w:rFonts w:ascii="Times New Roman" w:hAnsi="Times New Roman" w:eastAsia="宋体"/>
                <w:b w:val="0"/>
                <w:i w:val="0"/>
                <w:sz w:val="21"/>
              </w:rPr>
              <w:t>我要只处理需要我这一级的大额单据，以便不被小额单据打扰</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4.19.4　功能结构与范围</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474"/>
            <w:shd w:val="clear" w:color="auto" w:fill="DCE6F1"/>
          </w:tcPr>
          <w:p>
            <w:pPr>
              <w:spacing w:before="40" w:after="40" w:line="276" w:lineRule="auto"/>
              <w:jc w:val="center"/>
            </w:pPr>
            <w:r/>
            <w:r>
              <w:rPr>
                <w:rFonts w:ascii="Times New Roman" w:hAnsi="Times New Roman" w:eastAsia="黑体"/>
                <w:b/>
                <w:i w:val="0"/>
                <w:sz w:val="21"/>
              </w:rPr>
              <w:t>功能</w:t>
            </w:r>
          </w:p>
        </w:tc>
        <w:tc>
          <w:tcPr>
            <w:tcW w:type="dxa" w:w="3175"/>
            <w:shd w:val="clear" w:color="auto" w:fill="DCE6F1"/>
          </w:tcPr>
          <w:p>
            <w:pPr>
              <w:spacing w:before="40" w:after="40" w:line="276" w:lineRule="auto"/>
              <w:jc w:val="center"/>
            </w:pPr>
            <w:r/>
            <w:r>
              <w:rPr>
                <w:rFonts w:ascii="Times New Roman" w:hAnsi="Times New Roman" w:eastAsia="黑体"/>
                <w:b/>
                <w:i w:val="0"/>
                <w:sz w:val="21"/>
              </w:rPr>
              <w:t>功能说明</w:t>
            </w:r>
          </w:p>
        </w:tc>
        <w:tc>
          <w:tcPr>
            <w:tcW w:type="dxa" w:w="4422"/>
            <w:shd w:val="clear" w:color="auto" w:fill="DCE6F1"/>
          </w:tcPr>
          <w:p>
            <w:pPr>
              <w:spacing w:before="40" w:after="40" w:line="276" w:lineRule="auto"/>
              <w:jc w:val="center"/>
            </w:pPr>
            <w:r/>
            <w:r>
              <w:rPr>
                <w:rFonts w:ascii="Times New Roman" w:hAnsi="Times New Roman" w:eastAsia="黑体"/>
                <w:b/>
                <w:i w:val="0"/>
                <w:sz w:val="21"/>
              </w:rPr>
              <w:t>关键规则</w:t>
            </w:r>
          </w:p>
        </w:tc>
      </w:tr>
      <w:tr>
        <w:tc>
          <w:tcPr>
            <w:tcW w:type="dxa" w:w="1474"/>
          </w:tcPr>
          <w:p>
            <w:pPr>
              <w:spacing w:before="20" w:after="20" w:line="276" w:lineRule="auto"/>
              <w:ind w:firstLine="0"/>
            </w:pPr>
            <w:r/>
            <w:r>
              <w:rPr>
                <w:rFonts w:ascii="Times New Roman" w:hAnsi="Times New Roman" w:eastAsia="宋体"/>
                <w:b w:val="0"/>
                <w:i w:val="0"/>
                <w:sz w:val="21"/>
              </w:rPr>
              <w:t>审批流程模板管理</w:t>
            </w:r>
          </w:p>
        </w:tc>
        <w:tc>
          <w:tcPr>
            <w:tcW w:type="dxa" w:w="3175"/>
          </w:tcPr>
          <w:p>
            <w:pPr>
              <w:spacing w:before="20" w:after="20" w:line="276" w:lineRule="auto"/>
              <w:ind w:firstLine="0"/>
            </w:pPr>
            <w:r/>
            <w:r>
              <w:rPr>
                <w:rFonts w:ascii="Times New Roman" w:hAnsi="Times New Roman" w:eastAsia="宋体"/>
                <w:b w:val="0"/>
                <w:i w:val="0"/>
                <w:sz w:val="21"/>
              </w:rPr>
              <w:t>以模板列表集中管理审批流程的定义，支持新建、编排、复制、启停与删除</w:t>
            </w:r>
          </w:p>
        </w:tc>
        <w:tc>
          <w:tcPr>
            <w:tcW w:type="dxa" w:w="4422"/>
          </w:tcPr>
          <w:p>
            <w:pPr>
              <w:spacing w:before="20" w:after="20" w:line="276" w:lineRule="auto"/>
              <w:ind w:firstLine="0"/>
            </w:pPr>
            <w:r/>
            <w:r>
              <w:rPr>
                <w:rFonts w:ascii="Times New Roman" w:hAnsi="Times New Roman" w:eastAsia="宋体"/>
                <w:b w:val="0"/>
                <w:i w:val="0"/>
                <w:sz w:val="21"/>
              </w:rPr>
              <w:t>模板状态为草稿、启用、停用三种，草稿仅创建人可见，停用后不再参与新单据；内置 3 套模板分别为标准审批流程 4 节点、简易审批流程 3 节点、高风险审批流程 5 节点；复制后的模板名称带副本字样、状态置为草稿且节点标识全部重映射，原模板不受影响；删除已被业务页面引用的模板需二次确认并提示引用该流程的业务模块需重新配置；列表分页每页 10、20、50 条</w:t>
            </w:r>
          </w:p>
        </w:tc>
      </w:tr>
      <w:tr>
        <w:tc>
          <w:tcPr>
            <w:tcW w:type="dxa" w:w="1474"/>
          </w:tcPr>
          <w:p>
            <w:pPr>
              <w:spacing w:before="20" w:after="20" w:line="276" w:lineRule="auto"/>
              <w:ind w:firstLine="0"/>
            </w:pPr>
            <w:r/>
            <w:r>
              <w:rPr>
                <w:rFonts w:ascii="Times New Roman" w:hAnsi="Times New Roman" w:eastAsia="宋体"/>
                <w:b w:val="0"/>
                <w:i w:val="0"/>
                <w:sz w:val="21"/>
              </w:rPr>
              <w:t>流程编排两步向导</w:t>
            </w:r>
          </w:p>
        </w:tc>
        <w:tc>
          <w:tcPr>
            <w:tcW w:type="dxa" w:w="3175"/>
          </w:tcPr>
          <w:p>
            <w:pPr>
              <w:spacing w:before="20" w:after="20" w:line="276" w:lineRule="auto"/>
              <w:ind w:firstLine="0"/>
            </w:pPr>
            <w:r/>
            <w:r>
              <w:rPr>
                <w:rFonts w:ascii="Times New Roman" w:hAnsi="Times New Roman" w:eastAsia="宋体"/>
                <w:b w:val="0"/>
                <w:i w:val="0"/>
                <w:sz w:val="21"/>
              </w:rPr>
              <w:t>用步骤 1 基础信息与步骤 2 流程设计两步完成一个流程模板的编排</w:t>
            </w:r>
          </w:p>
        </w:tc>
        <w:tc>
          <w:tcPr>
            <w:tcW w:type="dxa" w:w="4422"/>
          </w:tcPr>
          <w:p>
            <w:pPr>
              <w:spacing w:before="20" w:after="20" w:line="276" w:lineRule="auto"/>
              <w:ind w:firstLine="0"/>
            </w:pPr>
            <w:r/>
            <w:r>
              <w:rPr>
                <w:rFonts w:ascii="Times New Roman" w:hAnsi="Times New Roman" w:eastAsia="宋体"/>
                <w:b w:val="0"/>
                <w:i w:val="0"/>
                <w:sz w:val="21"/>
              </w:rPr>
              <w:t>步骤 1 校验流程名称非空且不超过 40 字、应用模块至少选择 1 个，不通过时拦截进入步骤 2 与保存并停留在步骤 1；步骤 2 在画布上通过连接线插入节点，节点可上移下移与删除；发起申请与归档完成为系统节点，其删除按钮禁用；存在未保存修改时点击返回触发二次确认</w:t>
            </w:r>
          </w:p>
        </w:tc>
      </w:tr>
      <w:tr>
        <w:tc>
          <w:tcPr>
            <w:tcW w:type="dxa" w:w="1474"/>
          </w:tcPr>
          <w:p>
            <w:pPr>
              <w:spacing w:before="20" w:after="20" w:line="276" w:lineRule="auto"/>
              <w:ind w:firstLine="0"/>
            </w:pPr>
            <w:r/>
            <w:r>
              <w:rPr>
                <w:rFonts w:ascii="Times New Roman" w:hAnsi="Times New Roman" w:eastAsia="宋体"/>
                <w:b w:val="0"/>
                <w:i w:val="0"/>
                <w:sz w:val="21"/>
              </w:rPr>
              <w:t>节点属性配置</w:t>
            </w:r>
          </w:p>
        </w:tc>
        <w:tc>
          <w:tcPr>
            <w:tcW w:type="dxa" w:w="3175"/>
          </w:tcPr>
          <w:p>
            <w:pPr>
              <w:spacing w:before="20" w:after="20" w:line="276" w:lineRule="auto"/>
              <w:ind w:firstLine="0"/>
            </w:pPr>
            <w:r/>
            <w:r>
              <w:rPr>
                <w:rFonts w:ascii="Times New Roman" w:hAnsi="Times New Roman" w:eastAsia="宋体"/>
                <w:b w:val="0"/>
                <w:i w:val="0"/>
                <w:sz w:val="21"/>
              </w:rPr>
              <w:t>在节点属性抽屉中配置单个审批节点的审批方式、人员、条件、提醒与通知</w:t>
            </w:r>
          </w:p>
        </w:tc>
        <w:tc>
          <w:tcPr>
            <w:tcW w:type="dxa" w:w="4422"/>
          </w:tcPr>
          <w:p>
            <w:pPr>
              <w:spacing w:before="20" w:after="20" w:line="276" w:lineRule="auto"/>
              <w:ind w:firstLine="0"/>
            </w:pPr>
            <w:r/>
            <w:r>
              <w:rPr>
                <w:rFonts w:ascii="Times New Roman" w:hAnsi="Times New Roman" w:eastAsia="宋体"/>
                <w:b w:val="0"/>
                <w:i w:val="0"/>
                <w:sz w:val="21"/>
              </w:rPr>
              <w:t>审批方式为串行审批与并行会签互斥单选，串行节点配置 1 名审批人，会签节点至少配置 1 名审批人且人员不可重复；触发条件每个节点最多 1 条且仅串行节点可配；提醒规则开关加 1 至 720 小时；审批通知为人员多选，通知类型中的站内信为必选项且任何配置路径都不能取消；未选择通知接收人时整块置灰并提示先选人</w:t>
            </w:r>
          </w:p>
        </w:tc>
      </w:tr>
      <w:tr>
        <w:tc>
          <w:tcPr>
            <w:tcW w:type="dxa" w:w="1474"/>
          </w:tcPr>
          <w:p>
            <w:pPr>
              <w:spacing w:before="20" w:after="20" w:line="276" w:lineRule="auto"/>
              <w:ind w:firstLine="0"/>
            </w:pPr>
            <w:r/>
            <w:r>
              <w:rPr>
                <w:rFonts w:ascii="Times New Roman" w:hAnsi="Times New Roman" w:eastAsia="宋体"/>
                <w:b w:val="0"/>
                <w:i w:val="0"/>
                <w:sz w:val="21"/>
              </w:rPr>
              <w:t>金额条件自动升级审批层级</w:t>
            </w:r>
          </w:p>
        </w:tc>
        <w:tc>
          <w:tcPr>
            <w:tcW w:type="dxa" w:w="3175"/>
          </w:tcPr>
          <w:p>
            <w:pPr>
              <w:spacing w:before="20" w:after="20" w:line="276" w:lineRule="auto"/>
              <w:ind w:firstLine="0"/>
            </w:pPr>
            <w:r/>
            <w:r>
              <w:rPr>
                <w:rFonts w:ascii="Times New Roman" w:hAnsi="Times New Roman" w:eastAsia="宋体"/>
                <w:b w:val="0"/>
                <w:i w:val="0"/>
                <w:sz w:val="21"/>
              </w:rPr>
              <w:t>按单据金额判定节点是否执行，实现大额单据自动多走一级审批</w:t>
            </w:r>
          </w:p>
        </w:tc>
        <w:tc>
          <w:tcPr>
            <w:tcW w:type="dxa" w:w="4422"/>
          </w:tcPr>
          <w:p>
            <w:pPr>
              <w:spacing w:before="20" w:after="20" w:line="276" w:lineRule="auto"/>
              <w:ind w:firstLine="0"/>
            </w:pPr>
            <w:r/>
            <w:r>
              <w:rPr>
                <w:rFonts w:ascii="Times New Roman" w:hAnsi="Times New Roman" w:eastAsia="宋体"/>
                <w:b w:val="0"/>
                <w:i w:val="0"/>
                <w:sz w:val="21"/>
              </w:rPr>
              <w:t>条件以单据金额加操作符加阈值表达，全链路金额单位统一为元；条件不满足时该节点标记为已跳过，流程继续且不视为审批通过；金额等于阈值时按操作符判定，配置为大于 100 万元时 100 万元整不命中该节点；本期条件仅支持单据金额，收敛为每节点最多 1 条金额条件</w:t>
            </w:r>
          </w:p>
        </w:tc>
      </w:tr>
      <w:tr>
        <w:tc>
          <w:tcPr>
            <w:tcW w:type="dxa" w:w="1474"/>
          </w:tcPr>
          <w:p>
            <w:pPr>
              <w:spacing w:before="20" w:after="20" w:line="276" w:lineRule="auto"/>
              <w:ind w:firstLine="0"/>
            </w:pPr>
            <w:r/>
            <w:r>
              <w:rPr>
                <w:rFonts w:ascii="Times New Roman" w:hAnsi="Times New Roman" w:eastAsia="宋体"/>
                <w:b w:val="0"/>
                <w:i w:val="0"/>
                <w:sz w:val="21"/>
              </w:rPr>
              <w:t>审批流程监控</w:t>
            </w:r>
          </w:p>
        </w:tc>
        <w:tc>
          <w:tcPr>
            <w:tcW w:type="dxa" w:w="3175"/>
          </w:tcPr>
          <w:p>
            <w:pPr>
              <w:spacing w:before="20" w:after="20" w:line="276" w:lineRule="auto"/>
              <w:ind w:firstLine="0"/>
            </w:pPr>
            <w:r/>
            <w:r>
              <w:rPr>
                <w:rFonts w:ascii="Times New Roman" w:hAnsi="Times New Roman" w:eastAsia="宋体"/>
                <w:b w:val="0"/>
                <w:i w:val="0"/>
                <w:sz w:val="21"/>
              </w:rPr>
              <w:t>以运行态视图查看在途与已完成的审批实例、提醒记录与条件求值明细</w:t>
            </w:r>
          </w:p>
        </w:tc>
        <w:tc>
          <w:tcPr>
            <w:tcW w:type="dxa" w:w="4422"/>
          </w:tcPr>
          <w:p>
            <w:pPr>
              <w:spacing w:before="20" w:after="20" w:line="276" w:lineRule="auto"/>
              <w:ind w:firstLine="0"/>
            </w:pPr>
            <w:r/>
            <w:r>
              <w:rPr>
                <w:rFonts w:ascii="Times New Roman" w:hAnsi="Times New Roman" w:eastAsia="宋体"/>
                <w:b w:val="0"/>
                <w:i w:val="0"/>
                <w:sz w:val="21"/>
              </w:rPr>
              <w:t>4 张 KPI 分别为审批实例总数、审批中、已通过、已触发审批提醒，随筛选条件联动重算；状态页签为全部、审批中、已通过、已驳回、已撤回共 5 个并带计数；筛选为单据编号、应用模块 9 项、引用流程 3 项，均为实时过滤且无查询与重置按钮；实例列表 10 列含当前节点与当前审批人，会签节点的当前审批人显示为空横线；审批提醒记录含单据、应用模块、卡在节点、提醒对象、阈值、渠道、触发时间、送达状态</w:t>
            </w:r>
          </w:p>
        </w:tc>
      </w:tr>
      <w:tr>
        <w:tc>
          <w:tcPr>
            <w:tcW w:type="dxa" w:w="1474"/>
          </w:tcPr>
          <w:p>
            <w:pPr>
              <w:spacing w:before="20" w:after="20" w:line="276" w:lineRule="auto"/>
              <w:ind w:firstLine="0"/>
            </w:pPr>
            <w:r/>
            <w:r>
              <w:rPr>
                <w:rFonts w:ascii="Times New Roman" w:hAnsi="Times New Roman" w:eastAsia="宋体"/>
                <w:b w:val="0"/>
                <w:i w:val="0"/>
                <w:sz w:val="21"/>
              </w:rPr>
              <w:t>催办与撤回</w:t>
            </w:r>
          </w:p>
        </w:tc>
        <w:tc>
          <w:tcPr>
            <w:tcW w:type="dxa" w:w="3175"/>
          </w:tcPr>
          <w:p>
            <w:pPr>
              <w:spacing w:before="20" w:after="20" w:line="276" w:lineRule="auto"/>
              <w:ind w:firstLine="0"/>
            </w:pPr>
            <w:r/>
            <w:r>
              <w:rPr>
                <w:rFonts w:ascii="Times New Roman" w:hAnsi="Times New Roman" w:eastAsia="宋体"/>
                <w:b w:val="0"/>
                <w:i w:val="0"/>
                <w:sz w:val="21"/>
              </w:rPr>
              <w:t>在监控详情抽屉中对卡住的单据发起催办或撤回申请</w:t>
            </w:r>
          </w:p>
        </w:tc>
        <w:tc>
          <w:tcPr>
            <w:tcW w:type="dxa" w:w="4422"/>
          </w:tcPr>
          <w:p>
            <w:pPr>
              <w:spacing w:before="20" w:after="20" w:line="276" w:lineRule="auto"/>
              <w:ind w:firstLine="0"/>
            </w:pPr>
            <w:r/>
            <w:r>
              <w:rPr>
                <w:rFonts w:ascii="Times New Roman" w:hAnsi="Times New Roman" w:eastAsia="宋体"/>
                <w:b w:val="0"/>
                <w:i w:val="0"/>
                <w:sz w:val="21"/>
              </w:rPr>
              <w:t>催办与撤回当前为演示交互，提交后提示已发送或已提交，不改变审批实例状态也不写回后端；撤回操作需二次确认；真实版本需接入消息网关并补齐撤回权限校验</w:t>
            </w:r>
          </w:p>
        </w:tc>
      </w:tr>
      <w:tr>
        <w:tc>
          <w:tcPr>
            <w:tcW w:type="dxa" w:w="1474"/>
          </w:tcPr>
          <w:p>
            <w:pPr>
              <w:spacing w:before="20" w:after="20" w:line="276" w:lineRule="auto"/>
              <w:ind w:firstLine="0"/>
            </w:pPr>
            <w:r/>
            <w:r>
              <w:rPr>
                <w:rFonts w:ascii="Times New Roman" w:hAnsi="Times New Roman" w:eastAsia="宋体"/>
                <w:b w:val="0"/>
                <w:i w:val="0"/>
                <w:sz w:val="21"/>
              </w:rPr>
              <w:t>业务单据审批区块</w:t>
            </w:r>
          </w:p>
        </w:tc>
        <w:tc>
          <w:tcPr>
            <w:tcW w:type="dxa" w:w="3175"/>
          </w:tcPr>
          <w:p>
            <w:pPr>
              <w:spacing w:before="20" w:after="20" w:line="276" w:lineRule="auto"/>
              <w:ind w:firstLine="0"/>
            </w:pPr>
            <w:r/>
            <w:r>
              <w:rPr>
                <w:rFonts w:ascii="Times New Roman" w:hAnsi="Times New Roman" w:eastAsia="宋体"/>
                <w:b w:val="0"/>
                <w:i w:val="0"/>
                <w:sz w:val="21"/>
              </w:rPr>
              <w:t>在已接入的业务单据详情页渲染统一审批时间线并提供审批动作</w:t>
            </w:r>
          </w:p>
        </w:tc>
        <w:tc>
          <w:tcPr>
            <w:tcW w:type="dxa" w:w="4422"/>
          </w:tcPr>
          <w:p>
            <w:pPr>
              <w:spacing w:before="20" w:after="20" w:line="276" w:lineRule="auto"/>
              <w:ind w:firstLine="0"/>
            </w:pPr>
            <w:r/>
            <w:r>
              <w:rPr>
                <w:rFonts w:ascii="Times New Roman" w:hAnsi="Times New Roman" w:eastAsia="宋体"/>
                <w:b w:val="0"/>
                <w:i w:val="0"/>
                <w:sz w:val="21"/>
              </w:rPr>
              <w:t>当前已接入并渲染时间线的业务页面共 14 个，分布在合同管理 6 个、付款管理、退款管理、追保函管理、项目准入、客户准入、货转管理 2 个与放货管理；时间线节点状态区分已通过、进行中、待开始、已跳过 4 种；审批通过与驳回按钮仅当前在办节点的审批人可用，其余用户按钮置灰并提示当前节点不是你的待办；发起人可发起撤回申请</w:t>
            </w:r>
          </w:p>
        </w:tc>
      </w:tr>
      <w:tr>
        <w:tc>
          <w:tcPr>
            <w:tcW w:type="dxa" w:w="1474"/>
          </w:tcPr>
          <w:p>
            <w:pPr>
              <w:spacing w:before="20" w:after="20" w:line="276" w:lineRule="auto"/>
              <w:ind w:firstLine="0"/>
            </w:pPr>
            <w:r/>
            <w:r>
              <w:rPr>
                <w:rFonts w:ascii="Times New Roman" w:hAnsi="Times New Roman" w:eastAsia="宋体"/>
                <w:b w:val="0"/>
                <w:i w:val="0"/>
                <w:sz w:val="21"/>
              </w:rPr>
              <w:t>配置生效范围与在途单据保护</w:t>
            </w:r>
          </w:p>
        </w:tc>
        <w:tc>
          <w:tcPr>
            <w:tcW w:type="dxa" w:w="3175"/>
          </w:tcPr>
          <w:p>
            <w:pPr>
              <w:spacing w:before="20" w:after="20" w:line="276" w:lineRule="auto"/>
              <w:ind w:firstLine="0"/>
            </w:pPr>
            <w:r/>
            <w:r>
              <w:rPr>
                <w:rFonts w:ascii="Times New Roman" w:hAnsi="Times New Roman" w:eastAsia="宋体"/>
                <w:b w:val="0"/>
                <w:i w:val="0"/>
                <w:sz w:val="21"/>
              </w:rPr>
              <w:t>明确流程配置变更对在途单据与新单据的不同影响</w:t>
            </w:r>
          </w:p>
        </w:tc>
        <w:tc>
          <w:tcPr>
            <w:tcW w:type="dxa" w:w="4422"/>
          </w:tcPr>
          <w:p>
            <w:pPr>
              <w:spacing w:before="20" w:after="20" w:line="276" w:lineRule="auto"/>
              <w:ind w:firstLine="0"/>
            </w:pPr>
            <w:r/>
            <w:r>
              <w:rPr>
                <w:rFonts w:ascii="Times New Roman" w:hAnsi="Times New Roman" w:eastAsia="宋体"/>
                <w:b w:val="0"/>
                <w:i w:val="0"/>
                <w:sz w:val="21"/>
              </w:rPr>
              <w:t>启用状态下的配置对后续新提交的单据生效；已在途单据按提交时已展开的节点序列执行，不被新配置改写；被引用的流程模板被删除时回退到标准审批流程，时间线仍可渲染，在途单据不断流</w:t>
            </w:r>
          </w:p>
        </w:tc>
      </w:tr>
      <w:tr>
        <w:tc>
          <w:tcPr>
            <w:tcW w:type="dxa" w:w="1474"/>
          </w:tcPr>
          <w:p>
            <w:pPr>
              <w:spacing w:before="20" w:after="20" w:line="276" w:lineRule="auto"/>
              <w:ind w:firstLine="0"/>
            </w:pPr>
            <w:r/>
            <w:r>
              <w:rPr>
                <w:rFonts w:ascii="Times New Roman" w:hAnsi="Times New Roman" w:eastAsia="宋体"/>
                <w:b w:val="0"/>
                <w:i w:val="0"/>
                <w:sz w:val="21"/>
              </w:rPr>
              <w:t>流程图预览与求值明细</w:t>
            </w:r>
          </w:p>
        </w:tc>
        <w:tc>
          <w:tcPr>
            <w:tcW w:type="dxa" w:w="3175"/>
          </w:tcPr>
          <w:p>
            <w:pPr>
              <w:spacing w:before="20" w:after="20" w:line="276" w:lineRule="auto"/>
              <w:ind w:firstLine="0"/>
            </w:pPr>
            <w:r/>
            <w:r>
              <w:rPr>
                <w:rFonts w:ascii="Times New Roman" w:hAnsi="Times New Roman" w:eastAsia="宋体"/>
                <w:b w:val="0"/>
                <w:i w:val="0"/>
                <w:sz w:val="21"/>
              </w:rPr>
              <w:t>在编排阶段预览流程节点时间线与条件分支求值结果</w:t>
            </w:r>
          </w:p>
        </w:tc>
        <w:tc>
          <w:tcPr>
            <w:tcW w:type="dxa" w:w="4422"/>
          </w:tcPr>
          <w:p>
            <w:pPr>
              <w:spacing w:before="20" w:after="20" w:line="276" w:lineRule="auto"/>
              <w:ind w:firstLine="0"/>
            </w:pPr>
            <w:r/>
            <w:r>
              <w:rPr>
                <w:rFonts w:ascii="Times New Roman" w:hAnsi="Times New Roman" w:eastAsia="宋体"/>
                <w:b w:val="0"/>
                <w:i w:val="0"/>
                <w:sz w:val="21"/>
              </w:rPr>
              <w:t>预览弹窗包含流程名称、节点总数、条件评估金额与条件结果；节点流转区与业务单据审批详情同款；触发条件求值明细列出节点、条件、操作符、阈值、实际值与结果，未配置条件的流程不显示该区；配置态没有真实单据，不提供金额输入框，金额使用演示基准值</w:t>
            </w:r>
          </w:p>
        </w:tc>
      </w:tr>
    </w:tbl>
    <w:p>
      <w:pPr>
        <w:spacing w:before="0" w:after="0" w:line="240" w:lineRule="auto"/>
      </w:pP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tblGrid>
      <w:tr>
        <w:trPr>
          <w:tblHeader w:val="true"/>
        </w:trPr>
        <w:tc>
          <w:tcPr>
            <w:tcW w:type="dxa" w:w="1247"/>
            <w:shd w:val="clear" w:color="auto" w:fill="DCE6F1"/>
          </w:tcPr>
          <w:p>
            <w:pPr>
              <w:spacing w:before="40" w:after="40" w:line="276" w:lineRule="auto"/>
              <w:jc w:val="center"/>
            </w:pPr>
            <w:r/>
            <w:r>
              <w:rPr>
                <w:rFonts w:ascii="Times New Roman" w:hAnsi="Times New Roman" w:eastAsia="黑体"/>
                <w:b/>
                <w:i w:val="0"/>
                <w:sz w:val="19"/>
              </w:rPr>
              <w:t>页面</w:t>
            </w:r>
          </w:p>
        </w:tc>
        <w:tc>
          <w:tcPr>
            <w:tcW w:type="dxa" w:w="1474"/>
            <w:shd w:val="clear" w:color="auto" w:fill="DCE6F1"/>
          </w:tcPr>
          <w:p>
            <w:pPr>
              <w:spacing w:before="40" w:after="40" w:line="276" w:lineRule="auto"/>
              <w:jc w:val="center"/>
            </w:pPr>
            <w:r/>
            <w:r>
              <w:rPr>
                <w:rFonts w:ascii="Times New Roman" w:hAnsi="Times New Roman" w:eastAsia="黑体"/>
                <w:b/>
                <w:i w:val="0"/>
                <w:sz w:val="19"/>
              </w:rPr>
              <w:t>文件</w:t>
            </w:r>
          </w:p>
        </w:tc>
        <w:tc>
          <w:tcPr>
            <w:tcW w:type="dxa" w:w="1134"/>
            <w:shd w:val="clear" w:color="auto" w:fill="DCE6F1"/>
          </w:tcPr>
          <w:p>
            <w:pPr>
              <w:spacing w:before="40" w:after="40" w:line="276" w:lineRule="auto"/>
              <w:jc w:val="center"/>
            </w:pPr>
            <w:r/>
            <w:r>
              <w:rPr>
                <w:rFonts w:ascii="Times New Roman" w:hAnsi="Times New Roman" w:eastAsia="黑体"/>
                <w:b/>
                <w:i w:val="0"/>
                <w:sz w:val="19"/>
              </w:rPr>
              <w:t>入口</w:t>
            </w:r>
          </w:p>
        </w:tc>
        <w:tc>
          <w:tcPr>
            <w:tcW w:type="dxa" w:w="2041"/>
            <w:shd w:val="clear" w:color="auto" w:fill="DCE6F1"/>
          </w:tcPr>
          <w:p>
            <w:pPr>
              <w:spacing w:before="40" w:after="40" w:line="276" w:lineRule="auto"/>
              <w:jc w:val="center"/>
            </w:pPr>
            <w:r/>
            <w:r>
              <w:rPr>
                <w:rFonts w:ascii="Times New Roman" w:hAnsi="Times New Roman" w:eastAsia="黑体"/>
                <w:b/>
                <w:i w:val="0"/>
                <w:sz w:val="19"/>
              </w:rPr>
              <w:t>主要区块</w:t>
            </w:r>
          </w:p>
        </w:tc>
        <w:tc>
          <w:tcPr>
            <w:tcW w:type="dxa" w:w="1701"/>
            <w:shd w:val="clear" w:color="auto" w:fill="DCE6F1"/>
          </w:tcPr>
          <w:p>
            <w:pPr>
              <w:spacing w:before="40" w:after="40" w:line="276" w:lineRule="auto"/>
              <w:jc w:val="center"/>
            </w:pPr>
            <w:r/>
            <w:r>
              <w:rPr>
                <w:rFonts w:ascii="Times New Roman" w:hAnsi="Times New Roman" w:eastAsia="黑体"/>
                <w:b/>
                <w:i w:val="0"/>
                <w:sz w:val="19"/>
              </w:rPr>
              <w:t>主要操作</w:t>
            </w:r>
          </w:p>
        </w:tc>
        <w:tc>
          <w:tcPr>
            <w:tcW w:type="dxa" w:w="1474"/>
            <w:shd w:val="clear" w:color="auto" w:fill="DCE6F1"/>
          </w:tcPr>
          <w:p>
            <w:pPr>
              <w:spacing w:before="40" w:after="40" w:line="276" w:lineRule="auto"/>
              <w:jc w:val="center"/>
            </w:pPr>
            <w:r/>
            <w:r>
              <w:rPr>
                <w:rFonts w:ascii="Times New Roman" w:hAnsi="Times New Roman" w:eastAsia="黑体"/>
                <w:b/>
                <w:i w:val="0"/>
                <w:sz w:val="19"/>
              </w:rPr>
              <w:t>跳转</w:t>
            </w:r>
          </w:p>
        </w:tc>
      </w:tr>
      <w:tr>
        <w:tc>
          <w:tcPr>
            <w:tcW w:type="dxa" w:w="1247"/>
          </w:tcPr>
          <w:p>
            <w:pPr>
              <w:spacing w:before="20" w:after="20" w:line="276" w:lineRule="auto"/>
              <w:ind w:firstLine="0"/>
            </w:pPr>
            <w:r/>
            <w:r>
              <w:rPr>
                <w:rFonts w:ascii="Times New Roman" w:hAnsi="Times New Roman" w:eastAsia="宋体"/>
                <w:b w:val="0"/>
                <w:i w:val="0"/>
                <w:sz w:val="19"/>
              </w:rPr>
              <w:t>审批流程配置</w:t>
            </w:r>
          </w:p>
        </w:tc>
        <w:tc>
          <w:tcPr>
            <w:tcW w:type="dxa" w:w="1474"/>
          </w:tcPr>
          <w:p>
            <w:pPr>
              <w:spacing w:before="20" w:after="20" w:line="276" w:lineRule="auto"/>
              <w:ind w:firstLine="0"/>
            </w:pPr>
            <w:r/>
            <w:r>
              <w:rPr>
                <w:rFonts w:ascii="Times New Roman" w:hAnsi="Times New Roman" w:eastAsia="宋体"/>
                <w:b w:val="0"/>
                <w:i w:val="0"/>
                <w:sz w:val="19"/>
              </w:rPr>
              <w:t>approval-flow-list.html</w:t>
            </w:r>
          </w:p>
        </w:tc>
        <w:tc>
          <w:tcPr>
            <w:tcW w:type="dxa" w:w="1134"/>
          </w:tcPr>
          <w:p>
            <w:pPr>
              <w:spacing w:before="20" w:after="20" w:line="276" w:lineRule="auto"/>
              <w:ind w:firstLine="0"/>
            </w:pPr>
            <w:r/>
            <w:r>
              <w:rPr>
                <w:rFonts w:ascii="Times New Roman" w:hAnsi="Times New Roman" w:eastAsia="宋体"/>
                <w:b w:val="0"/>
                <w:i w:val="0"/>
                <w:sz w:val="19"/>
              </w:rPr>
              <w:t>数字供应链 / 审批管理 / 审批流程配置</w:t>
            </w:r>
          </w:p>
        </w:tc>
        <w:tc>
          <w:tcPr>
            <w:tcW w:type="dxa" w:w="2041"/>
          </w:tcPr>
          <w:p>
            <w:pPr>
              <w:spacing w:before="20" w:after="20" w:line="276" w:lineRule="auto"/>
              <w:ind w:firstLine="0"/>
            </w:pPr>
            <w:r/>
            <w:r>
              <w:rPr>
                <w:rFonts w:ascii="Times New Roman" w:hAnsi="Times New Roman" w:eastAsia="宋体"/>
                <w:b w:val="0"/>
                <w:i w:val="0"/>
                <w:sz w:val="19"/>
              </w:rPr>
              <w:t>筛选行（流程名称、流程状态、应用模块）输入即过滤，已选条件以标签展示可单独删除或一键清除，右侧为数据导出；模板表格 7 列（流程名称、状态、节点数、流程说明、应用模块、最后修改、操作）；底部分页，每页 10、20、50 条</w:t>
            </w:r>
          </w:p>
        </w:tc>
        <w:tc>
          <w:tcPr>
            <w:tcW w:type="dxa" w:w="1701"/>
          </w:tcPr>
          <w:p>
            <w:pPr>
              <w:spacing w:before="20" w:after="20" w:line="276" w:lineRule="auto"/>
              <w:ind w:firstLine="0"/>
            </w:pPr>
            <w:r/>
            <w:r>
              <w:rPr>
                <w:rFonts w:ascii="Times New Roman" w:hAnsi="Times New Roman" w:eastAsia="宋体"/>
                <w:b w:val="0"/>
                <w:i w:val="0"/>
                <w:sz w:val="19"/>
              </w:rPr>
              <w:t>新建流程、编排、复制、启用停用、删除、数据导出；节点数不含提交申请发起节点；复制后名称带副本且状态置草稿；删除需二次确认</w:t>
            </w:r>
          </w:p>
        </w:tc>
        <w:tc>
          <w:tcPr>
            <w:tcW w:type="dxa" w:w="1474"/>
          </w:tcPr>
          <w:p>
            <w:pPr>
              <w:spacing w:before="20" w:after="20" w:line="276" w:lineRule="auto"/>
              <w:ind w:firstLine="0"/>
            </w:pPr>
            <w:r/>
            <w:r>
              <w:rPr>
                <w:rFonts w:ascii="Times New Roman" w:hAnsi="Times New Roman" w:eastAsia="宋体"/>
                <w:b w:val="0"/>
                <w:i w:val="0"/>
                <w:sz w:val="19"/>
              </w:rPr>
              <w:t>新建流程与编排均跳转流程编排画布 approval-flow-editor.html，分别进入新建态与编辑态</w:t>
            </w:r>
          </w:p>
        </w:tc>
      </w:tr>
      <w:tr>
        <w:tc>
          <w:tcPr>
            <w:tcW w:type="dxa" w:w="1247"/>
          </w:tcPr>
          <w:p>
            <w:pPr>
              <w:spacing w:before="20" w:after="20" w:line="276" w:lineRule="auto"/>
              <w:ind w:firstLine="0"/>
            </w:pPr>
            <w:r/>
            <w:r>
              <w:rPr>
                <w:rFonts w:ascii="Times New Roman" w:hAnsi="Times New Roman" w:eastAsia="宋体"/>
                <w:b w:val="0"/>
                <w:i w:val="0"/>
                <w:sz w:val="19"/>
              </w:rPr>
              <w:t>流程编排画布</w:t>
            </w:r>
          </w:p>
        </w:tc>
        <w:tc>
          <w:tcPr>
            <w:tcW w:type="dxa" w:w="1474"/>
          </w:tcPr>
          <w:p>
            <w:pPr>
              <w:spacing w:before="20" w:after="20" w:line="276" w:lineRule="auto"/>
              <w:ind w:firstLine="0"/>
            </w:pPr>
            <w:r/>
            <w:r>
              <w:rPr>
                <w:rFonts w:ascii="Times New Roman" w:hAnsi="Times New Roman" w:eastAsia="宋体"/>
                <w:b w:val="0"/>
                <w:i w:val="0"/>
                <w:sz w:val="19"/>
              </w:rPr>
              <w:t>approval-flow-editor.html</w:t>
            </w:r>
          </w:p>
        </w:tc>
        <w:tc>
          <w:tcPr>
            <w:tcW w:type="dxa" w:w="1134"/>
          </w:tcPr>
          <w:p>
            <w:pPr>
              <w:spacing w:before="20" w:after="20" w:line="276" w:lineRule="auto"/>
              <w:ind w:firstLine="0"/>
            </w:pPr>
            <w:r/>
            <w:r>
              <w:rPr>
                <w:rFonts w:ascii="Times New Roman" w:hAnsi="Times New Roman" w:eastAsia="宋体"/>
                <w:b w:val="0"/>
                <w:i w:val="0"/>
                <w:sz w:val="19"/>
              </w:rPr>
              <w:t>数字供应链 / 审批管理 / 审批流程配置 / 新建流程 或 编排</w:t>
            </w:r>
          </w:p>
        </w:tc>
        <w:tc>
          <w:tcPr>
            <w:tcW w:type="dxa" w:w="2041"/>
          </w:tcPr>
          <w:p>
            <w:pPr>
              <w:spacing w:before="20" w:after="20" w:line="276" w:lineRule="auto"/>
              <w:ind w:firstLine="0"/>
            </w:pPr>
            <w:r/>
            <w:r>
              <w:rPr>
                <w:rFonts w:ascii="Times New Roman" w:hAnsi="Times New Roman" w:eastAsia="宋体"/>
                <w:b w:val="0"/>
                <w:i w:val="0"/>
                <w:sz w:val="19"/>
              </w:rPr>
              <w:t>顶部步骤条（基础信息、流程设计）与未保存修改标记；步骤 1 基础信息区含流程名称、流程说明、流程状态与 9 项应用模块多选；步骤 2 节点画布为纵向单列，连接线上提供插入节点入口；节点卡片含序号、节点名、类型标签、条件标签、人员行与提醒行；右侧节点属性抽屉含审批方式、审批人员、触发条件、提醒规则、审批通知、通知类型与节点说明</w:t>
            </w:r>
          </w:p>
        </w:tc>
        <w:tc>
          <w:tcPr>
            <w:tcW w:type="dxa" w:w="1701"/>
          </w:tcPr>
          <w:p>
            <w:pPr>
              <w:spacing w:before="20" w:after="20" w:line="276" w:lineRule="auto"/>
              <w:ind w:firstLine="0"/>
            </w:pPr>
            <w:r/>
            <w:r>
              <w:rPr>
                <w:rFonts w:ascii="Times New Roman" w:hAnsi="Times New Roman" w:eastAsia="宋体"/>
                <w:b w:val="0"/>
                <w:i w:val="0"/>
                <w:sz w:val="19"/>
              </w:rPr>
              <w:t>下一步、上一步、保存、预览、插入节点、节点属性抽屉、节点上移下移与删除；预览弹窗展示节点时间线与条件求值明细；发起与归档节点禁用删除</w:t>
            </w:r>
          </w:p>
        </w:tc>
        <w:tc>
          <w:tcPr>
            <w:tcW w:type="dxa" w:w="1474"/>
          </w:tcPr>
          <w:p>
            <w:pPr>
              <w:spacing w:before="20" w:after="20" w:line="276" w:lineRule="auto"/>
              <w:ind w:firstLine="0"/>
            </w:pPr>
            <w:r/>
            <w:r>
              <w:rPr>
                <w:rFonts w:ascii="Times New Roman" w:hAnsi="Times New Roman" w:eastAsia="宋体"/>
                <w:b w:val="0"/>
                <w:i w:val="0"/>
                <w:sz w:val="19"/>
              </w:rPr>
              <w:t>保存成功后回到审批流程配置 approval-flow-list.html；步骤 1 校验不通过时停留在步骤 1</w:t>
            </w:r>
          </w:p>
        </w:tc>
      </w:tr>
      <w:tr>
        <w:tc>
          <w:tcPr>
            <w:tcW w:type="dxa" w:w="1247"/>
          </w:tcPr>
          <w:p>
            <w:pPr>
              <w:spacing w:before="20" w:after="20" w:line="276" w:lineRule="auto"/>
              <w:ind w:firstLine="0"/>
            </w:pPr>
            <w:r/>
            <w:r>
              <w:rPr>
                <w:rFonts w:ascii="Times New Roman" w:hAnsi="Times New Roman" w:eastAsia="宋体"/>
                <w:b w:val="0"/>
                <w:i w:val="0"/>
                <w:sz w:val="19"/>
              </w:rPr>
              <w:t>审批流程监控</w:t>
            </w:r>
          </w:p>
        </w:tc>
        <w:tc>
          <w:tcPr>
            <w:tcW w:type="dxa" w:w="1474"/>
          </w:tcPr>
          <w:p>
            <w:pPr>
              <w:spacing w:before="20" w:after="20" w:line="276" w:lineRule="auto"/>
              <w:ind w:firstLine="0"/>
            </w:pPr>
            <w:r/>
            <w:r>
              <w:rPr>
                <w:rFonts w:ascii="Times New Roman" w:hAnsi="Times New Roman" w:eastAsia="宋体"/>
                <w:b w:val="0"/>
                <w:i w:val="0"/>
                <w:sz w:val="19"/>
              </w:rPr>
              <w:t>approval-monitor.html</w:t>
            </w:r>
          </w:p>
        </w:tc>
        <w:tc>
          <w:tcPr>
            <w:tcW w:type="dxa" w:w="1134"/>
          </w:tcPr>
          <w:p>
            <w:pPr>
              <w:spacing w:before="20" w:after="20" w:line="276" w:lineRule="auto"/>
              <w:ind w:firstLine="0"/>
            </w:pPr>
            <w:r/>
            <w:r>
              <w:rPr>
                <w:rFonts w:ascii="Times New Roman" w:hAnsi="Times New Roman" w:eastAsia="宋体"/>
                <w:b w:val="0"/>
                <w:i w:val="0"/>
                <w:sz w:val="19"/>
              </w:rPr>
              <w:t>数字供应链 / 审批管理 / 审批流程监控</w:t>
            </w:r>
          </w:p>
        </w:tc>
        <w:tc>
          <w:tcPr>
            <w:tcW w:type="dxa" w:w="2041"/>
          </w:tcPr>
          <w:p>
            <w:pPr>
              <w:spacing w:before="20" w:after="20" w:line="276" w:lineRule="auto"/>
              <w:ind w:firstLine="0"/>
            </w:pPr>
            <w:r/>
            <w:r>
              <w:rPr>
                <w:rFonts w:ascii="Times New Roman" w:hAnsi="Times New Roman" w:eastAsia="宋体"/>
                <w:b w:val="0"/>
                <w:i w:val="0"/>
                <w:sz w:val="19"/>
              </w:rPr>
              <w:t>4 张 KPI 卡；5 个状态页签带计数；筛选区（单据编号、应用模块 9 项、引用流程 3 项）实时过滤；实例列表 10 列；审批提醒记录表；详情抽屉含单据摘要 9 项、审批节点流转时间线、条件分支求值明细</w:t>
            </w:r>
          </w:p>
        </w:tc>
        <w:tc>
          <w:tcPr>
            <w:tcW w:type="dxa" w:w="1701"/>
          </w:tcPr>
          <w:p>
            <w:pPr>
              <w:spacing w:before="20" w:after="20" w:line="276" w:lineRule="auto"/>
              <w:ind w:firstLine="0"/>
            </w:pPr>
            <w:r/>
            <w:r>
              <w:rPr>
                <w:rFonts w:ascii="Times New Roman" w:hAnsi="Times New Roman" w:eastAsia="宋体"/>
                <w:b w:val="0"/>
                <w:i w:val="0"/>
                <w:sz w:val="19"/>
              </w:rPr>
              <w:t>详情、催办、撤回、关闭；催办与撤回为演示交互，提交后提示已发送或已提交，不改变实例状态</w:t>
            </w:r>
          </w:p>
        </w:tc>
        <w:tc>
          <w:tcPr>
            <w:tcW w:type="dxa" w:w="1474"/>
          </w:tcPr>
          <w:p>
            <w:pPr>
              <w:spacing w:before="20" w:after="20" w:line="276" w:lineRule="auto"/>
              <w:ind w:firstLine="0"/>
            </w:pPr>
            <w:r/>
            <w:r>
              <w:rPr>
                <w:rFonts w:ascii="Times New Roman" w:hAnsi="Times New Roman" w:eastAsia="宋体"/>
                <w:b w:val="0"/>
                <w:i w:val="0"/>
                <w:sz w:val="19"/>
              </w:rPr>
              <w:t>点击详情在当前页打开右侧抽屉，不跳转新页面</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4.19.5　数据关系</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474"/>
            <w:shd w:val="clear" w:color="auto" w:fill="DCE6F1"/>
          </w:tcPr>
          <w:p>
            <w:pPr>
              <w:spacing w:before="40" w:after="40" w:line="276" w:lineRule="auto"/>
              <w:jc w:val="center"/>
            </w:pPr>
            <w:r/>
            <w:r>
              <w:rPr>
                <w:rFonts w:ascii="Times New Roman" w:hAnsi="Times New Roman" w:eastAsia="黑体"/>
                <w:b/>
                <w:i w:val="0"/>
                <w:sz w:val="21"/>
              </w:rPr>
              <w:t>业务对象</w:t>
            </w:r>
          </w:p>
        </w:tc>
        <w:tc>
          <w:tcPr>
            <w:tcW w:type="dxa" w:w="4195"/>
            <w:shd w:val="clear" w:color="auto" w:fill="DCE6F1"/>
          </w:tcPr>
          <w:p>
            <w:pPr>
              <w:spacing w:before="40" w:after="40" w:line="276" w:lineRule="auto"/>
              <w:jc w:val="center"/>
            </w:pPr>
            <w:r/>
            <w:r>
              <w:rPr>
                <w:rFonts w:ascii="Times New Roman" w:hAnsi="Times New Roman" w:eastAsia="黑体"/>
                <w:b/>
                <w:i w:val="0"/>
                <w:sz w:val="21"/>
              </w:rPr>
              <w:t>关键字段与口径</w:t>
            </w:r>
          </w:p>
        </w:tc>
        <w:tc>
          <w:tcPr>
            <w:tcW w:type="dxa" w:w="3402"/>
            <w:shd w:val="clear" w:color="auto" w:fill="DCE6F1"/>
          </w:tcPr>
          <w:p>
            <w:pPr>
              <w:spacing w:before="40" w:after="40" w:line="276" w:lineRule="auto"/>
              <w:jc w:val="center"/>
            </w:pPr>
            <w:r/>
            <w:r>
              <w:rPr>
                <w:rFonts w:ascii="Times New Roman" w:hAnsi="Times New Roman" w:eastAsia="黑体"/>
                <w:b/>
                <w:i w:val="0"/>
                <w:sz w:val="21"/>
              </w:rPr>
              <w:t>与其他对象的关系</w:t>
            </w:r>
          </w:p>
        </w:tc>
      </w:tr>
      <w:tr>
        <w:tc>
          <w:tcPr>
            <w:tcW w:type="dxa" w:w="1474"/>
          </w:tcPr>
          <w:p>
            <w:pPr>
              <w:spacing w:before="20" w:after="20" w:line="276" w:lineRule="auto"/>
              <w:ind w:firstLine="0"/>
            </w:pPr>
            <w:r/>
            <w:r>
              <w:rPr>
                <w:rFonts w:ascii="Times New Roman" w:hAnsi="Times New Roman" w:eastAsia="宋体"/>
                <w:b w:val="0"/>
                <w:i w:val="0"/>
                <w:sz w:val="21"/>
              </w:rPr>
              <w:t>流程模板</w:t>
            </w:r>
          </w:p>
        </w:tc>
        <w:tc>
          <w:tcPr>
            <w:tcW w:type="dxa" w:w="4195"/>
          </w:tcPr>
          <w:p>
            <w:pPr>
              <w:spacing w:before="20" w:after="20" w:line="276" w:lineRule="auto"/>
              <w:ind w:firstLine="0"/>
            </w:pPr>
            <w:r/>
            <w:r>
              <w:rPr>
                <w:rFonts w:ascii="Times New Roman" w:hAnsi="Times New Roman" w:eastAsia="宋体"/>
                <w:b w:val="0"/>
                <w:i w:val="0"/>
                <w:sz w:val="21"/>
              </w:rPr>
              <w:t>流程标识：内置 3 套为固定标识，新建为自动生成</w:t>
            </w:r>
            <w:r>
              <w:br/>
            </w:r>
            <w:r>
              <w:rPr>
                <w:rFonts w:ascii="Times New Roman" w:hAnsi="Times New Roman" w:eastAsia="宋体"/>
                <w:b w:val="0"/>
                <w:i w:val="0"/>
                <w:sz w:val="21"/>
              </w:rPr>
              <w:t>流程名称：必填，上限 40 字</w:t>
            </w:r>
            <w:r>
              <w:br/>
            </w:r>
            <w:r>
              <w:rPr>
                <w:rFonts w:ascii="Times New Roman" w:hAnsi="Times New Roman" w:eastAsia="宋体"/>
                <w:b w:val="0"/>
                <w:i w:val="0"/>
                <w:sz w:val="21"/>
              </w:rPr>
              <w:t>流程说明：一句话描述</w:t>
            </w:r>
            <w:r>
              <w:br/>
            </w:r>
            <w:r>
              <w:rPr>
                <w:rFonts w:ascii="Times New Roman" w:hAnsi="Times New Roman" w:eastAsia="宋体"/>
                <w:b w:val="0"/>
                <w:i w:val="0"/>
                <w:sz w:val="21"/>
              </w:rPr>
              <w:t>流程状态：草稿、启用、停用三值</w:t>
            </w:r>
            <w:r>
              <w:br/>
            </w:r>
            <w:r>
              <w:rPr>
                <w:rFonts w:ascii="Times New Roman" w:hAnsi="Times New Roman" w:eastAsia="宋体"/>
                <w:b w:val="0"/>
                <w:i w:val="0"/>
                <w:sz w:val="21"/>
              </w:rPr>
              <w:t>适用应用模块：数组，至少 1 项，取值来自 9 项应用模块字典</w:t>
            </w:r>
            <w:r>
              <w:br/>
            </w:r>
            <w:r>
              <w:rPr>
                <w:rFonts w:ascii="Times New Roman" w:hAnsi="Times New Roman" w:eastAsia="宋体"/>
                <w:b w:val="0"/>
                <w:i w:val="0"/>
                <w:sz w:val="21"/>
              </w:rPr>
              <w:t>节点列表：数组，保存时全量校验</w:t>
            </w:r>
            <w:r>
              <w:br/>
            </w:r>
            <w:r>
              <w:rPr>
                <w:rFonts w:ascii="Times New Roman" w:hAnsi="Times New Roman" w:eastAsia="宋体"/>
                <w:b w:val="0"/>
                <w:i w:val="0"/>
                <w:sz w:val="21"/>
              </w:rPr>
              <w:t>最后修改：保存时自动写入修改人与修改时间</w:t>
            </w:r>
          </w:p>
        </w:tc>
        <w:tc>
          <w:tcPr>
            <w:tcW w:type="dxa" w:w="3402"/>
          </w:tcPr>
          <w:p>
            <w:pPr>
              <w:spacing w:before="20" w:after="20" w:line="276" w:lineRule="auto"/>
              <w:ind w:firstLine="0"/>
            </w:pPr>
            <w:r/>
            <w:r>
              <w:rPr>
                <w:rFonts w:ascii="Times New Roman" w:hAnsi="Times New Roman" w:eastAsia="宋体"/>
                <w:b w:val="0"/>
                <w:i w:val="0"/>
                <w:sz w:val="21"/>
              </w:rPr>
              <w:t>一个流程模板包含多个审批节点；业务单据按页面映射引用流程模板</w:t>
            </w:r>
          </w:p>
        </w:tc>
      </w:tr>
      <w:tr>
        <w:tc>
          <w:tcPr>
            <w:tcW w:type="dxa" w:w="1474"/>
          </w:tcPr>
          <w:p>
            <w:pPr>
              <w:spacing w:before="20" w:after="20" w:line="276" w:lineRule="auto"/>
              <w:ind w:firstLine="0"/>
            </w:pPr>
            <w:r/>
            <w:r>
              <w:rPr>
                <w:rFonts w:ascii="Times New Roman" w:hAnsi="Times New Roman" w:eastAsia="宋体"/>
                <w:b w:val="0"/>
                <w:i w:val="0"/>
                <w:sz w:val="21"/>
              </w:rPr>
              <w:t>审批节点</w:t>
            </w:r>
          </w:p>
        </w:tc>
        <w:tc>
          <w:tcPr>
            <w:tcW w:type="dxa" w:w="4195"/>
          </w:tcPr>
          <w:p>
            <w:pPr>
              <w:spacing w:before="20" w:after="20" w:line="276" w:lineRule="auto"/>
              <w:ind w:firstLine="0"/>
            </w:pPr>
            <w:r/>
            <w:r>
              <w:rPr>
                <w:rFonts w:ascii="Times New Roman" w:hAnsi="Times New Roman" w:eastAsia="宋体"/>
                <w:b w:val="0"/>
                <w:i w:val="0"/>
                <w:sz w:val="21"/>
              </w:rPr>
              <w:t>节点类型：提交申请、审批节点、归档完成；提交与归档为系统节点不可删除</w:t>
            </w:r>
            <w:r>
              <w:br/>
            </w:r>
            <w:r>
              <w:rPr>
                <w:rFonts w:ascii="Times New Roman" w:hAnsi="Times New Roman" w:eastAsia="宋体"/>
                <w:b w:val="0"/>
                <w:i w:val="0"/>
                <w:sz w:val="21"/>
              </w:rPr>
              <w:t>审批方式：串行审批或并行会签，互斥单选</w:t>
            </w:r>
            <w:r>
              <w:br/>
            </w:r>
            <w:r>
              <w:rPr>
                <w:rFonts w:ascii="Times New Roman" w:hAnsi="Times New Roman" w:eastAsia="宋体"/>
                <w:b w:val="0"/>
                <w:i w:val="0"/>
                <w:sz w:val="21"/>
              </w:rPr>
              <w:t>审批人员：串行 1 名，会签至少 1 名且不可重复</w:t>
            </w:r>
            <w:r>
              <w:br/>
            </w:r>
            <w:r>
              <w:rPr>
                <w:rFonts w:ascii="Times New Roman" w:hAnsi="Times New Roman" w:eastAsia="宋体"/>
                <w:b w:val="0"/>
                <w:i w:val="0"/>
                <w:sz w:val="21"/>
              </w:rPr>
              <w:t>触发条件：单据金额加操作符加阈值，每节点最多 1 条且仅串行可配</w:t>
            </w:r>
            <w:r>
              <w:br/>
            </w:r>
            <w:r>
              <w:rPr>
                <w:rFonts w:ascii="Times New Roman" w:hAnsi="Times New Roman" w:eastAsia="宋体"/>
                <w:b w:val="0"/>
                <w:i w:val="0"/>
                <w:sz w:val="21"/>
              </w:rPr>
              <w:t>提醒规则：开启开关加 1 至 720 小时</w:t>
            </w:r>
            <w:r>
              <w:br/>
            </w:r>
            <w:r>
              <w:rPr>
                <w:rFonts w:ascii="Times New Roman" w:hAnsi="Times New Roman" w:eastAsia="宋体"/>
                <w:b w:val="0"/>
                <w:i w:val="0"/>
                <w:sz w:val="21"/>
              </w:rPr>
              <w:t>审批通知：人员多选，节点审批通过后通知</w:t>
            </w:r>
            <w:r>
              <w:br/>
            </w:r>
            <w:r>
              <w:rPr>
                <w:rFonts w:ascii="Times New Roman" w:hAnsi="Times New Roman" w:eastAsia="宋体"/>
                <w:b w:val="0"/>
                <w:i w:val="0"/>
                <w:sz w:val="21"/>
              </w:rPr>
              <w:t>通知类型：站内信为必选且不可取消，另可选短信提醒</w:t>
            </w:r>
            <w:r>
              <w:br/>
            </w:r>
            <w:r>
              <w:rPr>
                <w:rFonts w:ascii="Times New Roman" w:hAnsi="Times New Roman" w:eastAsia="宋体"/>
                <w:b w:val="0"/>
                <w:i w:val="0"/>
                <w:sz w:val="21"/>
              </w:rPr>
              <w:t>节点说明：给审批人的提示语</w:t>
            </w:r>
          </w:p>
        </w:tc>
        <w:tc>
          <w:tcPr>
            <w:tcW w:type="dxa" w:w="3402"/>
          </w:tcPr>
          <w:p>
            <w:pPr>
              <w:spacing w:before="20" w:after="20" w:line="276" w:lineRule="auto"/>
              <w:ind w:firstLine="0"/>
            </w:pPr>
            <w:r/>
            <w:r>
              <w:rPr>
                <w:rFonts w:ascii="Times New Roman" w:hAnsi="Times New Roman" w:eastAsia="宋体"/>
                <w:b w:val="0"/>
                <w:i w:val="0"/>
                <w:sz w:val="21"/>
              </w:rPr>
              <w:t>从属于流程模板；是提醒记录与通知对象的触发源</w:t>
            </w:r>
          </w:p>
        </w:tc>
      </w:tr>
      <w:tr>
        <w:tc>
          <w:tcPr>
            <w:tcW w:type="dxa" w:w="1474"/>
          </w:tcPr>
          <w:p>
            <w:pPr>
              <w:spacing w:before="20" w:after="20" w:line="276" w:lineRule="auto"/>
              <w:ind w:firstLine="0"/>
            </w:pPr>
            <w:r/>
            <w:r>
              <w:rPr>
                <w:rFonts w:ascii="Times New Roman" w:hAnsi="Times New Roman" w:eastAsia="宋体"/>
                <w:b w:val="0"/>
                <w:i w:val="0"/>
                <w:sz w:val="21"/>
              </w:rPr>
              <w:t>审批实例</w:t>
            </w:r>
          </w:p>
        </w:tc>
        <w:tc>
          <w:tcPr>
            <w:tcW w:type="dxa" w:w="4195"/>
          </w:tcPr>
          <w:p>
            <w:pPr>
              <w:spacing w:before="20" w:after="20" w:line="276" w:lineRule="auto"/>
              <w:ind w:firstLine="0"/>
            </w:pPr>
            <w:r/>
            <w:r>
              <w:rPr>
                <w:rFonts w:ascii="Times New Roman" w:hAnsi="Times New Roman" w:eastAsia="宋体"/>
                <w:b w:val="0"/>
                <w:i w:val="0"/>
                <w:sz w:val="21"/>
              </w:rPr>
              <w:t>单据编号：业务单据标识</w:t>
            </w:r>
            <w:r>
              <w:br/>
            </w:r>
            <w:r>
              <w:rPr>
                <w:rFonts w:ascii="Times New Roman" w:hAnsi="Times New Roman" w:eastAsia="宋体"/>
                <w:b w:val="0"/>
                <w:i w:val="0"/>
                <w:sz w:val="21"/>
              </w:rPr>
              <w:t>应用模块：取值来自应用模块字典</w:t>
            </w:r>
            <w:r>
              <w:br/>
            </w:r>
            <w:r>
              <w:rPr>
                <w:rFonts w:ascii="Times New Roman" w:hAnsi="Times New Roman" w:eastAsia="宋体"/>
                <w:b w:val="0"/>
                <w:i w:val="0"/>
                <w:sz w:val="21"/>
              </w:rPr>
              <w:t>引用流程：该实例实际引用的模板名</w:t>
            </w:r>
            <w:r>
              <w:br/>
            </w:r>
            <w:r>
              <w:rPr>
                <w:rFonts w:ascii="Times New Roman" w:hAnsi="Times New Roman" w:eastAsia="宋体"/>
                <w:b w:val="0"/>
                <w:i w:val="0"/>
                <w:sz w:val="21"/>
              </w:rPr>
              <w:t>单据金额：单位统一为元，是条件分支求值依据</w:t>
            </w:r>
            <w:r>
              <w:br/>
            </w:r>
            <w:r>
              <w:rPr>
                <w:rFonts w:ascii="Times New Roman" w:hAnsi="Times New Roman" w:eastAsia="宋体"/>
                <w:b w:val="0"/>
                <w:i w:val="0"/>
                <w:sz w:val="21"/>
              </w:rPr>
              <w:t>发起人、提交时间、已耗时：运行态信息</w:t>
            </w:r>
            <w:r>
              <w:br/>
            </w:r>
            <w:r>
              <w:rPr>
                <w:rFonts w:ascii="Times New Roman" w:hAnsi="Times New Roman" w:eastAsia="宋体"/>
                <w:b w:val="0"/>
                <w:i w:val="0"/>
                <w:sz w:val="21"/>
              </w:rPr>
              <w:t>当前节点与当前审批人：由节点序列与实例状态推导</w:t>
            </w:r>
            <w:r>
              <w:br/>
            </w:r>
            <w:r>
              <w:rPr>
                <w:rFonts w:ascii="Times New Roman" w:hAnsi="Times New Roman" w:eastAsia="宋体"/>
                <w:b w:val="0"/>
                <w:i w:val="0"/>
                <w:sz w:val="21"/>
              </w:rPr>
              <w:t>状态：审批中、已通过、已驳回、已撤回</w:t>
            </w:r>
          </w:p>
        </w:tc>
        <w:tc>
          <w:tcPr>
            <w:tcW w:type="dxa" w:w="3402"/>
          </w:tcPr>
          <w:p>
            <w:pPr>
              <w:spacing w:before="20" w:after="20" w:line="276" w:lineRule="auto"/>
              <w:ind w:firstLine="0"/>
            </w:pPr>
            <w:r/>
            <w:r>
              <w:rPr>
                <w:rFonts w:ascii="Times New Roman" w:hAnsi="Times New Roman" w:eastAsia="宋体"/>
                <w:b w:val="0"/>
                <w:i w:val="0"/>
                <w:sz w:val="21"/>
              </w:rPr>
              <w:t>由业务单据按页面映射展开模板产生；一条实例可触发多条提醒记录</w:t>
            </w:r>
          </w:p>
        </w:tc>
      </w:tr>
      <w:tr>
        <w:tc>
          <w:tcPr>
            <w:tcW w:type="dxa" w:w="1474"/>
          </w:tcPr>
          <w:p>
            <w:pPr>
              <w:spacing w:before="20" w:after="20" w:line="276" w:lineRule="auto"/>
              <w:ind w:firstLine="0"/>
            </w:pPr>
            <w:r/>
            <w:r>
              <w:rPr>
                <w:rFonts w:ascii="Times New Roman" w:hAnsi="Times New Roman" w:eastAsia="宋体"/>
                <w:b w:val="0"/>
                <w:i w:val="0"/>
                <w:sz w:val="21"/>
              </w:rPr>
              <w:t>审批提醒记录</w:t>
            </w:r>
          </w:p>
        </w:tc>
        <w:tc>
          <w:tcPr>
            <w:tcW w:type="dxa" w:w="4195"/>
          </w:tcPr>
          <w:p>
            <w:pPr>
              <w:spacing w:before="20" w:after="20" w:line="276" w:lineRule="auto"/>
              <w:ind w:firstLine="0"/>
            </w:pPr>
            <w:r/>
            <w:r>
              <w:rPr>
                <w:rFonts w:ascii="Times New Roman" w:hAnsi="Times New Roman" w:eastAsia="宋体"/>
                <w:b w:val="0"/>
                <w:i w:val="0"/>
                <w:sz w:val="21"/>
              </w:rPr>
              <w:t>关联单据与所属应用模块</w:t>
            </w:r>
            <w:r>
              <w:br/>
            </w:r>
            <w:r>
              <w:rPr>
                <w:rFonts w:ascii="Times New Roman" w:hAnsi="Times New Roman" w:eastAsia="宋体"/>
                <w:b w:val="0"/>
                <w:i w:val="0"/>
                <w:sz w:val="21"/>
              </w:rPr>
              <w:t>卡在节点与提醒对象</w:t>
            </w:r>
            <w:r>
              <w:br/>
            </w:r>
            <w:r>
              <w:rPr>
                <w:rFonts w:ascii="Times New Roman" w:hAnsi="Times New Roman" w:eastAsia="宋体"/>
                <w:b w:val="0"/>
                <w:i w:val="0"/>
                <w:sz w:val="21"/>
              </w:rPr>
              <w:t>提醒阈值与推送渠道</w:t>
            </w:r>
            <w:r>
              <w:br/>
            </w:r>
            <w:r>
              <w:rPr>
                <w:rFonts w:ascii="Times New Roman" w:hAnsi="Times New Roman" w:eastAsia="宋体"/>
                <w:b w:val="0"/>
                <w:i w:val="0"/>
                <w:sz w:val="21"/>
              </w:rPr>
              <w:t>触发时间与送达状态</w:t>
            </w:r>
          </w:p>
        </w:tc>
        <w:tc>
          <w:tcPr>
            <w:tcW w:type="dxa" w:w="3402"/>
          </w:tcPr>
          <w:p>
            <w:pPr>
              <w:spacing w:before="20" w:after="20" w:line="276" w:lineRule="auto"/>
              <w:ind w:firstLine="0"/>
            </w:pPr>
            <w:r/>
            <w:r>
              <w:rPr>
                <w:rFonts w:ascii="Times New Roman" w:hAnsi="Times New Roman" w:eastAsia="宋体"/>
                <w:b w:val="0"/>
                <w:i w:val="0"/>
                <w:sz w:val="21"/>
              </w:rPr>
              <w:t>从属于审批实例；仅展示当前筛选范围内实例的提醒记录</w:t>
            </w:r>
          </w:p>
        </w:tc>
      </w:tr>
      <w:tr>
        <w:tc>
          <w:tcPr>
            <w:tcW w:type="dxa" w:w="1474"/>
          </w:tcPr>
          <w:p>
            <w:pPr>
              <w:spacing w:before="20" w:after="20" w:line="276" w:lineRule="auto"/>
              <w:ind w:firstLine="0"/>
            </w:pPr>
            <w:r/>
            <w:r>
              <w:rPr>
                <w:rFonts w:ascii="Times New Roman" w:hAnsi="Times New Roman" w:eastAsia="宋体"/>
                <w:b w:val="0"/>
                <w:i w:val="0"/>
                <w:sz w:val="21"/>
              </w:rPr>
              <w:t>审批通知对象</w:t>
            </w:r>
          </w:p>
        </w:tc>
        <w:tc>
          <w:tcPr>
            <w:tcW w:type="dxa" w:w="4195"/>
          </w:tcPr>
          <w:p>
            <w:pPr>
              <w:spacing w:before="20" w:after="20" w:line="276" w:lineRule="auto"/>
              <w:ind w:firstLine="0"/>
            </w:pPr>
            <w:r/>
            <w:r>
              <w:rPr>
                <w:rFonts w:ascii="Times New Roman" w:hAnsi="Times New Roman" w:eastAsia="宋体"/>
                <w:b w:val="0"/>
                <w:i w:val="0"/>
                <w:sz w:val="21"/>
              </w:rPr>
              <w:t>通知人员：节点审批通过后知会的人员</w:t>
            </w:r>
            <w:r>
              <w:br/>
            </w:r>
            <w:r>
              <w:rPr>
                <w:rFonts w:ascii="Times New Roman" w:hAnsi="Times New Roman" w:eastAsia="宋体"/>
                <w:b w:val="0"/>
                <w:i w:val="0"/>
                <w:sz w:val="21"/>
              </w:rPr>
              <w:t>通知类型：站内信与短信提醒</w:t>
            </w:r>
            <w:r>
              <w:br/>
            </w:r>
            <w:r>
              <w:rPr>
                <w:rFonts w:ascii="Times New Roman" w:hAnsi="Times New Roman" w:eastAsia="宋体"/>
                <w:b w:val="0"/>
                <w:i w:val="0"/>
                <w:sz w:val="21"/>
              </w:rPr>
              <w:t>通知结果记录：用于审批留痕</w:t>
            </w:r>
          </w:p>
        </w:tc>
        <w:tc>
          <w:tcPr>
            <w:tcW w:type="dxa" w:w="3402"/>
          </w:tcPr>
          <w:p>
            <w:pPr>
              <w:spacing w:before="20" w:after="20" w:line="276" w:lineRule="auto"/>
              <w:ind w:firstLine="0"/>
            </w:pPr>
            <w:r/>
            <w:r>
              <w:rPr>
                <w:rFonts w:ascii="Times New Roman" w:hAnsi="Times New Roman" w:eastAsia="宋体"/>
                <w:b w:val="0"/>
                <w:i w:val="0"/>
                <w:sz w:val="21"/>
              </w:rPr>
              <w:t>从属于审批节点；审批通过后必定产生一条站内信记录</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4.19.6　角色权限与数据权限</w:t>
      </w:r>
    </w:p>
    <w:p>
      <w:pPr>
        <w:spacing w:before="0" w:after="120" w:line="360" w:lineRule="auto"/>
      </w:pPr>
      <w:r>
        <w:rPr>
          <w:rFonts w:ascii="Times New Roman" w:hAnsi="Times New Roman" w:eastAsia="宋体"/>
          <w:b w:val="0"/>
          <w:i w:val="0"/>
          <w:sz w:val="24"/>
        </w:rPr>
        <w:t>本期为系统全量权限（业务方裁决 D17）；下表角色为典型使用角色，非权限分级。模块内存在明确的可见性与可用性差异：草稿状态流程模板仅创建人可见，启用与停用模板全平台可见；审批通过与驳回按钮仅当前在办节点的审批人可用，无审批权用户打开待办节点时按钮置灰并提示当前节点不是你的待办；无配置权限访问配置页时菜单不展示，直接访问路由提示无权限访问并跳回可访问页面。</w:t>
      </w:r>
    </w:p>
    <w:p>
      <w:pPr>
        <w:spacing w:before="0" w:after="80" w:line="360" w:lineRule="auto"/>
      </w:pPr>
      <w:r>
        <w:rPr>
          <w:rFonts w:ascii="Times New Roman" w:hAnsi="Times New Roman" w:eastAsia="宋体"/>
          <w:b w:val="0"/>
          <w:i w:val="0"/>
          <w:sz w:val="24"/>
        </w:rPr>
        <w:t>数据可见性：按单据归属与业务筛选查看；手机号、统一社会信用代码等敏感字段默认打码，手动点击查看完整值且查看行为留痕。</w:t>
      </w:r>
    </w:p>
    <w:p>
      <w:pPr>
        <w:pStyle w:val="Heading3"/>
        <w:keepNext/>
        <w:spacing w:before="160" w:after="80" w:line="312" w:lineRule="auto"/>
        <w:ind w:firstLine="0"/>
      </w:pPr>
      <w:r>
        <w:rPr>
          <w:rFonts w:ascii="Times New Roman" w:hAnsi="Times New Roman" w:eastAsia="黑体"/>
          <w:b/>
          <w:i w:val="0"/>
          <w:sz w:val="24"/>
        </w:rPr>
        <w:t>4.19.7　业务流程与页面</w:t>
      </w:r>
    </w:p>
    <w:p>
      <w:pPr>
        <w:spacing w:before="120" w:after="60"/>
        <w:ind w:firstLine="0"/>
        <w:jc w:val="center"/>
      </w:pPr>
      <w:r>
        <w:drawing>
          <wp:inline xmlns:a="http://schemas.openxmlformats.org/drawingml/2006/main" xmlns:pic="http://schemas.openxmlformats.org/drawingml/2006/picture">
            <wp:extent cx="5616000" cy="1484690"/>
            <wp:docPr id="37" name="Picture 37"/>
            <wp:cNvGraphicFramePr>
              <a:graphicFrameLocks noChangeAspect="1"/>
            </wp:cNvGraphicFramePr>
            <a:graphic>
              <a:graphicData uri="http://schemas.openxmlformats.org/drawingml/2006/picture">
                <pic:pic>
                  <pic:nvPicPr>
                    <pic:cNvPr id="0" name="mermaid-approval.png"/>
                    <pic:cNvPicPr/>
                  </pic:nvPicPr>
                  <pic:blipFill>
                    <a:blip r:embed="rId47"/>
                    <a:stretch>
                      <a:fillRect/>
                    </a:stretch>
                  </pic:blipFill>
                  <pic:spPr>
                    <a:xfrm>
                      <a:off x="0" y="0"/>
                      <a:ext cx="5616000" cy="1484690"/>
                    </a:xfrm>
                    <a:prstGeom prst="rect"/>
                  </pic:spPr>
                </pic:pic>
              </a:graphicData>
            </a:graphic>
          </wp:inline>
        </w:drawing>
      </w:r>
    </w:p>
    <w:p>
      <w:pPr>
        <w:spacing w:before="0" w:after="200" w:line="240" w:lineRule="auto"/>
        <w:ind w:firstLine="0"/>
        <w:jc w:val="center"/>
      </w:pPr>
      <w:r>
        <w:rPr>
          <w:rFonts w:ascii="Times New Roman" w:hAnsi="Times New Roman" w:eastAsia="宋体"/>
          <w:b w:val="0"/>
          <w:i w:val="0"/>
          <w:sz w:val="21"/>
        </w:rPr>
        <w:t>图 4-19-1　审批管理 主业务流程</w:t>
      </w:r>
    </w:p>
    <w:p>
      <w:pPr>
        <w:spacing w:before="0" w:after="60" w:line="360" w:lineRule="auto"/>
      </w:pPr>
      <w:r>
        <w:rPr>
          <w:rFonts w:ascii="Times New Roman" w:hAnsi="Times New Roman" w:eastAsia="宋体"/>
          <w:b/>
          <w:i w:val="0"/>
          <w:sz w:val="24"/>
        </w:rPr>
        <w:t>主流程步骤：</w:t>
      </w:r>
    </w:p>
    <w:p>
      <w:pPr>
        <w:spacing w:before="0" w:after="60" w:line="336" w:lineRule="auto"/>
        <w:ind w:left="510" w:hanging="510"/>
      </w:pPr>
      <w:r>
        <w:rPr>
          <w:rFonts w:ascii="Times New Roman" w:hAnsi="Times New Roman" w:eastAsia="宋体"/>
          <w:b w:val="0"/>
          <w:i w:val="0"/>
          <w:sz w:val="24"/>
        </w:rPr>
        <w:t>1. 平台管理员新建或复制一份流程模板，进入编排画布</w:t>
      </w:r>
    </w:p>
    <w:p>
      <w:pPr>
        <w:spacing w:before="0" w:after="60" w:line="336" w:lineRule="auto"/>
        <w:ind w:left="510" w:hanging="510"/>
      </w:pPr>
      <w:r>
        <w:rPr>
          <w:rFonts w:ascii="Times New Roman" w:hAnsi="Times New Roman" w:eastAsia="宋体"/>
          <w:b w:val="0"/>
          <w:i w:val="0"/>
          <w:sz w:val="24"/>
        </w:rPr>
        <w:t>2. 步骤 1 填写流程名称、说明、状态并勾选适用应用模块，至少选择 1 项</w:t>
      </w:r>
    </w:p>
    <w:p>
      <w:pPr>
        <w:spacing w:before="0" w:after="60" w:line="336" w:lineRule="auto"/>
        <w:ind w:left="510" w:hanging="510"/>
      </w:pPr>
      <w:r>
        <w:rPr>
          <w:rFonts w:ascii="Times New Roman" w:hAnsi="Times New Roman" w:eastAsia="宋体"/>
          <w:b w:val="0"/>
          <w:i w:val="0"/>
          <w:sz w:val="24"/>
        </w:rPr>
        <w:t>3. 步骤 2 在画布上插入审批节点，逐一配置审批方式、审批人员、金额条件、提醒规则与审批通知</w:t>
      </w:r>
    </w:p>
    <w:p>
      <w:pPr>
        <w:spacing w:before="0" w:after="60" w:line="336" w:lineRule="auto"/>
        <w:ind w:left="510" w:hanging="510"/>
      </w:pPr>
      <w:r>
        <w:rPr>
          <w:rFonts w:ascii="Times New Roman" w:hAnsi="Times New Roman" w:eastAsia="宋体"/>
          <w:b w:val="0"/>
          <w:i w:val="0"/>
          <w:sz w:val="24"/>
        </w:rPr>
        <w:t>4. 保存时执行节点级校验，全部通过后模板入库并可启用</w:t>
      </w:r>
    </w:p>
    <w:p>
      <w:pPr>
        <w:spacing w:before="0" w:after="60" w:line="336" w:lineRule="auto"/>
        <w:ind w:left="510" w:hanging="510"/>
      </w:pPr>
      <w:r>
        <w:rPr>
          <w:rFonts w:ascii="Times New Roman" w:hAnsi="Times New Roman" w:eastAsia="宋体"/>
          <w:b w:val="0"/>
          <w:i w:val="0"/>
          <w:sz w:val="24"/>
        </w:rPr>
        <w:t>5. 业务人员在业务单据详情页提交单据，系统按页面映射取出流程模板并展开为本次节点序列</w:t>
      </w:r>
    </w:p>
    <w:p>
      <w:pPr>
        <w:spacing w:before="0" w:after="60" w:line="336" w:lineRule="auto"/>
        <w:ind w:left="510" w:hanging="510"/>
      </w:pPr>
      <w:r>
        <w:rPr>
          <w:rFonts w:ascii="Times New Roman" w:hAnsi="Times New Roman" w:eastAsia="宋体"/>
          <w:b w:val="0"/>
          <w:i w:val="0"/>
          <w:sz w:val="24"/>
        </w:rPr>
        <w:t>6. 系统对每个节点的金额条件求值，命中则派发待办，不命中则该节点标记已跳过并继续流程</w:t>
      </w:r>
    </w:p>
    <w:p>
      <w:pPr>
        <w:spacing w:before="0" w:after="60" w:line="336" w:lineRule="auto"/>
        <w:ind w:left="510" w:hanging="510"/>
      </w:pPr>
      <w:r>
        <w:rPr>
          <w:rFonts w:ascii="Times New Roman" w:hAnsi="Times New Roman" w:eastAsia="宋体"/>
          <w:b w:val="0"/>
          <w:i w:val="0"/>
          <w:sz w:val="24"/>
        </w:rPr>
        <w:t>7. 审批人在单据详情页或监控抽屉处理待办节点，会签节点需全部成员通过才进入下一节点</w:t>
      </w:r>
    </w:p>
    <w:p>
      <w:pPr>
        <w:spacing w:before="0" w:after="60" w:line="336" w:lineRule="auto"/>
        <w:ind w:left="510" w:hanging="510"/>
      </w:pPr>
      <w:r>
        <w:rPr>
          <w:rFonts w:ascii="Times New Roman" w:hAnsi="Times New Roman" w:eastAsia="宋体"/>
          <w:b w:val="0"/>
          <w:i w:val="0"/>
          <w:sz w:val="24"/>
        </w:rPr>
        <w:t>8. 审批通过后按节点配置发送审批通知，产生站内信记录；驳回则流程终止为已驳回</w:t>
      </w:r>
    </w:p>
    <w:p>
      <w:pPr>
        <w:spacing w:before="0" w:after="60" w:line="336" w:lineRule="auto"/>
        <w:ind w:left="510" w:hanging="510"/>
      </w:pPr>
      <w:r>
        <w:rPr>
          <w:rFonts w:ascii="Times New Roman" w:hAnsi="Times New Roman" w:eastAsia="宋体"/>
          <w:b w:val="0"/>
          <w:i w:val="0"/>
          <w:sz w:val="24"/>
        </w:rPr>
        <w:t>9. 全部节点完成后流程归档完成，审批实例状态变为已通过</w:t>
      </w:r>
    </w:p>
    <w:p>
      <w:pPr>
        <w:spacing w:before="0" w:after="60" w:line="336" w:lineRule="auto"/>
        <w:ind w:left="510" w:hanging="510"/>
      </w:pPr>
      <w:r>
        <w:rPr>
          <w:rFonts w:ascii="Times New Roman" w:hAnsi="Times New Roman" w:eastAsia="宋体"/>
          <w:b w:val="0"/>
          <w:i w:val="0"/>
          <w:sz w:val="24"/>
        </w:rPr>
        <w:t>10. 平台运营在监控页查看在途单据的当前节点与当前审批人，对卡住单据发起催办或撤回</w:t>
      </w:r>
    </w:p>
    <w:p>
      <w:pPr>
        <w:spacing w:before="120" w:after="60" w:line="360" w:lineRule="auto"/>
      </w:pPr>
      <w:r>
        <w:rPr>
          <w:rFonts w:ascii="Times New Roman" w:hAnsi="Times New Roman" w:eastAsia="宋体"/>
          <w:b/>
          <w:i w:val="0"/>
          <w:sz w:val="24"/>
        </w:rPr>
        <w:t>异常分支：</w:t>
      </w:r>
    </w:p>
    <w:tbl>
      <w:tblPr>
        <w:tblStyle w:val="TableGrid"/>
        <w:tblW w:type="auto" w:w="0"/>
        <w:jc w:val="center"/>
        <w:tblLayout w:type="fixed"/>
        <w:tblLook w:firstColumn="1" w:firstRow="1" w:lastColumn="0" w:lastRow="0" w:noHBand="0" w:noVBand="1" w:val="04A0"/>
      </w:tblPr>
      <w:tblGrid>
        <w:gridCol w:w="4479"/>
        <w:gridCol w:w="4479"/>
      </w:tblGrid>
      <w:tr>
        <w:trPr>
          <w:tblHeader w:val="true"/>
        </w:trPr>
        <w:tc>
          <w:tcPr>
            <w:tcW w:type="dxa" w:w="2835"/>
            <w:shd w:val="clear" w:color="auto" w:fill="DCE6F1"/>
          </w:tcPr>
          <w:p>
            <w:pPr>
              <w:spacing w:before="40" w:after="40" w:line="276" w:lineRule="auto"/>
              <w:jc w:val="center"/>
            </w:pPr>
            <w:r/>
            <w:r>
              <w:rPr>
                <w:rFonts w:ascii="Times New Roman" w:hAnsi="Times New Roman" w:eastAsia="黑体"/>
                <w:b/>
                <w:i w:val="0"/>
                <w:sz w:val="21"/>
              </w:rPr>
              <w:t>异常场景</w:t>
            </w:r>
          </w:p>
        </w:tc>
        <w:tc>
          <w:tcPr>
            <w:tcW w:type="dxa" w:w="6236"/>
            <w:shd w:val="clear" w:color="auto" w:fill="DCE6F1"/>
          </w:tcPr>
          <w:p>
            <w:pPr>
              <w:spacing w:before="40" w:after="40" w:line="276" w:lineRule="auto"/>
              <w:jc w:val="center"/>
            </w:pPr>
            <w:r/>
            <w:r>
              <w:rPr>
                <w:rFonts w:ascii="Times New Roman" w:hAnsi="Times New Roman" w:eastAsia="黑体"/>
                <w:b/>
                <w:i w:val="0"/>
                <w:sz w:val="21"/>
              </w:rPr>
              <w:t>系统处理</w:t>
            </w:r>
          </w:p>
        </w:tc>
      </w:tr>
      <w:tr>
        <w:tc>
          <w:tcPr>
            <w:tcW w:type="dxa" w:w="2835"/>
          </w:tcPr>
          <w:p>
            <w:pPr>
              <w:spacing w:before="20" w:after="20" w:line="276" w:lineRule="auto"/>
              <w:ind w:firstLine="0"/>
            </w:pPr>
            <w:r/>
            <w:r>
              <w:rPr>
                <w:rFonts w:ascii="Times New Roman" w:hAnsi="Times New Roman" w:eastAsia="宋体"/>
                <w:b w:val="0"/>
                <w:i w:val="0"/>
                <w:sz w:val="21"/>
              </w:rPr>
              <w:t>新建流程时流程名称为空或应用模块未选</w:t>
            </w:r>
          </w:p>
        </w:tc>
        <w:tc>
          <w:tcPr>
            <w:tcW w:type="dxa" w:w="6236"/>
          </w:tcPr>
          <w:p>
            <w:pPr>
              <w:spacing w:before="20" w:after="20" w:line="276" w:lineRule="auto"/>
              <w:ind w:firstLine="0"/>
            </w:pPr>
            <w:r/>
            <w:r>
              <w:rPr>
                <w:rFonts w:ascii="Times New Roman" w:hAnsi="Times New Roman" w:eastAsia="宋体"/>
                <w:b w:val="0"/>
                <w:i w:val="0"/>
                <w:sz w:val="21"/>
              </w:rPr>
              <w:t>拦截进入步骤 2 与保存，提示请填写流程名称或请至少选择一个应用模块，并停留在步骤 1</w:t>
            </w:r>
          </w:p>
        </w:tc>
      </w:tr>
      <w:tr>
        <w:tc>
          <w:tcPr>
            <w:tcW w:type="dxa" w:w="2835"/>
          </w:tcPr>
          <w:p>
            <w:pPr>
              <w:spacing w:before="20" w:after="20" w:line="276" w:lineRule="auto"/>
              <w:ind w:firstLine="0"/>
            </w:pPr>
            <w:r/>
            <w:r>
              <w:rPr>
                <w:rFonts w:ascii="Times New Roman" w:hAnsi="Times New Roman" w:eastAsia="宋体"/>
                <w:b w:val="0"/>
                <w:i w:val="0"/>
                <w:sz w:val="21"/>
              </w:rPr>
              <w:t>串行节点未选审批人或会签节点未加人</w:t>
            </w:r>
          </w:p>
        </w:tc>
        <w:tc>
          <w:tcPr>
            <w:tcW w:type="dxa" w:w="6236"/>
          </w:tcPr>
          <w:p>
            <w:pPr>
              <w:spacing w:before="20" w:after="20" w:line="276" w:lineRule="auto"/>
              <w:ind w:firstLine="0"/>
            </w:pPr>
            <w:r/>
            <w:r>
              <w:rPr>
                <w:rFonts w:ascii="Times New Roman" w:hAnsi="Times New Roman" w:eastAsia="宋体"/>
                <w:b w:val="0"/>
                <w:i w:val="0"/>
                <w:sz w:val="21"/>
              </w:rPr>
              <w:t>保存时拦截并自动打开该节点的属性抽屉，提示选择审批人员或至少 1 名会签人，不会出现无人审批或无人会签的节点</w:t>
            </w:r>
          </w:p>
        </w:tc>
      </w:tr>
      <w:tr>
        <w:tc>
          <w:tcPr>
            <w:tcW w:type="dxa" w:w="2835"/>
          </w:tcPr>
          <w:p>
            <w:pPr>
              <w:spacing w:before="20" w:after="20" w:line="276" w:lineRule="auto"/>
              <w:ind w:firstLine="0"/>
            </w:pPr>
            <w:r/>
            <w:r>
              <w:rPr>
                <w:rFonts w:ascii="Times New Roman" w:hAnsi="Times New Roman" w:eastAsia="宋体"/>
                <w:b w:val="0"/>
                <w:i w:val="0"/>
                <w:sz w:val="21"/>
              </w:rPr>
              <w:t>单据金额未填写或等于条件阈值</w:t>
            </w:r>
          </w:p>
        </w:tc>
        <w:tc>
          <w:tcPr>
            <w:tcW w:type="dxa" w:w="6236"/>
          </w:tcPr>
          <w:p>
            <w:pPr>
              <w:spacing w:before="20" w:after="20" w:line="276" w:lineRule="auto"/>
              <w:ind w:firstLine="0"/>
            </w:pPr>
            <w:r/>
            <w:r>
              <w:rPr>
                <w:rFonts w:ascii="Times New Roman" w:hAnsi="Times New Roman" w:eastAsia="宋体"/>
                <w:b w:val="0"/>
                <w:i w:val="0"/>
                <w:sz w:val="21"/>
              </w:rPr>
              <w:t>单据无金额时条件判定为不满足，节点标记已跳过并继续流程；金额等于阈值时按操作符判定，配置为大于 100 万元时 100 万元整不命中该节点</w:t>
            </w:r>
          </w:p>
        </w:tc>
      </w:tr>
      <w:tr>
        <w:tc>
          <w:tcPr>
            <w:tcW w:type="dxa" w:w="2835"/>
          </w:tcPr>
          <w:p>
            <w:pPr>
              <w:spacing w:before="20" w:after="20" w:line="276" w:lineRule="auto"/>
              <w:ind w:firstLine="0"/>
            </w:pPr>
            <w:r/>
            <w:r>
              <w:rPr>
                <w:rFonts w:ascii="Times New Roman" w:hAnsi="Times New Roman" w:eastAsia="宋体"/>
                <w:b w:val="0"/>
                <w:i w:val="0"/>
                <w:sz w:val="21"/>
              </w:rPr>
              <w:t>业务页面引用的流程模板被删除或已停用</w:t>
            </w:r>
          </w:p>
        </w:tc>
        <w:tc>
          <w:tcPr>
            <w:tcW w:type="dxa" w:w="6236"/>
          </w:tcPr>
          <w:p>
            <w:pPr>
              <w:spacing w:before="20" w:after="20" w:line="276" w:lineRule="auto"/>
              <w:ind w:firstLine="0"/>
            </w:pPr>
            <w:r/>
            <w:r>
              <w:rPr>
                <w:rFonts w:ascii="Times New Roman" w:hAnsi="Times New Roman" w:eastAsia="宋体"/>
                <w:b w:val="0"/>
                <w:i w:val="0"/>
                <w:sz w:val="21"/>
              </w:rPr>
              <w:t>回退到标准审批流程，时间线仍可渲染并提示引用的流程已停用或已删除，在途单据不断流</w:t>
            </w:r>
          </w:p>
        </w:tc>
      </w:tr>
      <w:tr>
        <w:tc>
          <w:tcPr>
            <w:tcW w:type="dxa" w:w="2835"/>
          </w:tcPr>
          <w:p>
            <w:pPr>
              <w:spacing w:before="20" w:after="20" w:line="276" w:lineRule="auto"/>
              <w:ind w:firstLine="0"/>
            </w:pPr>
            <w:r/>
            <w:r>
              <w:rPr>
                <w:rFonts w:ascii="Times New Roman" w:hAnsi="Times New Roman" w:eastAsia="宋体"/>
                <w:b w:val="0"/>
                <w:i w:val="0"/>
                <w:sz w:val="21"/>
              </w:rPr>
              <w:t>用户打开不属于本人的待办节点</w:t>
            </w:r>
          </w:p>
        </w:tc>
        <w:tc>
          <w:tcPr>
            <w:tcW w:type="dxa" w:w="6236"/>
          </w:tcPr>
          <w:p>
            <w:pPr>
              <w:spacing w:before="20" w:after="20" w:line="276" w:lineRule="auto"/>
              <w:ind w:firstLine="0"/>
            </w:pPr>
            <w:r/>
            <w:r>
              <w:rPr>
                <w:rFonts w:ascii="Times New Roman" w:hAnsi="Times New Roman" w:eastAsia="宋体"/>
                <w:b w:val="0"/>
                <w:i w:val="0"/>
                <w:sz w:val="21"/>
              </w:rPr>
              <w:t>审批按钮置灰并提示当前节点不是你的待办；无权访问配置页时菜单不展示，直接访问路由提示无权限访问并跳回可访问页面</w:t>
            </w:r>
          </w:p>
        </w:tc>
      </w:tr>
      <w:tr>
        <w:tc>
          <w:tcPr>
            <w:tcW w:type="dxa" w:w="2835"/>
          </w:tcPr>
          <w:p>
            <w:pPr>
              <w:spacing w:before="20" w:after="20" w:line="276" w:lineRule="auto"/>
              <w:ind w:firstLine="0"/>
            </w:pPr>
            <w:r/>
            <w:r>
              <w:rPr>
                <w:rFonts w:ascii="Times New Roman" w:hAnsi="Times New Roman" w:eastAsia="宋体"/>
                <w:b w:val="0"/>
                <w:i w:val="0"/>
                <w:sz w:val="21"/>
              </w:rPr>
              <w:t>配置在单据在途期间被修改</w:t>
            </w:r>
          </w:p>
        </w:tc>
        <w:tc>
          <w:tcPr>
            <w:tcW w:type="dxa" w:w="6236"/>
          </w:tcPr>
          <w:p>
            <w:pPr>
              <w:spacing w:before="20" w:after="20" w:line="276" w:lineRule="auto"/>
              <w:ind w:firstLine="0"/>
            </w:pPr>
            <w:r/>
            <w:r>
              <w:rPr>
                <w:rFonts w:ascii="Times New Roman" w:hAnsi="Times New Roman" w:eastAsia="宋体"/>
                <w:b w:val="0"/>
                <w:i w:val="0"/>
                <w:sz w:val="21"/>
              </w:rPr>
              <w:t>在途单据按提交时展开的节点执行，新配置只对后续新提交的单据生效，已发起的审批不被改写</w:t>
            </w:r>
          </w:p>
        </w:tc>
      </w:tr>
    </w:tbl>
    <w:p>
      <w:pPr>
        <w:spacing w:before="0" w:after="0" w:line="240" w:lineRule="auto"/>
      </w:pPr>
    </w:p>
    <w:p>
      <w:pPr>
        <w:spacing w:before="120" w:after="60"/>
        <w:ind w:firstLine="0"/>
        <w:jc w:val="center"/>
      </w:pPr>
      <w:r>
        <w:drawing>
          <wp:inline xmlns:a="http://schemas.openxmlformats.org/drawingml/2006/main" xmlns:pic="http://schemas.openxmlformats.org/drawingml/2006/picture">
            <wp:extent cx="5616000" cy="3334500"/>
            <wp:docPr id="38" name="Picture 38"/>
            <wp:cNvGraphicFramePr>
              <a:graphicFrameLocks noChangeAspect="1"/>
            </wp:cNvGraphicFramePr>
            <a:graphic>
              <a:graphicData uri="http://schemas.openxmlformats.org/drawingml/2006/picture">
                <pic:pic>
                  <pic:nvPicPr>
                    <pic:cNvPr id="0" name="approval-01.png"/>
                    <pic:cNvPicPr/>
                  </pic:nvPicPr>
                  <pic:blipFill>
                    <a:blip r:embed="rId48"/>
                    <a:stretch>
                      <a:fillRect/>
                    </a:stretch>
                  </pic:blipFill>
                  <pic:spPr>
                    <a:xfrm>
                      <a:off x="0" y="0"/>
                      <a:ext cx="5616000" cy="3334500"/>
                    </a:xfrm>
                    <a:prstGeom prst="rect"/>
                  </pic:spPr>
                </pic:pic>
              </a:graphicData>
            </a:graphic>
          </wp:inline>
        </w:drawing>
      </w:r>
    </w:p>
    <w:p>
      <w:pPr>
        <w:spacing w:before="0" w:after="200" w:line="240" w:lineRule="auto"/>
        <w:ind w:firstLine="0"/>
        <w:jc w:val="center"/>
      </w:pPr>
      <w:r>
        <w:rPr>
          <w:rFonts w:ascii="Times New Roman" w:hAnsi="Times New Roman" w:eastAsia="宋体"/>
          <w:b w:val="0"/>
          <w:i w:val="0"/>
          <w:sz w:val="21"/>
        </w:rPr>
        <w:t>图 4-19-2.1　审批管理（01）</w:t>
      </w:r>
    </w:p>
    <w:p>
      <w:pPr>
        <w:spacing w:before="120" w:after="60"/>
        <w:ind w:firstLine="0"/>
        <w:jc w:val="center"/>
      </w:pPr>
      <w:r>
        <w:drawing>
          <wp:inline xmlns:a="http://schemas.openxmlformats.org/drawingml/2006/main" xmlns:pic="http://schemas.openxmlformats.org/drawingml/2006/picture">
            <wp:extent cx="5616000" cy="3334500"/>
            <wp:docPr id="39" name="Picture 39"/>
            <wp:cNvGraphicFramePr>
              <a:graphicFrameLocks noChangeAspect="1"/>
            </wp:cNvGraphicFramePr>
            <a:graphic>
              <a:graphicData uri="http://schemas.openxmlformats.org/drawingml/2006/picture">
                <pic:pic>
                  <pic:nvPicPr>
                    <pic:cNvPr id="0" name="approval-02.png"/>
                    <pic:cNvPicPr/>
                  </pic:nvPicPr>
                  <pic:blipFill>
                    <a:blip r:embed="rId49"/>
                    <a:stretch>
                      <a:fillRect/>
                    </a:stretch>
                  </pic:blipFill>
                  <pic:spPr>
                    <a:xfrm>
                      <a:off x="0" y="0"/>
                      <a:ext cx="5616000" cy="3334500"/>
                    </a:xfrm>
                    <a:prstGeom prst="rect"/>
                  </pic:spPr>
                </pic:pic>
              </a:graphicData>
            </a:graphic>
          </wp:inline>
        </w:drawing>
      </w:r>
    </w:p>
    <w:p>
      <w:pPr>
        <w:spacing w:before="0" w:after="200" w:line="240" w:lineRule="auto"/>
        <w:ind w:firstLine="0"/>
        <w:jc w:val="center"/>
      </w:pPr>
      <w:r>
        <w:rPr>
          <w:rFonts w:ascii="Times New Roman" w:hAnsi="Times New Roman" w:eastAsia="宋体"/>
          <w:b w:val="0"/>
          <w:i w:val="0"/>
          <w:sz w:val="21"/>
        </w:rPr>
        <w:t>图 4-19-2.2　审批管理（02）</w:t>
      </w:r>
    </w:p>
    <w:p>
      <w:pPr>
        <w:spacing w:before="120" w:after="60"/>
        <w:ind w:firstLine="0"/>
        <w:jc w:val="center"/>
      </w:pPr>
      <w:r>
        <w:drawing>
          <wp:inline xmlns:a="http://schemas.openxmlformats.org/drawingml/2006/main" xmlns:pic="http://schemas.openxmlformats.org/drawingml/2006/picture">
            <wp:extent cx="5616000" cy="3334500"/>
            <wp:docPr id="40" name="Picture 40"/>
            <wp:cNvGraphicFramePr>
              <a:graphicFrameLocks noChangeAspect="1"/>
            </wp:cNvGraphicFramePr>
            <a:graphic>
              <a:graphicData uri="http://schemas.openxmlformats.org/drawingml/2006/picture">
                <pic:pic>
                  <pic:nvPicPr>
                    <pic:cNvPr id="0" name="approval-03.png"/>
                    <pic:cNvPicPr/>
                  </pic:nvPicPr>
                  <pic:blipFill>
                    <a:blip r:embed="rId50"/>
                    <a:stretch>
                      <a:fillRect/>
                    </a:stretch>
                  </pic:blipFill>
                  <pic:spPr>
                    <a:xfrm>
                      <a:off x="0" y="0"/>
                      <a:ext cx="5616000" cy="3334500"/>
                    </a:xfrm>
                    <a:prstGeom prst="rect"/>
                  </pic:spPr>
                </pic:pic>
              </a:graphicData>
            </a:graphic>
          </wp:inline>
        </w:drawing>
      </w:r>
    </w:p>
    <w:p>
      <w:pPr>
        <w:spacing w:before="0" w:after="200" w:line="240" w:lineRule="auto"/>
        <w:ind w:firstLine="0"/>
        <w:jc w:val="center"/>
      </w:pPr>
      <w:r>
        <w:rPr>
          <w:rFonts w:ascii="Times New Roman" w:hAnsi="Times New Roman" w:eastAsia="宋体"/>
          <w:b w:val="0"/>
          <w:i w:val="0"/>
          <w:sz w:val="21"/>
        </w:rPr>
        <w:t>图 4-19-2.3　审批管理（03）</w:t>
      </w:r>
    </w:p>
    <w:p>
      <w:pPr>
        <w:spacing w:before="120" w:after="60"/>
        <w:ind w:firstLine="0"/>
        <w:jc w:val="center"/>
      </w:pPr>
      <w:r>
        <w:drawing>
          <wp:inline xmlns:a="http://schemas.openxmlformats.org/drawingml/2006/main" xmlns:pic="http://schemas.openxmlformats.org/drawingml/2006/picture">
            <wp:extent cx="5616000" cy="3334500"/>
            <wp:docPr id="41" name="Picture 41"/>
            <wp:cNvGraphicFramePr>
              <a:graphicFrameLocks noChangeAspect="1"/>
            </wp:cNvGraphicFramePr>
            <a:graphic>
              <a:graphicData uri="http://schemas.openxmlformats.org/drawingml/2006/picture">
                <pic:pic>
                  <pic:nvPicPr>
                    <pic:cNvPr id="0" name="approval-04.png"/>
                    <pic:cNvPicPr/>
                  </pic:nvPicPr>
                  <pic:blipFill>
                    <a:blip r:embed="rId51"/>
                    <a:stretch>
                      <a:fillRect/>
                    </a:stretch>
                  </pic:blipFill>
                  <pic:spPr>
                    <a:xfrm>
                      <a:off x="0" y="0"/>
                      <a:ext cx="5616000" cy="3334500"/>
                    </a:xfrm>
                    <a:prstGeom prst="rect"/>
                  </pic:spPr>
                </pic:pic>
              </a:graphicData>
            </a:graphic>
          </wp:inline>
        </w:drawing>
      </w:r>
    </w:p>
    <w:p>
      <w:pPr>
        <w:spacing w:before="0" w:after="200" w:line="240" w:lineRule="auto"/>
        <w:ind w:firstLine="0"/>
        <w:jc w:val="center"/>
      </w:pPr>
      <w:r>
        <w:rPr>
          <w:rFonts w:ascii="Times New Roman" w:hAnsi="Times New Roman" w:eastAsia="宋体"/>
          <w:b w:val="0"/>
          <w:i w:val="0"/>
          <w:sz w:val="21"/>
        </w:rPr>
        <w:t>图 4-19-2.4　审批管理（04）</w:t>
      </w:r>
    </w:p>
    <w:p>
      <w:pPr>
        <w:spacing w:before="120" w:after="60"/>
        <w:ind w:firstLine="0"/>
        <w:jc w:val="center"/>
      </w:pPr>
      <w:r>
        <w:drawing>
          <wp:inline xmlns:a="http://schemas.openxmlformats.org/drawingml/2006/main" xmlns:pic="http://schemas.openxmlformats.org/drawingml/2006/picture">
            <wp:extent cx="5616000" cy="3334500"/>
            <wp:docPr id="42" name="Picture 42"/>
            <wp:cNvGraphicFramePr>
              <a:graphicFrameLocks noChangeAspect="1"/>
            </wp:cNvGraphicFramePr>
            <a:graphic>
              <a:graphicData uri="http://schemas.openxmlformats.org/drawingml/2006/picture">
                <pic:pic>
                  <pic:nvPicPr>
                    <pic:cNvPr id="0" name="approval-05.png"/>
                    <pic:cNvPicPr/>
                  </pic:nvPicPr>
                  <pic:blipFill>
                    <a:blip r:embed="rId52"/>
                    <a:stretch>
                      <a:fillRect/>
                    </a:stretch>
                  </pic:blipFill>
                  <pic:spPr>
                    <a:xfrm>
                      <a:off x="0" y="0"/>
                      <a:ext cx="5616000" cy="3334500"/>
                    </a:xfrm>
                    <a:prstGeom prst="rect"/>
                  </pic:spPr>
                </pic:pic>
              </a:graphicData>
            </a:graphic>
          </wp:inline>
        </w:drawing>
      </w:r>
    </w:p>
    <w:p>
      <w:pPr>
        <w:spacing w:before="0" w:after="200" w:line="240" w:lineRule="auto"/>
        <w:ind w:firstLine="0"/>
        <w:jc w:val="center"/>
      </w:pPr>
      <w:r>
        <w:rPr>
          <w:rFonts w:ascii="Times New Roman" w:hAnsi="Times New Roman" w:eastAsia="宋体"/>
          <w:b w:val="0"/>
          <w:i w:val="0"/>
          <w:sz w:val="21"/>
        </w:rPr>
        <w:t>图 4-19-2.5　审批管理（05）</w:t>
      </w:r>
    </w:p>
    <w:p>
      <w:pPr>
        <w:spacing w:before="80" w:after="60" w:line="360" w:lineRule="auto"/>
      </w:pPr>
      <w:r>
        <w:rPr>
          <w:rFonts w:ascii="Times New Roman" w:hAnsi="Times New Roman" w:eastAsia="宋体"/>
          <w:b/>
          <w:i w:val="0"/>
          <w:sz w:val="24"/>
        </w:rPr>
        <w:t>页面级说明：</w:t>
      </w: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tblGrid>
      <w:tr>
        <w:trPr>
          <w:tblHeader w:val="true"/>
        </w:trPr>
        <w:tc>
          <w:tcPr>
            <w:tcW w:type="dxa" w:w="1178"/>
            <w:shd w:val="clear" w:color="auto" w:fill="DCE6F1"/>
          </w:tcPr>
          <w:p>
            <w:pPr>
              <w:spacing w:before="40" w:after="40" w:line="276" w:lineRule="auto"/>
              <w:jc w:val="center"/>
            </w:pPr>
            <w:r/>
            <w:r>
              <w:rPr>
                <w:rFonts w:ascii="Times New Roman" w:hAnsi="Times New Roman" w:eastAsia="黑体"/>
                <w:b/>
                <w:i w:val="0"/>
                <w:sz w:val="19"/>
              </w:rPr>
              <w:t>页面</w:t>
            </w:r>
          </w:p>
        </w:tc>
        <w:tc>
          <w:tcPr>
            <w:tcW w:type="dxa" w:w="1531"/>
            <w:shd w:val="clear" w:color="auto" w:fill="DCE6F1"/>
          </w:tcPr>
          <w:p>
            <w:pPr>
              <w:spacing w:before="40" w:after="40" w:line="276" w:lineRule="auto"/>
              <w:jc w:val="center"/>
            </w:pPr>
            <w:r/>
            <w:r>
              <w:rPr>
                <w:rFonts w:ascii="Times New Roman" w:hAnsi="Times New Roman" w:eastAsia="黑体"/>
                <w:b/>
                <w:i w:val="0"/>
                <w:sz w:val="19"/>
              </w:rPr>
              <w:t>原型文件</w:t>
            </w:r>
          </w:p>
        </w:tc>
        <w:tc>
          <w:tcPr>
            <w:tcW w:type="dxa" w:w="1119"/>
            <w:shd w:val="clear" w:color="auto" w:fill="DCE6F1"/>
          </w:tcPr>
          <w:p>
            <w:pPr>
              <w:spacing w:before="40" w:after="40" w:line="276" w:lineRule="auto"/>
              <w:jc w:val="center"/>
            </w:pPr>
            <w:r/>
            <w:r>
              <w:rPr>
                <w:rFonts w:ascii="Times New Roman" w:hAnsi="Times New Roman" w:eastAsia="黑体"/>
                <w:b/>
                <w:i w:val="0"/>
                <w:sz w:val="19"/>
              </w:rPr>
              <w:t>进入方式</w:t>
            </w:r>
          </w:p>
        </w:tc>
        <w:tc>
          <w:tcPr>
            <w:tcW w:type="dxa" w:w="2062"/>
            <w:shd w:val="clear" w:color="auto" w:fill="DCE6F1"/>
          </w:tcPr>
          <w:p>
            <w:pPr>
              <w:spacing w:before="40" w:after="40" w:line="276" w:lineRule="auto"/>
              <w:jc w:val="center"/>
            </w:pPr>
            <w:r/>
            <w:r>
              <w:rPr>
                <w:rFonts w:ascii="Times New Roman" w:hAnsi="Times New Roman" w:eastAsia="黑体"/>
                <w:b/>
                <w:i w:val="0"/>
                <w:sz w:val="19"/>
              </w:rPr>
              <w:t>关键区块</w:t>
            </w:r>
          </w:p>
        </w:tc>
        <w:tc>
          <w:tcPr>
            <w:tcW w:type="dxa" w:w="1767"/>
            <w:shd w:val="clear" w:color="auto" w:fill="DCE6F1"/>
          </w:tcPr>
          <w:p>
            <w:pPr>
              <w:spacing w:before="40" w:after="40" w:line="276" w:lineRule="auto"/>
              <w:jc w:val="center"/>
            </w:pPr>
            <w:r/>
            <w:r>
              <w:rPr>
                <w:rFonts w:ascii="Times New Roman" w:hAnsi="Times New Roman" w:eastAsia="黑体"/>
                <w:b/>
                <w:i w:val="0"/>
                <w:sz w:val="19"/>
              </w:rPr>
              <w:t>主要按钮与行为</w:t>
            </w:r>
          </w:p>
        </w:tc>
        <w:tc>
          <w:tcPr>
            <w:tcW w:type="dxa" w:w="1414"/>
            <w:shd w:val="clear" w:color="auto" w:fill="DCE6F1"/>
          </w:tcPr>
          <w:p>
            <w:pPr>
              <w:spacing w:before="40" w:after="40" w:line="276" w:lineRule="auto"/>
              <w:jc w:val="center"/>
            </w:pPr>
            <w:r/>
            <w:r>
              <w:rPr>
                <w:rFonts w:ascii="Times New Roman" w:hAnsi="Times New Roman" w:eastAsia="黑体"/>
                <w:b/>
                <w:i w:val="0"/>
                <w:sz w:val="19"/>
              </w:rPr>
              <w:t>跳转去向</w:t>
            </w:r>
          </w:p>
        </w:tc>
      </w:tr>
      <w:tr>
        <w:tc>
          <w:tcPr>
            <w:tcW w:type="dxa" w:w="1178"/>
          </w:tcPr>
          <w:p>
            <w:pPr>
              <w:spacing w:before="20" w:after="20" w:line="276" w:lineRule="auto"/>
              <w:ind w:firstLine="0"/>
            </w:pPr>
            <w:r/>
            <w:r>
              <w:rPr>
                <w:rFonts w:ascii="Times New Roman" w:hAnsi="Times New Roman" w:eastAsia="宋体"/>
                <w:b w:val="0"/>
                <w:i w:val="0"/>
                <w:sz w:val="19"/>
              </w:rPr>
              <w:t>审批流程配置</w:t>
            </w:r>
          </w:p>
        </w:tc>
        <w:tc>
          <w:tcPr>
            <w:tcW w:type="dxa" w:w="1531"/>
          </w:tcPr>
          <w:p>
            <w:pPr>
              <w:spacing w:before="20" w:after="20" w:line="276" w:lineRule="auto"/>
              <w:ind w:firstLine="0"/>
            </w:pPr>
            <w:r/>
            <w:r>
              <w:rPr>
                <w:rFonts w:ascii="Times New Roman" w:hAnsi="Times New Roman" w:eastAsia="宋体"/>
                <w:b w:val="0"/>
                <w:i w:val="0"/>
                <w:sz w:val="19"/>
              </w:rPr>
              <w:t>approval-flow-list.html</w:t>
            </w:r>
          </w:p>
        </w:tc>
        <w:tc>
          <w:tcPr>
            <w:tcW w:type="dxa" w:w="1119"/>
          </w:tcPr>
          <w:p>
            <w:pPr>
              <w:spacing w:before="20" w:after="20" w:line="276" w:lineRule="auto"/>
              <w:ind w:firstLine="0"/>
            </w:pPr>
            <w:r/>
            <w:r>
              <w:rPr>
                <w:rFonts w:ascii="Times New Roman" w:hAnsi="Times New Roman" w:eastAsia="宋体"/>
                <w:b w:val="0"/>
                <w:i w:val="0"/>
                <w:sz w:val="19"/>
              </w:rPr>
              <w:t>数字供应链 / 审批管理 / 审批流程配置</w:t>
            </w:r>
          </w:p>
        </w:tc>
        <w:tc>
          <w:tcPr>
            <w:tcW w:type="dxa" w:w="2062"/>
          </w:tcPr>
          <w:p>
            <w:pPr>
              <w:spacing w:before="20" w:after="20" w:line="276" w:lineRule="auto"/>
              <w:ind w:firstLine="0"/>
            </w:pPr>
            <w:r/>
            <w:r>
              <w:rPr>
                <w:rFonts w:ascii="Times New Roman" w:hAnsi="Times New Roman" w:eastAsia="宋体"/>
                <w:b w:val="0"/>
                <w:i w:val="0"/>
                <w:sz w:val="19"/>
              </w:rPr>
              <w:t>筛选行（流程名称、流程状态、应用模块）输入即过滤，已选条件以标签展示可单独删除或一键清除，右侧为数据导出；模板表格 7 列（流程名称、状态、节点数、流程说明、应用模块、最后修改、操作）；底部分页，每页 10、20、50 条</w:t>
            </w:r>
          </w:p>
        </w:tc>
        <w:tc>
          <w:tcPr>
            <w:tcW w:type="dxa" w:w="1767"/>
          </w:tcPr>
          <w:p>
            <w:pPr>
              <w:spacing w:before="20" w:after="20" w:line="276" w:lineRule="auto"/>
              <w:ind w:firstLine="0"/>
            </w:pPr>
            <w:r/>
            <w:r>
              <w:rPr>
                <w:rFonts w:ascii="Times New Roman" w:hAnsi="Times New Roman" w:eastAsia="宋体"/>
                <w:b w:val="0"/>
                <w:i w:val="0"/>
                <w:sz w:val="19"/>
              </w:rPr>
              <w:t>新建流程、编排、复制、启用停用、删除、数据导出；节点数不含提交申请发起节点；复制后名称带副本且状态置草稿；删除需二次确认</w:t>
            </w:r>
          </w:p>
        </w:tc>
        <w:tc>
          <w:tcPr>
            <w:tcW w:type="dxa" w:w="1414"/>
          </w:tcPr>
          <w:p>
            <w:pPr>
              <w:spacing w:before="20" w:after="20" w:line="276" w:lineRule="auto"/>
              <w:ind w:firstLine="0"/>
            </w:pPr>
            <w:r/>
            <w:r>
              <w:rPr>
                <w:rFonts w:ascii="Times New Roman" w:hAnsi="Times New Roman" w:eastAsia="宋体"/>
                <w:b w:val="0"/>
                <w:i w:val="0"/>
                <w:sz w:val="19"/>
              </w:rPr>
              <w:t>新建流程与编排均跳转流程编排画布 approval-flow-editor.html，分别进入新建态与编辑态</w:t>
            </w:r>
          </w:p>
        </w:tc>
      </w:tr>
      <w:tr>
        <w:tc>
          <w:tcPr>
            <w:tcW w:type="dxa" w:w="1178"/>
          </w:tcPr>
          <w:p>
            <w:pPr>
              <w:spacing w:before="20" w:after="20" w:line="276" w:lineRule="auto"/>
              <w:ind w:firstLine="0"/>
            </w:pPr>
            <w:r/>
            <w:r>
              <w:rPr>
                <w:rFonts w:ascii="Times New Roman" w:hAnsi="Times New Roman" w:eastAsia="宋体"/>
                <w:b w:val="0"/>
                <w:i w:val="0"/>
                <w:sz w:val="19"/>
              </w:rPr>
              <w:t>流程编排画布</w:t>
            </w:r>
          </w:p>
        </w:tc>
        <w:tc>
          <w:tcPr>
            <w:tcW w:type="dxa" w:w="1531"/>
          </w:tcPr>
          <w:p>
            <w:pPr>
              <w:spacing w:before="20" w:after="20" w:line="276" w:lineRule="auto"/>
              <w:ind w:firstLine="0"/>
            </w:pPr>
            <w:r/>
            <w:r>
              <w:rPr>
                <w:rFonts w:ascii="Times New Roman" w:hAnsi="Times New Roman" w:eastAsia="宋体"/>
                <w:b w:val="0"/>
                <w:i w:val="0"/>
                <w:sz w:val="19"/>
              </w:rPr>
              <w:t>approval-flow-editor.html</w:t>
            </w:r>
          </w:p>
        </w:tc>
        <w:tc>
          <w:tcPr>
            <w:tcW w:type="dxa" w:w="1119"/>
          </w:tcPr>
          <w:p>
            <w:pPr>
              <w:spacing w:before="20" w:after="20" w:line="276" w:lineRule="auto"/>
              <w:ind w:firstLine="0"/>
            </w:pPr>
            <w:r/>
            <w:r>
              <w:rPr>
                <w:rFonts w:ascii="Times New Roman" w:hAnsi="Times New Roman" w:eastAsia="宋体"/>
                <w:b w:val="0"/>
                <w:i w:val="0"/>
                <w:sz w:val="19"/>
              </w:rPr>
              <w:t>数字供应链 / 审批管理 / 审批流程配置 / 新建流程 或 编排</w:t>
            </w:r>
          </w:p>
        </w:tc>
        <w:tc>
          <w:tcPr>
            <w:tcW w:type="dxa" w:w="2062"/>
          </w:tcPr>
          <w:p>
            <w:pPr>
              <w:spacing w:before="20" w:after="20" w:line="276" w:lineRule="auto"/>
              <w:ind w:firstLine="0"/>
            </w:pPr>
            <w:r/>
            <w:r>
              <w:rPr>
                <w:rFonts w:ascii="Times New Roman" w:hAnsi="Times New Roman" w:eastAsia="宋体"/>
                <w:b w:val="0"/>
                <w:i w:val="0"/>
                <w:sz w:val="19"/>
              </w:rPr>
              <w:t>顶部步骤条（基础信息、流程设计）与未保存修改标记；步骤 1 基础信息区含流程名称、流程说明、流程状态与 9 项应用模块多选；步骤 2 节点画布为纵向单列，连接线上提供插入节点入口；节点卡片含序号、节点名、类型标签、条件标签、人员行与提醒行；右侧节点属性抽屉含审批方式、审批人员、触发条件、提醒规则、审批通知、通知类型与节点说明</w:t>
            </w:r>
          </w:p>
        </w:tc>
        <w:tc>
          <w:tcPr>
            <w:tcW w:type="dxa" w:w="1767"/>
          </w:tcPr>
          <w:p>
            <w:pPr>
              <w:spacing w:before="20" w:after="20" w:line="276" w:lineRule="auto"/>
              <w:ind w:firstLine="0"/>
            </w:pPr>
            <w:r/>
            <w:r>
              <w:rPr>
                <w:rFonts w:ascii="Times New Roman" w:hAnsi="Times New Roman" w:eastAsia="宋体"/>
                <w:b w:val="0"/>
                <w:i w:val="0"/>
                <w:sz w:val="19"/>
              </w:rPr>
              <w:t>下一步、上一步、保存、预览、插入节点、节点属性抽屉、节点上移下移与删除；预览弹窗展示节点时间线与条件求值明细；发起与归档节点禁用删除</w:t>
            </w:r>
          </w:p>
        </w:tc>
        <w:tc>
          <w:tcPr>
            <w:tcW w:type="dxa" w:w="1414"/>
          </w:tcPr>
          <w:p>
            <w:pPr>
              <w:spacing w:before="20" w:after="20" w:line="276" w:lineRule="auto"/>
              <w:ind w:firstLine="0"/>
            </w:pPr>
            <w:r/>
            <w:r>
              <w:rPr>
                <w:rFonts w:ascii="Times New Roman" w:hAnsi="Times New Roman" w:eastAsia="宋体"/>
                <w:b w:val="0"/>
                <w:i w:val="0"/>
                <w:sz w:val="19"/>
              </w:rPr>
              <w:t>保存成功后回到审批流程配置 approval-flow-list.html；步骤 1 校验不通过时停留在步骤 1</w:t>
            </w:r>
          </w:p>
        </w:tc>
      </w:tr>
      <w:tr>
        <w:tc>
          <w:tcPr>
            <w:tcW w:type="dxa" w:w="1178"/>
          </w:tcPr>
          <w:p>
            <w:pPr>
              <w:spacing w:before="20" w:after="20" w:line="276" w:lineRule="auto"/>
              <w:ind w:firstLine="0"/>
            </w:pPr>
            <w:r/>
            <w:r>
              <w:rPr>
                <w:rFonts w:ascii="Times New Roman" w:hAnsi="Times New Roman" w:eastAsia="宋体"/>
                <w:b w:val="0"/>
                <w:i w:val="0"/>
                <w:sz w:val="19"/>
              </w:rPr>
              <w:t>审批流程监控</w:t>
            </w:r>
          </w:p>
        </w:tc>
        <w:tc>
          <w:tcPr>
            <w:tcW w:type="dxa" w:w="1531"/>
          </w:tcPr>
          <w:p>
            <w:pPr>
              <w:spacing w:before="20" w:after="20" w:line="276" w:lineRule="auto"/>
              <w:ind w:firstLine="0"/>
            </w:pPr>
            <w:r/>
            <w:r>
              <w:rPr>
                <w:rFonts w:ascii="Times New Roman" w:hAnsi="Times New Roman" w:eastAsia="宋体"/>
                <w:b w:val="0"/>
                <w:i w:val="0"/>
                <w:sz w:val="19"/>
              </w:rPr>
              <w:t>approval-monitor.html</w:t>
            </w:r>
          </w:p>
        </w:tc>
        <w:tc>
          <w:tcPr>
            <w:tcW w:type="dxa" w:w="1119"/>
          </w:tcPr>
          <w:p>
            <w:pPr>
              <w:spacing w:before="20" w:after="20" w:line="276" w:lineRule="auto"/>
              <w:ind w:firstLine="0"/>
            </w:pPr>
            <w:r/>
            <w:r>
              <w:rPr>
                <w:rFonts w:ascii="Times New Roman" w:hAnsi="Times New Roman" w:eastAsia="宋体"/>
                <w:b w:val="0"/>
                <w:i w:val="0"/>
                <w:sz w:val="19"/>
              </w:rPr>
              <w:t>数字供应链 / 审批管理 / 审批流程监控</w:t>
            </w:r>
          </w:p>
        </w:tc>
        <w:tc>
          <w:tcPr>
            <w:tcW w:type="dxa" w:w="2062"/>
          </w:tcPr>
          <w:p>
            <w:pPr>
              <w:spacing w:before="20" w:after="20" w:line="276" w:lineRule="auto"/>
              <w:ind w:firstLine="0"/>
            </w:pPr>
            <w:r/>
            <w:r>
              <w:rPr>
                <w:rFonts w:ascii="Times New Roman" w:hAnsi="Times New Roman" w:eastAsia="宋体"/>
                <w:b w:val="0"/>
                <w:i w:val="0"/>
                <w:sz w:val="19"/>
              </w:rPr>
              <w:t>4 张 KPI 卡；5 个状态页签带计数；筛选区（单据编号、应用模块 9 项、引用流程 3 项）实时过滤；实例列表 10 列；审批提醒记录表；详情抽屉含单据摘要 9 项、审批节点流转时间线、条件分支求值明细</w:t>
            </w:r>
          </w:p>
        </w:tc>
        <w:tc>
          <w:tcPr>
            <w:tcW w:type="dxa" w:w="1767"/>
          </w:tcPr>
          <w:p>
            <w:pPr>
              <w:spacing w:before="20" w:after="20" w:line="276" w:lineRule="auto"/>
              <w:ind w:firstLine="0"/>
            </w:pPr>
            <w:r/>
            <w:r>
              <w:rPr>
                <w:rFonts w:ascii="Times New Roman" w:hAnsi="Times New Roman" w:eastAsia="宋体"/>
                <w:b w:val="0"/>
                <w:i w:val="0"/>
                <w:sz w:val="19"/>
              </w:rPr>
              <w:t>详情、催办、撤回、关闭；催办与撤回为演示交互，提交后提示已发送或已提交，不改变实例状态</w:t>
            </w:r>
          </w:p>
        </w:tc>
        <w:tc>
          <w:tcPr>
            <w:tcW w:type="dxa" w:w="1414"/>
          </w:tcPr>
          <w:p>
            <w:pPr>
              <w:spacing w:before="20" w:after="20" w:line="276" w:lineRule="auto"/>
              <w:ind w:firstLine="0"/>
            </w:pPr>
            <w:r/>
            <w:r>
              <w:rPr>
                <w:rFonts w:ascii="Times New Roman" w:hAnsi="Times New Roman" w:eastAsia="宋体"/>
                <w:b w:val="0"/>
                <w:i w:val="0"/>
                <w:sz w:val="19"/>
              </w:rPr>
              <w:t>点击详情在当前页打开右侧抽屉，不跳转新页面</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4.19.8　验收标准与待确认项</w:t>
      </w:r>
    </w:p>
    <w:tbl>
      <w:tblPr>
        <w:tblStyle w:val="TableGrid"/>
        <w:tblW w:type="auto" w:w="0"/>
        <w:jc w:val="center"/>
        <w:tblLayout w:type="fixed"/>
        <w:tblLook w:firstColumn="1" w:firstRow="1" w:lastColumn="0" w:lastRow="0" w:noHBand="0" w:noVBand="1" w:val="04A0"/>
      </w:tblPr>
      <w:tblGrid>
        <w:gridCol w:w="4479"/>
        <w:gridCol w:w="4479"/>
      </w:tblGrid>
      <w:tr>
        <w:trPr>
          <w:tblHeader w:val="true"/>
        </w:trPr>
        <w:tc>
          <w:tcPr>
            <w:tcW w:type="dxa" w:w="1701"/>
            <w:shd w:val="clear" w:color="auto" w:fill="DCE6F1"/>
          </w:tcPr>
          <w:p>
            <w:pPr>
              <w:spacing w:before="40" w:after="40" w:line="276" w:lineRule="auto"/>
              <w:jc w:val="center"/>
            </w:pPr>
            <w:r/>
            <w:r>
              <w:rPr>
                <w:rFonts w:ascii="Times New Roman" w:hAnsi="Times New Roman" w:eastAsia="黑体"/>
                <w:b/>
                <w:i w:val="0"/>
                <w:sz w:val="21"/>
              </w:rPr>
              <w:t>功能</w:t>
            </w:r>
          </w:p>
        </w:tc>
        <w:tc>
          <w:tcPr>
            <w:tcW w:type="dxa" w:w="7370"/>
            <w:shd w:val="clear" w:color="auto" w:fill="DCE6F1"/>
          </w:tcPr>
          <w:p>
            <w:pPr>
              <w:spacing w:before="40" w:after="40" w:line="276" w:lineRule="auto"/>
              <w:jc w:val="center"/>
            </w:pPr>
            <w:r/>
            <w:r>
              <w:rPr>
                <w:rFonts w:ascii="Times New Roman" w:hAnsi="Times New Roman" w:eastAsia="黑体"/>
                <w:b/>
                <w:i w:val="0"/>
                <w:sz w:val="21"/>
              </w:rPr>
              <w:t>验收要点（由关键规则转写）</w:t>
            </w:r>
          </w:p>
        </w:tc>
      </w:tr>
      <w:tr>
        <w:tc>
          <w:tcPr>
            <w:tcW w:type="dxa" w:w="1701"/>
          </w:tcPr>
          <w:p>
            <w:pPr>
              <w:spacing w:before="20" w:after="20" w:line="276" w:lineRule="auto"/>
              <w:ind w:firstLine="0"/>
            </w:pPr>
            <w:r/>
            <w:r>
              <w:rPr>
                <w:rFonts w:ascii="Times New Roman" w:hAnsi="Times New Roman" w:eastAsia="宋体"/>
                <w:b w:val="0"/>
                <w:i w:val="0"/>
                <w:sz w:val="21"/>
              </w:rPr>
              <w:t>审批流程模板管理</w:t>
            </w:r>
          </w:p>
        </w:tc>
        <w:tc>
          <w:tcPr>
            <w:tcW w:type="dxa" w:w="7370"/>
          </w:tcPr>
          <w:p>
            <w:pPr>
              <w:spacing w:before="20" w:after="20" w:line="276" w:lineRule="auto"/>
              <w:ind w:firstLine="0"/>
            </w:pPr>
            <w:r/>
            <w:r>
              <w:rPr>
                <w:rFonts w:ascii="Times New Roman" w:hAnsi="Times New Roman" w:eastAsia="宋体"/>
                <w:b w:val="0"/>
                <w:i w:val="0"/>
                <w:sz w:val="21"/>
              </w:rPr>
              <w:t>模板状态为草稿、启用、停用三种，草稿仅创建人可见，停用后不再参与新单据；内置 3 套模板分别为标准审批流程 4 节点、简易审批流程 3 节点、高风险审批流程 5 节点；复制后的模板名称带副本字样、状态置为草稿且节点标识全部重映射，原模板不受影响；删除已被业务页面引用的模板需二次确认并提示引用该流程的业务模块需重新配置；列表分页每页 10、20、50 条</w:t>
            </w:r>
          </w:p>
        </w:tc>
      </w:tr>
      <w:tr>
        <w:tc>
          <w:tcPr>
            <w:tcW w:type="dxa" w:w="1701"/>
          </w:tcPr>
          <w:p>
            <w:pPr>
              <w:spacing w:before="20" w:after="20" w:line="276" w:lineRule="auto"/>
              <w:ind w:firstLine="0"/>
            </w:pPr>
            <w:r/>
            <w:r>
              <w:rPr>
                <w:rFonts w:ascii="Times New Roman" w:hAnsi="Times New Roman" w:eastAsia="宋体"/>
                <w:b w:val="0"/>
                <w:i w:val="0"/>
                <w:sz w:val="21"/>
              </w:rPr>
              <w:t>流程编排两步向导</w:t>
            </w:r>
          </w:p>
        </w:tc>
        <w:tc>
          <w:tcPr>
            <w:tcW w:type="dxa" w:w="7370"/>
          </w:tcPr>
          <w:p>
            <w:pPr>
              <w:spacing w:before="20" w:after="20" w:line="276" w:lineRule="auto"/>
              <w:ind w:firstLine="0"/>
            </w:pPr>
            <w:r/>
            <w:r>
              <w:rPr>
                <w:rFonts w:ascii="Times New Roman" w:hAnsi="Times New Roman" w:eastAsia="宋体"/>
                <w:b w:val="0"/>
                <w:i w:val="0"/>
                <w:sz w:val="21"/>
              </w:rPr>
              <w:t>步骤 1 校验流程名称非空且不超过 40 字、应用模块至少选择 1 个，不通过时拦截进入步骤 2 与保存并停留在步骤 1；步骤 2 在画布上通过连接线插入节点，节点可上移下移与删除；发起申请与归档完成为系统节点，其删除按钮禁用；存在未保存修改时点击返回触发二次确认</w:t>
            </w:r>
          </w:p>
        </w:tc>
      </w:tr>
      <w:tr>
        <w:tc>
          <w:tcPr>
            <w:tcW w:type="dxa" w:w="1701"/>
          </w:tcPr>
          <w:p>
            <w:pPr>
              <w:spacing w:before="20" w:after="20" w:line="276" w:lineRule="auto"/>
              <w:ind w:firstLine="0"/>
            </w:pPr>
            <w:r/>
            <w:r>
              <w:rPr>
                <w:rFonts w:ascii="Times New Roman" w:hAnsi="Times New Roman" w:eastAsia="宋体"/>
                <w:b w:val="0"/>
                <w:i w:val="0"/>
                <w:sz w:val="21"/>
              </w:rPr>
              <w:t>节点属性配置</w:t>
            </w:r>
          </w:p>
        </w:tc>
        <w:tc>
          <w:tcPr>
            <w:tcW w:type="dxa" w:w="7370"/>
          </w:tcPr>
          <w:p>
            <w:pPr>
              <w:spacing w:before="20" w:after="20" w:line="276" w:lineRule="auto"/>
              <w:ind w:firstLine="0"/>
            </w:pPr>
            <w:r/>
            <w:r>
              <w:rPr>
                <w:rFonts w:ascii="Times New Roman" w:hAnsi="Times New Roman" w:eastAsia="宋体"/>
                <w:b w:val="0"/>
                <w:i w:val="0"/>
                <w:sz w:val="21"/>
              </w:rPr>
              <w:t>审批方式为串行审批与并行会签互斥单选，串行节点配置 1 名审批人，会签节点至少配置 1 名审批人且人员不可重复；触发条件每个节点最多 1 条且仅串行节点可配；提醒规则开关加 1 至 720 小时；审批通知为人员多选，通知类型中的站内信为必选项且任何配置路径都不能取消；未选择通知接收人时整块置灰并提示先选人</w:t>
            </w:r>
          </w:p>
        </w:tc>
      </w:tr>
      <w:tr>
        <w:tc>
          <w:tcPr>
            <w:tcW w:type="dxa" w:w="1701"/>
          </w:tcPr>
          <w:p>
            <w:pPr>
              <w:spacing w:before="20" w:after="20" w:line="276" w:lineRule="auto"/>
              <w:ind w:firstLine="0"/>
            </w:pPr>
            <w:r/>
            <w:r>
              <w:rPr>
                <w:rFonts w:ascii="Times New Roman" w:hAnsi="Times New Roman" w:eastAsia="宋体"/>
                <w:b w:val="0"/>
                <w:i w:val="0"/>
                <w:sz w:val="21"/>
              </w:rPr>
              <w:t>金额条件自动升级审批层级</w:t>
            </w:r>
          </w:p>
        </w:tc>
        <w:tc>
          <w:tcPr>
            <w:tcW w:type="dxa" w:w="7370"/>
          </w:tcPr>
          <w:p>
            <w:pPr>
              <w:spacing w:before="20" w:after="20" w:line="276" w:lineRule="auto"/>
              <w:ind w:firstLine="0"/>
            </w:pPr>
            <w:r/>
            <w:r>
              <w:rPr>
                <w:rFonts w:ascii="Times New Roman" w:hAnsi="Times New Roman" w:eastAsia="宋体"/>
                <w:b w:val="0"/>
                <w:i w:val="0"/>
                <w:sz w:val="21"/>
              </w:rPr>
              <w:t>条件以单据金额加操作符加阈值表达，全链路金额单位统一为元；条件不满足时该节点标记为已跳过，流程继续且不视为审批通过；金额等于阈值时按操作符判定，配置为大于 100 万元时 100 万元整不命中该节点；本期条件仅支持单据金额，收敛为每节点最多 1 条金额条件</w:t>
            </w:r>
          </w:p>
        </w:tc>
      </w:tr>
      <w:tr>
        <w:tc>
          <w:tcPr>
            <w:tcW w:type="dxa" w:w="1701"/>
          </w:tcPr>
          <w:p>
            <w:pPr>
              <w:spacing w:before="20" w:after="20" w:line="276" w:lineRule="auto"/>
              <w:ind w:firstLine="0"/>
            </w:pPr>
            <w:r/>
            <w:r>
              <w:rPr>
                <w:rFonts w:ascii="Times New Roman" w:hAnsi="Times New Roman" w:eastAsia="宋体"/>
                <w:b w:val="0"/>
                <w:i w:val="0"/>
                <w:sz w:val="21"/>
              </w:rPr>
              <w:t>审批流程监控</w:t>
            </w:r>
          </w:p>
        </w:tc>
        <w:tc>
          <w:tcPr>
            <w:tcW w:type="dxa" w:w="7370"/>
          </w:tcPr>
          <w:p>
            <w:pPr>
              <w:spacing w:before="20" w:after="20" w:line="276" w:lineRule="auto"/>
              <w:ind w:firstLine="0"/>
            </w:pPr>
            <w:r/>
            <w:r>
              <w:rPr>
                <w:rFonts w:ascii="Times New Roman" w:hAnsi="Times New Roman" w:eastAsia="宋体"/>
                <w:b w:val="0"/>
                <w:i w:val="0"/>
                <w:sz w:val="21"/>
              </w:rPr>
              <w:t>4 张 KPI 分别为审批实例总数、审批中、已通过、已触发审批提醒，随筛选条件联动重算；状态页签为全部、审批中、已通过、已驳回、已撤回共 5 个并带计数；筛选为单据编号、应用模块 9 项、引用流程 3 项，均为实时过滤且无查询与重置按钮；实例列表 10 列含当前节点与当前审批人，会签节点的当前审批人显示为空横线；审批提醒记录含单据、应用模块、卡在节点、提醒对象、阈值、渠道、触发时间、送达状态</w:t>
            </w:r>
          </w:p>
        </w:tc>
      </w:tr>
      <w:tr>
        <w:tc>
          <w:tcPr>
            <w:tcW w:type="dxa" w:w="1701"/>
          </w:tcPr>
          <w:p>
            <w:pPr>
              <w:spacing w:before="20" w:after="20" w:line="276" w:lineRule="auto"/>
              <w:ind w:firstLine="0"/>
            </w:pPr>
            <w:r/>
            <w:r>
              <w:rPr>
                <w:rFonts w:ascii="Times New Roman" w:hAnsi="Times New Roman" w:eastAsia="宋体"/>
                <w:b w:val="0"/>
                <w:i w:val="0"/>
                <w:sz w:val="21"/>
              </w:rPr>
              <w:t>催办与撤回</w:t>
            </w:r>
          </w:p>
        </w:tc>
        <w:tc>
          <w:tcPr>
            <w:tcW w:type="dxa" w:w="7370"/>
          </w:tcPr>
          <w:p>
            <w:pPr>
              <w:spacing w:before="20" w:after="20" w:line="276" w:lineRule="auto"/>
              <w:ind w:firstLine="0"/>
            </w:pPr>
            <w:r/>
            <w:r>
              <w:rPr>
                <w:rFonts w:ascii="Times New Roman" w:hAnsi="Times New Roman" w:eastAsia="宋体"/>
                <w:b w:val="0"/>
                <w:i w:val="0"/>
                <w:sz w:val="21"/>
              </w:rPr>
              <w:t>催办与撤回当前为演示交互，提交后提示已发送或已提交，不改变审批实例状态也不写回后端；撤回操作需二次确认；真实版本需接入消息网关并补齐撤回权限校验</w:t>
            </w:r>
          </w:p>
        </w:tc>
      </w:tr>
      <w:tr>
        <w:tc>
          <w:tcPr>
            <w:tcW w:type="dxa" w:w="1701"/>
          </w:tcPr>
          <w:p>
            <w:pPr>
              <w:spacing w:before="20" w:after="20" w:line="276" w:lineRule="auto"/>
              <w:ind w:firstLine="0"/>
            </w:pPr>
            <w:r/>
            <w:r>
              <w:rPr>
                <w:rFonts w:ascii="Times New Roman" w:hAnsi="Times New Roman" w:eastAsia="宋体"/>
                <w:b w:val="0"/>
                <w:i w:val="0"/>
                <w:sz w:val="21"/>
              </w:rPr>
              <w:t>业务单据审批区块</w:t>
            </w:r>
          </w:p>
        </w:tc>
        <w:tc>
          <w:tcPr>
            <w:tcW w:type="dxa" w:w="7370"/>
          </w:tcPr>
          <w:p>
            <w:pPr>
              <w:spacing w:before="20" w:after="20" w:line="276" w:lineRule="auto"/>
              <w:ind w:firstLine="0"/>
            </w:pPr>
            <w:r/>
            <w:r>
              <w:rPr>
                <w:rFonts w:ascii="Times New Roman" w:hAnsi="Times New Roman" w:eastAsia="宋体"/>
                <w:b w:val="0"/>
                <w:i w:val="0"/>
                <w:sz w:val="21"/>
              </w:rPr>
              <w:t>当前已接入并渲染时间线的业务页面共 14 个，分布在合同管理 6 个、付款管理、退款管理、追保函管理、项目准入、客户准入、货转管理 2 个与放货管理；时间线节点状态区分已通过、进行中、待开始、已跳过 4 种；审批通过与驳回按钮仅当前在办节点的审批人可用，其余用户按钮置灰并提示当前节点不是你的待办；发起人可发起撤回申请</w:t>
            </w:r>
          </w:p>
        </w:tc>
      </w:tr>
      <w:tr>
        <w:tc>
          <w:tcPr>
            <w:tcW w:type="dxa" w:w="1701"/>
          </w:tcPr>
          <w:p>
            <w:pPr>
              <w:spacing w:before="20" w:after="20" w:line="276" w:lineRule="auto"/>
              <w:ind w:firstLine="0"/>
            </w:pPr>
            <w:r/>
            <w:r>
              <w:rPr>
                <w:rFonts w:ascii="Times New Roman" w:hAnsi="Times New Roman" w:eastAsia="宋体"/>
                <w:b w:val="0"/>
                <w:i w:val="0"/>
                <w:sz w:val="21"/>
              </w:rPr>
              <w:t>配置生效范围与在途单据保护</w:t>
            </w:r>
          </w:p>
        </w:tc>
        <w:tc>
          <w:tcPr>
            <w:tcW w:type="dxa" w:w="7370"/>
          </w:tcPr>
          <w:p>
            <w:pPr>
              <w:spacing w:before="20" w:after="20" w:line="276" w:lineRule="auto"/>
              <w:ind w:firstLine="0"/>
            </w:pPr>
            <w:r/>
            <w:r>
              <w:rPr>
                <w:rFonts w:ascii="Times New Roman" w:hAnsi="Times New Roman" w:eastAsia="宋体"/>
                <w:b w:val="0"/>
                <w:i w:val="0"/>
                <w:sz w:val="21"/>
              </w:rPr>
              <w:t>启用状态下的配置对后续新提交的单据生效；已在途单据按提交时已展开的节点序列执行，不被新配置改写；被引用的流程模板被删除时回退到标准审批流程，时间线仍可渲染，在途单据不断流</w:t>
            </w:r>
          </w:p>
        </w:tc>
      </w:tr>
      <w:tr>
        <w:tc>
          <w:tcPr>
            <w:tcW w:type="dxa" w:w="1701"/>
          </w:tcPr>
          <w:p>
            <w:pPr>
              <w:spacing w:before="20" w:after="20" w:line="276" w:lineRule="auto"/>
              <w:ind w:firstLine="0"/>
            </w:pPr>
            <w:r/>
            <w:r>
              <w:rPr>
                <w:rFonts w:ascii="Times New Roman" w:hAnsi="Times New Roman" w:eastAsia="宋体"/>
                <w:b w:val="0"/>
                <w:i w:val="0"/>
                <w:sz w:val="21"/>
              </w:rPr>
              <w:t>流程图预览与求值明细</w:t>
            </w:r>
          </w:p>
        </w:tc>
        <w:tc>
          <w:tcPr>
            <w:tcW w:type="dxa" w:w="7370"/>
          </w:tcPr>
          <w:p>
            <w:pPr>
              <w:spacing w:before="20" w:after="20" w:line="276" w:lineRule="auto"/>
              <w:ind w:firstLine="0"/>
            </w:pPr>
            <w:r/>
            <w:r>
              <w:rPr>
                <w:rFonts w:ascii="Times New Roman" w:hAnsi="Times New Roman" w:eastAsia="宋体"/>
                <w:b w:val="0"/>
                <w:i w:val="0"/>
                <w:sz w:val="21"/>
              </w:rPr>
              <w:t>预览弹窗包含流程名称、节点总数、条件评估金额与条件结果；节点流转区与业务单据审批详情同款；触发条件求值明细列出节点、条件、操作符、阈值、实际值与结果，未配置条件的流程不显示该区；配置态没有真实单据，不提供金额输入框，金额使用演示基准值</w:t>
            </w:r>
          </w:p>
        </w:tc>
      </w:tr>
    </w:tbl>
    <w:p>
      <w:pPr>
        <w:spacing w:before="0" w:after="0" w:line="240" w:lineRule="auto"/>
      </w:pPr>
    </w:p>
    <w:p>
      <w:pPr>
        <w:spacing w:before="120" w:after="60" w:line="360" w:lineRule="auto"/>
      </w:pPr>
      <w:r>
        <w:rPr>
          <w:rFonts w:ascii="Times New Roman" w:hAnsi="Times New Roman" w:eastAsia="宋体"/>
          <w:b/>
          <w:i w:val="0"/>
          <w:sz w:val="24"/>
        </w:rPr>
        <w:t>待业务方确认：</w:t>
      </w:r>
    </w:p>
    <w:p>
      <w:pPr>
        <w:spacing w:before="0" w:after="60" w:line="336" w:lineRule="auto"/>
        <w:ind w:left="340" w:firstLine="0"/>
      </w:pPr>
      <w:r>
        <w:rPr>
          <w:rFonts w:ascii="Times New Roman" w:hAnsi="Times New Roman" w:eastAsia="宋体"/>
          <w:b w:val="0"/>
          <w:i w:val="0"/>
          <w:sz w:val="24"/>
        </w:rPr>
        <w:t>· 待业务方确认：收发货管理、结算单管理、回款管理、运输合同属于规划中，在应用模块字典里可选但对应业务页面尚未引入通用引擎、不渲染审批时间线，四项的启用时点需明确</w:t>
      </w:r>
    </w:p>
    <w:p>
      <w:pPr>
        <w:spacing w:before="0" w:after="60" w:line="336" w:lineRule="auto"/>
        <w:ind w:left="340" w:firstLine="0"/>
      </w:pPr>
      <w:r>
        <w:rPr>
          <w:rFonts w:ascii="Times New Roman" w:hAnsi="Times New Roman" w:eastAsia="宋体"/>
          <w:b w:val="0"/>
          <w:i w:val="0"/>
          <w:sz w:val="24"/>
        </w:rPr>
        <w:t>· 待业务方确认：业务线管理、发票管理、保证金管理目前没有应用审批流程，若业务上确需审批需先补引擎接入与审批层级</w:t>
      </w:r>
    </w:p>
    <w:p>
      <w:pPr>
        <w:spacing w:before="0" w:after="60" w:line="336" w:lineRule="auto"/>
        <w:ind w:left="340" w:firstLine="0"/>
      </w:pPr>
      <w:r>
        <w:rPr>
          <w:rFonts w:ascii="Times New Roman" w:hAnsi="Times New Roman" w:eastAsia="宋体"/>
          <w:b w:val="0"/>
          <w:i w:val="0"/>
          <w:sz w:val="24"/>
        </w:rPr>
        <w:t>· 待业务方确认：客户准入已接入审批但未纳入应用模块字典，监控页无法按该模块筛选、标签显示原始标识；且项目详情与客户详情为页面自绘时间线，与引擎渲染是两套实现，需确认是否收敛为一套</w:t>
      </w:r>
    </w:p>
    <w:p>
      <w:pPr>
        <w:spacing w:before="0" w:after="60" w:line="336" w:lineRule="auto"/>
        <w:ind w:left="340" w:firstLine="0"/>
      </w:pPr>
      <w:r>
        <w:rPr>
          <w:rFonts w:ascii="Times New Roman" w:hAnsi="Times New Roman" w:eastAsia="宋体"/>
          <w:b w:val="0"/>
          <w:i w:val="0"/>
          <w:sz w:val="24"/>
        </w:rPr>
        <w:t>· 待业务方确认：审批流程监控页的模块筛选项实际由应用模块字典派生共 9 项，与旧文档中的 8 项说法不一致，需确认以 9 项为准</w:t>
      </w:r>
    </w:p>
    <w:p>
      <w:pPr>
        <w:spacing w:before="0" w:after="60" w:line="336" w:lineRule="auto"/>
        <w:ind w:left="340" w:firstLine="0"/>
      </w:pPr>
      <w:r>
        <w:rPr>
          <w:rFonts w:ascii="Times New Roman" w:hAnsi="Times New Roman" w:eastAsia="宋体"/>
          <w:b w:val="0"/>
          <w:i w:val="0"/>
          <w:sz w:val="24"/>
        </w:rPr>
        <w:t>· 待业务方确认：催办与撤回的真实发送能力与撤回权限校验规则</w:t>
      </w:r>
    </w:p>
    <w:p>
      <w:pPr>
        <w:spacing w:before="0" w:after="60" w:line="336" w:lineRule="auto"/>
        <w:ind w:left="340" w:firstLine="0"/>
      </w:pPr>
      <w:r>
        <w:rPr>
          <w:rFonts w:ascii="Times New Roman" w:hAnsi="Times New Roman" w:eastAsia="宋体"/>
          <w:b w:val="0"/>
          <w:i w:val="0"/>
          <w:sz w:val="24"/>
        </w:rPr>
        <w:t>· 待业务方确认：业务方已定本期仅提供串行审批流，而节点属性中仍保留并行会签选项，是否收敛为仅串行需明确</w:t>
      </w:r>
    </w:p>
    <w:p>
      <w:r>
        <w:br w:type="page"/>
      </w:r>
    </w:p>
    <w:p>
      <w:pPr>
        <w:pStyle w:val="Heading2"/>
        <w:keepNext/>
        <w:spacing w:before="240" w:after="120" w:line="312" w:lineRule="auto"/>
        <w:ind w:firstLine="0"/>
      </w:pPr>
      <w:r>
        <w:rPr>
          <w:rFonts w:ascii="Times New Roman" w:hAnsi="Times New Roman" w:eastAsia="黑体"/>
          <w:b/>
          <w:i w:val="0"/>
          <w:sz w:val="28"/>
        </w:rPr>
        <w:t>4.20　入库管理</w:t>
      </w:r>
    </w:p>
    <w:p>
      <w:pPr>
        <w:spacing w:before="0" w:after="160" w:line="360" w:lineRule="auto"/>
      </w:pPr>
      <w:r>
        <w:rPr>
          <w:rFonts w:ascii="Times New Roman" w:hAnsi="Times New Roman" w:eastAsia="宋体"/>
          <w:b w:val="0"/>
          <w:i w:val="0"/>
          <w:color w:val="595959"/>
          <w:sz w:val="21"/>
        </w:rPr>
        <w:t>菜单路径：仓储管理 / 入库管理</w:t>
      </w:r>
    </w:p>
    <w:p>
      <w:pPr>
        <w:pStyle w:val="Heading3"/>
        <w:keepNext/>
        <w:spacing w:before="160" w:after="80" w:line="312" w:lineRule="auto"/>
        <w:ind w:firstLine="0"/>
      </w:pPr>
      <w:r>
        <w:rPr>
          <w:rFonts w:ascii="Times New Roman" w:hAnsi="Times New Roman" w:eastAsia="黑体"/>
          <w:b/>
          <w:i w:val="0"/>
          <w:sz w:val="24"/>
        </w:rPr>
        <w:t>4.20.1　一页结论</w:t>
      </w:r>
    </w:p>
    <w:p>
      <w:pPr>
        <w:spacing w:before="0" w:after="120" w:line="360" w:lineRule="auto"/>
      </w:pPr>
      <w:r>
        <w:rPr>
          <w:rFonts w:ascii="Times New Roman" w:hAnsi="Times New Roman" w:eastAsia="宋体"/>
          <w:b w:val="0"/>
          <w:i w:val="0"/>
          <w:sz w:val="24"/>
        </w:rPr>
        <w:t>登记货物入库的完整履约动作：按运输方式关联采购合同录入实收数量与单据，同步更新库存台账，并保留可追溯的操作留痕。</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928"/>
            <w:shd w:val="clear" w:color="auto" w:fill="DCE6F1"/>
          </w:tcPr>
          <w:p>
            <w:pPr>
              <w:spacing w:before="40" w:after="40" w:line="276" w:lineRule="auto"/>
              <w:jc w:val="center"/>
            </w:pPr>
            <w:r/>
            <w:r>
              <w:rPr>
                <w:rFonts w:ascii="Times New Roman" w:hAnsi="Times New Roman" w:eastAsia="黑体"/>
                <w:b/>
                <w:i w:val="0"/>
                <w:sz w:val="21"/>
              </w:rPr>
              <w:t>问题</w:t>
            </w:r>
          </w:p>
        </w:tc>
        <w:tc>
          <w:tcPr>
            <w:tcW w:type="dxa" w:w="3572"/>
            <w:shd w:val="clear" w:color="auto" w:fill="DCE6F1"/>
          </w:tcPr>
          <w:p>
            <w:pPr>
              <w:spacing w:before="40" w:after="40" w:line="276" w:lineRule="auto"/>
              <w:jc w:val="center"/>
            </w:pPr>
            <w:r/>
            <w:r>
              <w:rPr>
                <w:rFonts w:ascii="Times New Roman" w:hAnsi="Times New Roman" w:eastAsia="黑体"/>
                <w:b/>
                <w:i w:val="0"/>
                <w:sz w:val="21"/>
              </w:rPr>
              <w:t>当前做法</w:t>
            </w:r>
          </w:p>
        </w:tc>
        <w:tc>
          <w:tcPr>
            <w:tcW w:type="dxa" w:w="3572"/>
            <w:shd w:val="clear" w:color="auto" w:fill="DCE6F1"/>
          </w:tcPr>
          <w:p>
            <w:pPr>
              <w:spacing w:before="40" w:after="40" w:line="276" w:lineRule="auto"/>
              <w:jc w:val="center"/>
            </w:pPr>
            <w:r/>
            <w:r>
              <w:rPr>
                <w:rFonts w:ascii="Times New Roman" w:hAnsi="Times New Roman" w:eastAsia="黑体"/>
                <w:b/>
                <w:i w:val="0"/>
                <w:sz w:val="21"/>
              </w:rPr>
              <w:t>本模块解法</w:t>
            </w:r>
          </w:p>
        </w:tc>
      </w:tr>
      <w:tr>
        <w:tc>
          <w:tcPr>
            <w:tcW w:type="dxa" w:w="1928"/>
          </w:tcPr>
          <w:p>
            <w:pPr>
              <w:spacing w:before="20" w:after="20" w:line="276" w:lineRule="auto"/>
              <w:ind w:firstLine="0"/>
            </w:pPr>
            <w:r/>
            <w:r>
              <w:rPr>
                <w:rFonts w:ascii="Times New Roman" w:hAnsi="Times New Roman" w:eastAsia="宋体"/>
                <w:b w:val="0"/>
                <w:i w:val="0"/>
                <w:sz w:val="21"/>
              </w:rPr>
              <w:t>入库登记与合同脱节，品名与数量口径易与合同不一致</w:t>
            </w:r>
          </w:p>
        </w:tc>
        <w:tc>
          <w:tcPr>
            <w:tcW w:type="dxa" w:w="3572"/>
          </w:tcPr>
          <w:p>
            <w:pPr>
              <w:spacing w:before="20" w:after="20" w:line="276" w:lineRule="auto"/>
              <w:ind w:firstLine="0"/>
            </w:pPr>
            <w:r/>
            <w:r>
              <w:rPr>
                <w:rFonts w:ascii="Times New Roman" w:hAnsi="Times New Roman" w:eastAsia="宋体"/>
                <w:b w:val="0"/>
                <w:i w:val="0"/>
                <w:sz w:val="21"/>
              </w:rPr>
              <w:t>收货完成后靠人工在纸质台账登记，数量与品名由登记人自行判断，与合同口径不一致时无法在系统内发现</w:t>
            </w:r>
          </w:p>
        </w:tc>
        <w:tc>
          <w:tcPr>
            <w:tcW w:type="dxa" w:w="3572"/>
          </w:tcPr>
          <w:p>
            <w:pPr>
              <w:spacing w:before="20" w:after="20" w:line="276" w:lineRule="auto"/>
              <w:ind w:firstLine="0"/>
            </w:pPr>
            <w:r/>
            <w:r>
              <w:rPr>
                <w:rFonts w:ascii="Times New Roman" w:hAnsi="Times New Roman" w:eastAsia="宋体"/>
                <w:b w:val="0"/>
                <w:i w:val="0"/>
                <w:sz w:val="21"/>
              </w:rPr>
              <w:t>新增入库前先关联采购合同并带出合同信息，品名必须与合同品名保持一致；无合同时只能走盘盈入库通道</w:t>
            </w:r>
          </w:p>
        </w:tc>
      </w:tr>
      <w:tr>
        <w:tc>
          <w:tcPr>
            <w:tcW w:type="dxa" w:w="1928"/>
          </w:tcPr>
          <w:p>
            <w:pPr>
              <w:spacing w:before="20" w:after="20" w:line="276" w:lineRule="auto"/>
              <w:ind w:firstLine="0"/>
            </w:pPr>
            <w:r/>
            <w:r>
              <w:rPr>
                <w:rFonts w:ascii="Times New Roman" w:hAnsi="Times New Roman" w:eastAsia="宋体"/>
                <w:b w:val="0"/>
                <w:i w:val="0"/>
                <w:sz w:val="21"/>
              </w:rPr>
              <w:t>入库单据类型随运输方式变化，仓库人工核对易漏项</w:t>
            </w:r>
          </w:p>
        </w:tc>
        <w:tc>
          <w:tcPr>
            <w:tcW w:type="dxa" w:w="3572"/>
          </w:tcPr>
          <w:p>
            <w:pPr>
              <w:spacing w:before="20" w:after="20" w:line="276" w:lineRule="auto"/>
              <w:ind w:firstLine="0"/>
            </w:pPr>
            <w:r/>
            <w:r>
              <w:rPr>
                <w:rFonts w:ascii="Times New Roman" w:hAnsi="Times New Roman" w:eastAsia="宋体"/>
                <w:b w:val="0"/>
                <w:i w:val="0"/>
                <w:sz w:val="21"/>
              </w:rPr>
              <w:t>汽运要磅单与磅单明细、火运要铁路大票与出入库明细、船运要随船计量单，纸质清单靠人工比对，漏传难发现</w:t>
            </w:r>
          </w:p>
        </w:tc>
        <w:tc>
          <w:tcPr>
            <w:tcW w:type="dxa" w:w="3572"/>
          </w:tcPr>
          <w:p>
            <w:pPr>
              <w:spacing w:before="20" w:after="20" w:line="276" w:lineRule="auto"/>
              <w:ind w:firstLine="0"/>
            </w:pPr>
            <w:r/>
            <w:r>
              <w:rPr>
                <w:rFonts w:ascii="Times New Roman" w:hAnsi="Times New Roman" w:eastAsia="宋体"/>
                <w:b w:val="0"/>
                <w:i w:val="0"/>
                <w:sz w:val="21"/>
              </w:rPr>
              <w:t>运输方式为唯一开关，选定后系统自动切换必传与非必传单据清单及各自可上传的格式；附件明细由配置驱动统一渲染</w:t>
            </w:r>
          </w:p>
        </w:tc>
      </w:tr>
      <w:tr>
        <w:tc>
          <w:tcPr>
            <w:tcW w:type="dxa" w:w="1928"/>
          </w:tcPr>
          <w:p>
            <w:pPr>
              <w:spacing w:before="20" w:after="20" w:line="276" w:lineRule="auto"/>
              <w:ind w:firstLine="0"/>
            </w:pPr>
            <w:r/>
            <w:r>
              <w:rPr>
                <w:rFonts w:ascii="Times New Roman" w:hAnsi="Times New Roman" w:eastAsia="宋体"/>
                <w:b w:val="0"/>
                <w:i w:val="0"/>
                <w:sz w:val="21"/>
              </w:rPr>
              <w:t>盘盈实物无采购合同可依，无法入账</w:t>
            </w:r>
          </w:p>
        </w:tc>
        <w:tc>
          <w:tcPr>
            <w:tcW w:type="dxa" w:w="3572"/>
          </w:tcPr>
          <w:p>
            <w:pPr>
              <w:spacing w:before="20" w:after="20" w:line="276" w:lineRule="auto"/>
              <w:ind w:firstLine="0"/>
            </w:pPr>
            <w:r/>
            <w:r>
              <w:rPr>
                <w:rFonts w:ascii="Times New Roman" w:hAnsi="Times New Roman" w:eastAsia="宋体"/>
                <w:b w:val="0"/>
                <w:i w:val="0"/>
                <w:sz w:val="21"/>
              </w:rPr>
              <w:t>盘点多出的货物没有采购合同可关联，只能挂账不登记，实际库存与账面库存长期背离</w:t>
            </w:r>
          </w:p>
        </w:tc>
        <w:tc>
          <w:tcPr>
            <w:tcW w:type="dxa" w:w="3572"/>
          </w:tcPr>
          <w:p>
            <w:pPr>
              <w:spacing w:before="20" w:after="20" w:line="276" w:lineRule="auto"/>
              <w:ind w:firstLine="0"/>
            </w:pPr>
            <w:r/>
            <w:r>
              <w:rPr>
                <w:rFonts w:ascii="Times New Roman" w:hAnsi="Times New Roman" w:eastAsia="宋体"/>
                <w:b w:val="0"/>
                <w:i w:val="0"/>
                <w:sz w:val="21"/>
              </w:rPr>
              <w:t>提供盘盈入库通道，不关联采购合同也不联动业务线，但强制填写盘盈说明与仓房货位，登记后计入实际库存</w:t>
            </w:r>
          </w:p>
        </w:tc>
      </w:tr>
      <w:tr>
        <w:tc>
          <w:tcPr>
            <w:tcW w:type="dxa" w:w="1928"/>
          </w:tcPr>
          <w:p>
            <w:pPr>
              <w:spacing w:before="20" w:after="20" w:line="276" w:lineRule="auto"/>
              <w:ind w:firstLine="0"/>
            </w:pPr>
            <w:r/>
            <w:r>
              <w:rPr>
                <w:rFonts w:ascii="Times New Roman" w:hAnsi="Times New Roman" w:eastAsia="宋体"/>
                <w:b w:val="0"/>
                <w:i w:val="0"/>
                <w:sz w:val="21"/>
              </w:rPr>
              <w:t>入库登记错误难以追溯与纠正</w:t>
            </w:r>
          </w:p>
        </w:tc>
        <w:tc>
          <w:tcPr>
            <w:tcW w:type="dxa" w:w="3572"/>
          </w:tcPr>
          <w:p>
            <w:pPr>
              <w:spacing w:before="20" w:after="20" w:line="276" w:lineRule="auto"/>
              <w:ind w:firstLine="0"/>
            </w:pPr>
            <w:r/>
            <w:r>
              <w:rPr>
                <w:rFonts w:ascii="Times New Roman" w:hAnsi="Times New Roman" w:eastAsia="宋体"/>
                <w:b w:val="0"/>
                <w:i w:val="0"/>
                <w:sz w:val="21"/>
              </w:rPr>
              <w:t>登记错误只能线下改单，事后说不清是谁在何时改了哪一条</w:t>
            </w:r>
          </w:p>
        </w:tc>
        <w:tc>
          <w:tcPr>
            <w:tcW w:type="dxa" w:w="3572"/>
          </w:tcPr>
          <w:p>
            <w:pPr>
              <w:spacing w:before="20" w:after="20" w:line="276" w:lineRule="auto"/>
              <w:ind w:firstLine="0"/>
            </w:pPr>
            <w:r/>
            <w:r>
              <w:rPr>
                <w:rFonts w:ascii="Times New Roman" w:hAnsi="Times New Roman" w:eastAsia="宋体"/>
                <w:b w:val="0"/>
                <w:i w:val="0"/>
                <w:sz w:val="21"/>
              </w:rPr>
              <w:t>入库记录编辑仅开放入库单价，删除需二次确认并释放对应货物数量，详情页保留操作记录逐条留痕</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4.20.2　背景与目标</w:t>
      </w:r>
    </w:p>
    <w:tbl>
      <w:tblPr>
        <w:tblStyle w:val="TableGrid"/>
        <w:tblW w:type="auto" w:w="0"/>
        <w:jc w:val="center"/>
        <w:tblLayout w:type="fixed"/>
        <w:tblLook w:firstColumn="1" w:firstRow="1" w:lastColumn="0" w:lastRow="0" w:noHBand="0" w:noVBand="1" w:val="04A0"/>
      </w:tblPr>
      <w:tblGrid>
        <w:gridCol w:w="8958"/>
      </w:tblGrid>
      <w:tr>
        <w:trPr>
          <w:tblHeader w:val="true"/>
        </w:trPr>
        <w:tc>
          <w:tcPr>
            <w:tcW w:type="dxa" w:w="9071"/>
            <w:shd w:val="clear" w:color="auto" w:fill="DCE6F1"/>
          </w:tcPr>
          <w:p>
            <w:pPr>
              <w:spacing w:before="40" w:after="40" w:line="276" w:lineRule="auto"/>
              <w:jc w:val="center"/>
            </w:pPr>
            <w:r/>
            <w:r>
              <w:rPr>
                <w:rFonts w:ascii="Times New Roman" w:hAnsi="Times New Roman" w:eastAsia="黑体"/>
                <w:b/>
                <w:i w:val="0"/>
                <w:sz w:val="21"/>
              </w:rPr>
              <w:t>目标 / 衡量口径</w:t>
            </w:r>
          </w:p>
        </w:tc>
      </w:tr>
      <w:tr>
        <w:tc>
          <w:tcPr>
            <w:tcW w:type="dxa" w:w="9071"/>
          </w:tcPr>
          <w:p>
            <w:pPr>
              <w:spacing w:before="20" w:after="20" w:line="276" w:lineRule="auto"/>
              <w:ind w:firstLine="0"/>
            </w:pPr>
            <w:r/>
            <w:r>
              <w:rPr>
                <w:rFonts w:ascii="Times New Roman" w:hAnsi="Times New Roman" w:eastAsia="宋体"/>
                <w:b w:val="0"/>
                <w:i w:val="0"/>
                <w:sz w:val="21"/>
              </w:rPr>
              <w:t>入库登记除盘盈入库外 100% 先关联采购合同，品名与合同品名保持一致</w:t>
            </w:r>
          </w:p>
        </w:tc>
      </w:tr>
      <w:tr>
        <w:tc>
          <w:tcPr>
            <w:tcW w:type="dxa" w:w="9071"/>
          </w:tcPr>
          <w:p>
            <w:pPr>
              <w:spacing w:before="20" w:after="20" w:line="276" w:lineRule="auto"/>
              <w:ind w:firstLine="0"/>
            </w:pPr>
            <w:r/>
            <w:r>
              <w:rPr>
                <w:rFonts w:ascii="Times New Roman" w:hAnsi="Times New Roman" w:eastAsia="宋体"/>
                <w:b w:val="0"/>
                <w:i w:val="0"/>
                <w:sz w:val="21"/>
              </w:rPr>
              <w:t>入库提交后自动更新库存台账实际库存，并联动业务线货物进度与合同已收数量</w:t>
            </w:r>
          </w:p>
        </w:tc>
      </w:tr>
      <w:tr>
        <w:tc>
          <w:tcPr>
            <w:tcW w:type="dxa" w:w="9071"/>
          </w:tcPr>
          <w:p>
            <w:pPr>
              <w:spacing w:before="20" w:after="20" w:line="276" w:lineRule="auto"/>
              <w:ind w:firstLine="0"/>
            </w:pPr>
            <w:r/>
            <w:r>
              <w:rPr>
                <w:rFonts w:ascii="Times New Roman" w:hAnsi="Times New Roman" w:eastAsia="宋体"/>
                <w:b w:val="0"/>
                <w:i w:val="0"/>
                <w:sz w:val="21"/>
              </w:rPr>
              <w:t>单据必传与非必传清单随运输方式自动切换，单文件大小超过 100M 由系统直接拦截</w:t>
            </w:r>
          </w:p>
        </w:tc>
      </w:tr>
      <w:tr>
        <w:tc>
          <w:tcPr>
            <w:tcW w:type="dxa" w:w="9071"/>
          </w:tcPr>
          <w:p>
            <w:pPr>
              <w:spacing w:before="20" w:after="20" w:line="276" w:lineRule="auto"/>
              <w:ind w:firstLine="0"/>
            </w:pPr>
            <w:r/>
            <w:r>
              <w:rPr>
                <w:rFonts w:ascii="Times New Roman" w:hAnsi="Times New Roman" w:eastAsia="宋体"/>
                <w:b w:val="0"/>
                <w:i w:val="0"/>
                <w:sz w:val="21"/>
              </w:rPr>
              <w:t>入库全链路操作留痕：创建人、创建时间、操作类型、操作内容与操作时间在详情页可查</w:t>
            </w:r>
          </w:p>
        </w:tc>
      </w:tr>
    </w:tbl>
    <w:p>
      <w:pPr>
        <w:spacing w:before="0" w:after="0" w:line="240" w:lineRule="auto"/>
      </w:pPr>
    </w:p>
    <w:p>
      <w:pPr>
        <w:spacing w:before="80" w:after="120" w:line="360" w:lineRule="auto"/>
      </w:pPr>
      <w:r>
        <w:rPr>
          <w:rFonts w:ascii="Times New Roman" w:hAnsi="Times New Roman" w:eastAsia="宋体"/>
          <w:b w:val="0"/>
          <w:i w:val="0"/>
          <w:color w:val="595959"/>
          <w:sz w:val="21"/>
        </w:rPr>
        <w:t>说明：文中口径以业务方已确认结论为准；未确认项集中列于本章末与第 5 章。</w:t>
      </w:r>
    </w:p>
    <w:p>
      <w:pPr>
        <w:pStyle w:val="Heading3"/>
        <w:keepNext/>
        <w:spacing w:before="160" w:after="80" w:line="312" w:lineRule="auto"/>
        <w:ind w:firstLine="0"/>
      </w:pPr>
      <w:r>
        <w:rPr>
          <w:rFonts w:ascii="Times New Roman" w:hAnsi="Times New Roman" w:eastAsia="黑体"/>
          <w:b/>
          <w:i w:val="0"/>
          <w:sz w:val="24"/>
        </w:rPr>
        <w:t>4.20.3　角色与用户需求</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361"/>
            <w:shd w:val="clear" w:color="auto" w:fill="DCE6F1"/>
          </w:tcPr>
          <w:p>
            <w:pPr>
              <w:spacing w:before="40" w:after="40" w:line="276" w:lineRule="auto"/>
              <w:jc w:val="center"/>
            </w:pPr>
            <w:r/>
            <w:r>
              <w:rPr>
                <w:rFonts w:ascii="Times New Roman" w:hAnsi="Times New Roman" w:eastAsia="黑体"/>
                <w:b/>
                <w:i w:val="0"/>
                <w:sz w:val="21"/>
              </w:rPr>
              <w:t>角色</w:t>
            </w:r>
          </w:p>
        </w:tc>
        <w:tc>
          <w:tcPr>
            <w:tcW w:type="dxa" w:w="1247"/>
            <w:shd w:val="clear" w:color="auto" w:fill="DCE6F1"/>
          </w:tcPr>
          <w:p>
            <w:pPr>
              <w:spacing w:before="40" w:after="40" w:line="276" w:lineRule="auto"/>
              <w:jc w:val="center"/>
            </w:pPr>
            <w:r/>
            <w:r>
              <w:rPr>
                <w:rFonts w:ascii="Times New Roman" w:hAnsi="Times New Roman" w:eastAsia="黑体"/>
                <w:b/>
                <w:i w:val="0"/>
                <w:sz w:val="21"/>
              </w:rPr>
              <w:t>所属部门</w:t>
            </w:r>
          </w:p>
        </w:tc>
        <w:tc>
          <w:tcPr>
            <w:tcW w:type="dxa" w:w="6463"/>
            <w:shd w:val="clear" w:color="auto" w:fill="DCE6F1"/>
          </w:tcPr>
          <w:p>
            <w:pPr>
              <w:spacing w:before="40" w:after="40" w:line="276" w:lineRule="auto"/>
              <w:jc w:val="center"/>
            </w:pPr>
            <w:r/>
            <w:r>
              <w:rPr>
                <w:rFonts w:ascii="Times New Roman" w:hAnsi="Times New Roman" w:eastAsia="黑体"/>
                <w:b/>
                <w:i w:val="0"/>
                <w:sz w:val="21"/>
              </w:rPr>
              <w:t>用户需求（我要…以便…）</w:t>
            </w:r>
          </w:p>
        </w:tc>
      </w:tr>
      <w:tr>
        <w:tc>
          <w:tcPr>
            <w:tcW w:type="dxa" w:w="1361"/>
          </w:tcPr>
          <w:p>
            <w:pPr>
              <w:spacing w:before="20" w:after="20" w:line="276" w:lineRule="auto"/>
              <w:ind w:firstLine="0"/>
            </w:pPr>
            <w:r/>
            <w:r>
              <w:rPr>
                <w:rFonts w:ascii="Times New Roman" w:hAnsi="Times New Roman" w:eastAsia="宋体"/>
                <w:b w:val="0"/>
                <w:i w:val="0"/>
                <w:sz w:val="21"/>
              </w:rPr>
              <w:t>仓储员</w:t>
            </w:r>
          </w:p>
        </w:tc>
        <w:tc>
          <w:tcPr>
            <w:tcW w:type="dxa" w:w="1247"/>
          </w:tcPr>
          <w:p>
            <w:pPr>
              <w:spacing w:before="20" w:after="20" w:line="276" w:lineRule="auto"/>
              <w:ind w:firstLine="0"/>
            </w:pPr>
            <w:r/>
            <w:r>
              <w:rPr>
                <w:rFonts w:ascii="Times New Roman" w:hAnsi="Times New Roman" w:eastAsia="宋体"/>
                <w:b w:val="0"/>
                <w:i w:val="0"/>
                <w:sz w:val="21"/>
              </w:rPr>
              <w:t>仓储部</w:t>
            </w:r>
          </w:p>
        </w:tc>
        <w:tc>
          <w:tcPr>
            <w:tcW w:type="dxa" w:w="6463"/>
          </w:tcPr>
          <w:p>
            <w:pPr>
              <w:spacing w:before="20" w:after="20" w:line="276" w:lineRule="auto"/>
              <w:ind w:firstLine="0"/>
            </w:pPr>
            <w:r/>
            <w:r>
              <w:rPr>
                <w:rFonts w:ascii="Times New Roman" w:hAnsi="Times New Roman" w:eastAsia="宋体"/>
                <w:b w:val="0"/>
                <w:i w:val="0"/>
                <w:sz w:val="21"/>
              </w:rPr>
              <w:t>我要按运输方式登记货物入库并上传入库单据，以便库存台账实时反映实际库存</w:t>
            </w:r>
          </w:p>
        </w:tc>
      </w:tr>
      <w:tr>
        <w:tc>
          <w:tcPr>
            <w:tcW w:type="dxa" w:w="1361"/>
          </w:tcPr>
          <w:p>
            <w:pPr>
              <w:spacing w:before="20" w:after="20" w:line="276" w:lineRule="auto"/>
              <w:ind w:firstLine="0"/>
            </w:pPr>
            <w:r/>
            <w:r>
              <w:rPr>
                <w:rFonts w:ascii="Times New Roman" w:hAnsi="Times New Roman" w:eastAsia="宋体"/>
                <w:b w:val="0"/>
                <w:i w:val="0"/>
                <w:sz w:val="21"/>
              </w:rPr>
              <w:t>仓储方操作人员</w:t>
            </w:r>
          </w:p>
        </w:tc>
        <w:tc>
          <w:tcPr>
            <w:tcW w:type="dxa" w:w="1247"/>
          </w:tcPr>
          <w:p>
            <w:pPr>
              <w:spacing w:before="20" w:after="20" w:line="276" w:lineRule="auto"/>
              <w:ind w:firstLine="0"/>
            </w:pPr>
            <w:r/>
            <w:r>
              <w:rPr>
                <w:rFonts w:ascii="Times New Roman" w:hAnsi="Times New Roman" w:eastAsia="宋体"/>
                <w:b w:val="0"/>
                <w:i w:val="0"/>
                <w:sz w:val="21"/>
              </w:rPr>
              <w:t>第三方仓储方</w:t>
            </w:r>
          </w:p>
        </w:tc>
        <w:tc>
          <w:tcPr>
            <w:tcW w:type="dxa" w:w="6463"/>
          </w:tcPr>
          <w:p>
            <w:pPr>
              <w:spacing w:before="20" w:after="20" w:line="276" w:lineRule="auto"/>
              <w:ind w:firstLine="0"/>
            </w:pPr>
            <w:r/>
            <w:r>
              <w:rPr>
                <w:rFonts w:ascii="Times New Roman" w:hAnsi="Times New Roman" w:eastAsia="宋体"/>
                <w:b w:val="0"/>
                <w:i w:val="0"/>
                <w:sz w:val="21"/>
              </w:rPr>
              <w:t>我要按实际到货情况填写入库车数与最重货物放置的仓房货位，以便单据记录与实物一致</w:t>
            </w:r>
          </w:p>
        </w:tc>
      </w:tr>
      <w:tr>
        <w:tc>
          <w:tcPr>
            <w:tcW w:type="dxa" w:w="1361"/>
          </w:tcPr>
          <w:p>
            <w:pPr>
              <w:spacing w:before="20" w:after="20" w:line="276" w:lineRule="auto"/>
              <w:ind w:firstLine="0"/>
            </w:pPr>
            <w:r/>
            <w:r>
              <w:rPr>
                <w:rFonts w:ascii="Times New Roman" w:hAnsi="Times New Roman" w:eastAsia="宋体"/>
                <w:b w:val="0"/>
                <w:i w:val="0"/>
                <w:sz w:val="21"/>
              </w:rPr>
              <w:t>库管负责人</w:t>
            </w:r>
          </w:p>
        </w:tc>
        <w:tc>
          <w:tcPr>
            <w:tcW w:type="dxa" w:w="1247"/>
          </w:tcPr>
          <w:p>
            <w:pPr>
              <w:spacing w:before="20" w:after="20" w:line="276" w:lineRule="auto"/>
              <w:ind w:firstLine="0"/>
            </w:pPr>
            <w:r/>
            <w:r>
              <w:rPr>
                <w:rFonts w:ascii="Times New Roman" w:hAnsi="Times New Roman" w:eastAsia="宋体"/>
                <w:b w:val="0"/>
                <w:i w:val="0"/>
                <w:sz w:val="21"/>
              </w:rPr>
              <w:t>仓储部</w:t>
            </w:r>
          </w:p>
        </w:tc>
        <w:tc>
          <w:tcPr>
            <w:tcW w:type="dxa" w:w="6463"/>
          </w:tcPr>
          <w:p>
            <w:pPr>
              <w:spacing w:before="20" w:after="20" w:line="276" w:lineRule="auto"/>
              <w:ind w:firstLine="0"/>
            </w:pPr>
            <w:r/>
            <w:r>
              <w:rPr>
                <w:rFonts w:ascii="Times New Roman" w:hAnsi="Times New Roman" w:eastAsia="宋体"/>
                <w:b w:val="0"/>
                <w:i w:val="0"/>
                <w:sz w:val="21"/>
              </w:rPr>
              <w:t>我要核对入库登记的品名、数量与单据完整性，以便及时发现登记错误并追溯操作人</w:t>
            </w:r>
          </w:p>
        </w:tc>
      </w:tr>
      <w:tr>
        <w:tc>
          <w:tcPr>
            <w:tcW w:type="dxa" w:w="1361"/>
          </w:tcPr>
          <w:p>
            <w:pPr>
              <w:spacing w:before="20" w:after="20" w:line="276" w:lineRule="auto"/>
              <w:ind w:firstLine="0"/>
            </w:pPr>
            <w:r/>
            <w:r>
              <w:rPr>
                <w:rFonts w:ascii="Times New Roman" w:hAnsi="Times New Roman" w:eastAsia="宋体"/>
                <w:b w:val="0"/>
                <w:i w:val="0"/>
                <w:sz w:val="21"/>
              </w:rPr>
              <w:t>业务员</w:t>
            </w:r>
          </w:p>
        </w:tc>
        <w:tc>
          <w:tcPr>
            <w:tcW w:type="dxa" w:w="1247"/>
          </w:tcPr>
          <w:p>
            <w:pPr>
              <w:spacing w:before="20" w:after="20" w:line="276" w:lineRule="auto"/>
              <w:ind w:firstLine="0"/>
            </w:pPr>
            <w:r/>
            <w:r>
              <w:rPr>
                <w:rFonts w:ascii="Times New Roman" w:hAnsi="Times New Roman" w:eastAsia="宋体"/>
                <w:b w:val="0"/>
                <w:i w:val="0"/>
                <w:sz w:val="21"/>
              </w:rPr>
              <w:t>业务部</w:t>
            </w:r>
          </w:p>
        </w:tc>
        <w:tc>
          <w:tcPr>
            <w:tcW w:type="dxa" w:w="6463"/>
          </w:tcPr>
          <w:p>
            <w:pPr>
              <w:spacing w:before="20" w:after="20" w:line="276" w:lineRule="auto"/>
              <w:ind w:firstLine="0"/>
            </w:pPr>
            <w:r/>
            <w:r>
              <w:rPr>
                <w:rFonts w:ascii="Times New Roman" w:hAnsi="Times New Roman" w:eastAsia="宋体"/>
                <w:b w:val="0"/>
                <w:i w:val="0"/>
                <w:sz w:val="21"/>
              </w:rPr>
              <w:t>我要在入库登记时关联业务线，以便业务线货物进度随履约自动更新</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4.20.4　功能结构与范围</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474"/>
            <w:shd w:val="clear" w:color="auto" w:fill="DCE6F1"/>
          </w:tcPr>
          <w:p>
            <w:pPr>
              <w:spacing w:before="40" w:after="40" w:line="276" w:lineRule="auto"/>
              <w:jc w:val="center"/>
            </w:pPr>
            <w:r/>
            <w:r>
              <w:rPr>
                <w:rFonts w:ascii="Times New Roman" w:hAnsi="Times New Roman" w:eastAsia="黑体"/>
                <w:b/>
                <w:i w:val="0"/>
                <w:sz w:val="21"/>
              </w:rPr>
              <w:t>功能</w:t>
            </w:r>
          </w:p>
        </w:tc>
        <w:tc>
          <w:tcPr>
            <w:tcW w:type="dxa" w:w="3175"/>
            <w:shd w:val="clear" w:color="auto" w:fill="DCE6F1"/>
          </w:tcPr>
          <w:p>
            <w:pPr>
              <w:spacing w:before="40" w:after="40" w:line="276" w:lineRule="auto"/>
              <w:jc w:val="center"/>
            </w:pPr>
            <w:r/>
            <w:r>
              <w:rPr>
                <w:rFonts w:ascii="Times New Roman" w:hAnsi="Times New Roman" w:eastAsia="黑体"/>
                <w:b/>
                <w:i w:val="0"/>
                <w:sz w:val="21"/>
              </w:rPr>
              <w:t>功能说明</w:t>
            </w:r>
          </w:p>
        </w:tc>
        <w:tc>
          <w:tcPr>
            <w:tcW w:type="dxa" w:w="4422"/>
            <w:shd w:val="clear" w:color="auto" w:fill="DCE6F1"/>
          </w:tcPr>
          <w:p>
            <w:pPr>
              <w:spacing w:before="40" w:after="40" w:line="276" w:lineRule="auto"/>
              <w:jc w:val="center"/>
            </w:pPr>
            <w:r/>
            <w:r>
              <w:rPr>
                <w:rFonts w:ascii="Times New Roman" w:hAnsi="Times New Roman" w:eastAsia="黑体"/>
                <w:b/>
                <w:i w:val="0"/>
                <w:sz w:val="21"/>
              </w:rPr>
              <w:t>关键规则</w:t>
            </w:r>
          </w:p>
        </w:tc>
      </w:tr>
      <w:tr>
        <w:tc>
          <w:tcPr>
            <w:tcW w:type="dxa" w:w="1474"/>
          </w:tcPr>
          <w:p>
            <w:pPr>
              <w:spacing w:before="20" w:after="20" w:line="276" w:lineRule="auto"/>
              <w:ind w:firstLine="0"/>
            </w:pPr>
            <w:r/>
            <w:r>
              <w:rPr>
                <w:rFonts w:ascii="Times New Roman" w:hAnsi="Times New Roman" w:eastAsia="宋体"/>
                <w:b w:val="0"/>
                <w:i w:val="0"/>
                <w:sz w:val="21"/>
              </w:rPr>
              <w:t>入库记录列表与运输方式分栏</w:t>
            </w:r>
          </w:p>
        </w:tc>
        <w:tc>
          <w:tcPr>
            <w:tcW w:type="dxa" w:w="3175"/>
          </w:tcPr>
          <w:p>
            <w:pPr>
              <w:spacing w:before="20" w:after="20" w:line="276" w:lineRule="auto"/>
              <w:ind w:firstLine="0"/>
            </w:pPr>
            <w:r/>
            <w:r>
              <w:rPr>
                <w:rFonts w:ascii="Times New Roman" w:hAnsi="Times New Roman" w:eastAsia="宋体"/>
                <w:b w:val="0"/>
                <w:i w:val="0"/>
                <w:sz w:val="21"/>
              </w:rPr>
              <w:t>入库记录主列表，提供运输方式维度的 4 个分栏与多条件筛选，表格按入库日期、品类、数量、单价、车数、合同、业务线、单位、仓位等维度展示入库明细</w:t>
            </w:r>
          </w:p>
        </w:tc>
        <w:tc>
          <w:tcPr>
            <w:tcW w:type="dxa" w:w="4422"/>
          </w:tcPr>
          <w:p>
            <w:pPr>
              <w:spacing w:before="20" w:after="20" w:line="276" w:lineRule="auto"/>
              <w:ind w:firstLine="0"/>
            </w:pPr>
            <w:r/>
            <w:r>
              <w:rPr>
                <w:rFonts w:ascii="Times New Roman" w:hAnsi="Times New Roman" w:eastAsia="宋体"/>
                <w:b w:val="0"/>
                <w:i w:val="0"/>
                <w:sz w:val="21"/>
              </w:rPr>
              <w:t>分栏固定为全部、汽运、火运、船运 4 个且按运输方式过滤而非按状态过滤；每个分栏显示记录计数；筛选区共 9 个字段：编号、发货单位、入库日期、品类、仓位、货位、关联业务线状态、数据类型、入库类型</w:t>
            </w:r>
          </w:p>
        </w:tc>
      </w:tr>
      <w:tr>
        <w:tc>
          <w:tcPr>
            <w:tcW w:type="dxa" w:w="1474"/>
          </w:tcPr>
          <w:p>
            <w:pPr>
              <w:spacing w:before="20" w:after="20" w:line="276" w:lineRule="auto"/>
              <w:ind w:firstLine="0"/>
            </w:pPr>
            <w:r/>
            <w:r>
              <w:rPr>
                <w:rFonts w:ascii="Times New Roman" w:hAnsi="Times New Roman" w:eastAsia="宋体"/>
                <w:b w:val="0"/>
                <w:i w:val="0"/>
                <w:sz w:val="21"/>
              </w:rPr>
              <w:t>新增入库下拉分流</w:t>
            </w:r>
          </w:p>
        </w:tc>
        <w:tc>
          <w:tcPr>
            <w:tcW w:type="dxa" w:w="3175"/>
          </w:tcPr>
          <w:p>
            <w:pPr>
              <w:spacing w:before="20" w:after="20" w:line="276" w:lineRule="auto"/>
              <w:ind w:firstLine="0"/>
            </w:pPr>
            <w:r/>
            <w:r>
              <w:rPr>
                <w:rFonts w:ascii="Times New Roman" w:hAnsi="Times New Roman" w:eastAsia="宋体"/>
                <w:b w:val="0"/>
                <w:i w:val="0"/>
                <w:sz w:val="21"/>
              </w:rPr>
              <w:t>列表页右上角的「新增入库」按钮带下拉箭头，点击展开入库类型选择</w:t>
            </w:r>
          </w:p>
        </w:tc>
        <w:tc>
          <w:tcPr>
            <w:tcW w:type="dxa" w:w="4422"/>
          </w:tcPr>
          <w:p>
            <w:pPr>
              <w:spacing w:before="20" w:after="20" w:line="276" w:lineRule="auto"/>
              <w:ind w:firstLine="0"/>
            </w:pPr>
            <w:r/>
            <w:r>
              <w:rPr>
                <w:rFonts w:ascii="Times New Roman" w:hAnsi="Times New Roman" w:eastAsia="宋体"/>
                <w:b w:val="0"/>
                <w:i w:val="0"/>
                <w:sz w:val="21"/>
              </w:rPr>
              <w:t>下拉固定 2 项：采购入库（提示关联采购合同）与盘盈入库（提示实物盘盈生成入库）；点击按钮与菜单以外的区域自动收起菜单</w:t>
            </w:r>
          </w:p>
        </w:tc>
      </w:tr>
      <w:tr>
        <w:tc>
          <w:tcPr>
            <w:tcW w:type="dxa" w:w="1474"/>
          </w:tcPr>
          <w:p>
            <w:pPr>
              <w:spacing w:before="20" w:after="20" w:line="276" w:lineRule="auto"/>
              <w:ind w:firstLine="0"/>
            </w:pPr>
            <w:r/>
            <w:r>
              <w:rPr>
                <w:rFonts w:ascii="Times New Roman" w:hAnsi="Times New Roman" w:eastAsia="宋体"/>
                <w:b w:val="0"/>
                <w:i w:val="0"/>
                <w:sz w:val="21"/>
              </w:rPr>
              <w:t>关联采购合同抽屉</w:t>
            </w:r>
          </w:p>
        </w:tc>
        <w:tc>
          <w:tcPr>
            <w:tcW w:type="dxa" w:w="3175"/>
          </w:tcPr>
          <w:p>
            <w:pPr>
              <w:spacing w:before="20" w:after="20" w:line="276" w:lineRule="auto"/>
              <w:ind w:firstLine="0"/>
            </w:pPr>
            <w:r/>
            <w:r>
              <w:rPr>
                <w:rFonts w:ascii="Times New Roman" w:hAnsi="Times New Roman" w:eastAsia="宋体"/>
                <w:b w:val="0"/>
                <w:i w:val="0"/>
                <w:sz w:val="21"/>
              </w:rPr>
              <w:t>选择采购入库后弹出右侧抽屉，用于从合同库中挑选本次入库对应的采购合同</w:t>
            </w:r>
          </w:p>
        </w:tc>
        <w:tc>
          <w:tcPr>
            <w:tcW w:type="dxa" w:w="4422"/>
          </w:tcPr>
          <w:p>
            <w:pPr>
              <w:spacing w:before="20" w:after="20" w:line="276" w:lineRule="auto"/>
              <w:ind w:firstLine="0"/>
            </w:pPr>
            <w:r/>
            <w:r>
              <w:rPr>
                <w:rFonts w:ascii="Times New Roman" w:hAnsi="Times New Roman" w:eastAsia="宋体"/>
                <w:b w:val="0"/>
                <w:i w:val="0"/>
                <w:sz w:val="21"/>
              </w:rPr>
              <w:t>抽屉内为 8 个筛选字段与 9 列表格，每行第 1 列为单选按钮且整行可点选；未选中任何合同时底部「确定」按钮为禁用态，选中后启用；底部三个按钮为取消、暂不关联、确定；暂不关联跳无合同版新增入库页</w:t>
            </w:r>
          </w:p>
        </w:tc>
      </w:tr>
      <w:tr>
        <w:tc>
          <w:tcPr>
            <w:tcW w:type="dxa" w:w="1474"/>
          </w:tcPr>
          <w:p>
            <w:pPr>
              <w:spacing w:before="20" w:after="20" w:line="276" w:lineRule="auto"/>
              <w:ind w:firstLine="0"/>
            </w:pPr>
            <w:r/>
            <w:r>
              <w:rPr>
                <w:rFonts w:ascii="Times New Roman" w:hAnsi="Times New Roman" w:eastAsia="宋体"/>
                <w:b w:val="0"/>
                <w:i w:val="0"/>
                <w:sz w:val="21"/>
              </w:rPr>
              <w:t>采购入库表单登记</w:t>
            </w:r>
          </w:p>
        </w:tc>
        <w:tc>
          <w:tcPr>
            <w:tcW w:type="dxa" w:w="3175"/>
          </w:tcPr>
          <w:p>
            <w:pPr>
              <w:spacing w:before="20" w:after="20" w:line="276" w:lineRule="auto"/>
              <w:ind w:firstLine="0"/>
            </w:pPr>
            <w:r/>
            <w:r>
              <w:rPr>
                <w:rFonts w:ascii="Times New Roman" w:hAnsi="Times New Roman" w:eastAsia="宋体"/>
                <w:b w:val="0"/>
                <w:i w:val="0"/>
                <w:sz w:val="21"/>
              </w:rPr>
              <w:t>5 区块 26 字段的入库登记表单，由合同信息、业务线信息、入库信息、备注、附件信息组成</w:t>
            </w:r>
          </w:p>
        </w:tc>
        <w:tc>
          <w:tcPr>
            <w:tcW w:type="dxa" w:w="4422"/>
          </w:tcPr>
          <w:p>
            <w:pPr>
              <w:spacing w:before="20" w:after="20" w:line="276" w:lineRule="auto"/>
              <w:ind w:firstLine="0"/>
            </w:pPr>
            <w:r/>
            <w:r>
              <w:rPr>
                <w:rFonts w:ascii="Times New Roman" w:hAnsi="Times New Roman" w:eastAsia="宋体"/>
                <w:b w:val="0"/>
                <w:i w:val="0"/>
                <w:sz w:val="21"/>
              </w:rPr>
              <w:t>区块与字段数固定为合同信息 9 字段、业务线信息 3 字段、入库信息 11 字段、备注 1 项、附件信息 3 行；备注上限 200 字；运输方式使用单选控件且默认火运；业务线信息第 3 列为下游销售合同编号</w:t>
            </w:r>
          </w:p>
        </w:tc>
      </w:tr>
      <w:tr>
        <w:tc>
          <w:tcPr>
            <w:tcW w:type="dxa" w:w="1474"/>
          </w:tcPr>
          <w:p>
            <w:pPr>
              <w:spacing w:before="20" w:after="20" w:line="276" w:lineRule="auto"/>
              <w:ind w:firstLine="0"/>
            </w:pPr>
            <w:r/>
            <w:r>
              <w:rPr>
                <w:rFonts w:ascii="Times New Roman" w:hAnsi="Times New Roman" w:eastAsia="宋体"/>
                <w:b w:val="0"/>
                <w:i w:val="0"/>
                <w:sz w:val="21"/>
              </w:rPr>
              <w:t>运输方式驱动的字段与单据动态切换</w:t>
            </w:r>
          </w:p>
        </w:tc>
        <w:tc>
          <w:tcPr>
            <w:tcW w:type="dxa" w:w="3175"/>
          </w:tcPr>
          <w:p>
            <w:pPr>
              <w:spacing w:before="20" w:after="20" w:line="276" w:lineRule="auto"/>
              <w:ind w:firstLine="0"/>
            </w:pPr>
            <w:r/>
            <w:r>
              <w:rPr>
                <w:rFonts w:ascii="Times New Roman" w:hAnsi="Times New Roman" w:eastAsia="宋体"/>
                <w:b w:val="0"/>
                <w:i w:val="0"/>
                <w:sz w:val="21"/>
              </w:rPr>
              <w:t>运输方式切换时，表单字段显隐、附件清单与可上传格式同步联动</w:t>
            </w:r>
          </w:p>
        </w:tc>
        <w:tc>
          <w:tcPr>
            <w:tcW w:type="dxa" w:w="4422"/>
          </w:tcPr>
          <w:p>
            <w:pPr>
              <w:spacing w:before="20" w:after="20" w:line="276" w:lineRule="auto"/>
              <w:ind w:firstLine="0"/>
            </w:pPr>
            <w:r/>
            <w:r>
              <w:rPr>
                <w:rFonts w:ascii="Times New Roman" w:hAnsi="Times New Roman" w:eastAsia="宋体"/>
                <w:b w:val="0"/>
                <w:i w:val="0"/>
                <w:sz w:val="21"/>
              </w:rPr>
              <w:t>选船运时隐藏入库车数并同步清空该字段已填值，附件清单降为 2 行（随船计量单、化验凭证）；汽运与火运入库车数必填，附件清单为 3 行；附件格式按清单校验，支持多张，单个附件大小不得超过 100M；合同信息中的运输方式为只读单向同步显示，不与控件双向绑定</w:t>
            </w:r>
          </w:p>
        </w:tc>
      </w:tr>
      <w:tr>
        <w:tc>
          <w:tcPr>
            <w:tcW w:type="dxa" w:w="1474"/>
          </w:tcPr>
          <w:p>
            <w:pPr>
              <w:spacing w:before="20" w:after="20" w:line="276" w:lineRule="auto"/>
              <w:ind w:firstLine="0"/>
            </w:pPr>
            <w:r/>
            <w:r>
              <w:rPr>
                <w:rFonts w:ascii="Times New Roman" w:hAnsi="Times New Roman" w:eastAsia="宋体"/>
                <w:b w:val="0"/>
                <w:i w:val="0"/>
                <w:sz w:val="21"/>
              </w:rPr>
              <w:t>盘盈入库登记</w:t>
            </w:r>
          </w:p>
        </w:tc>
        <w:tc>
          <w:tcPr>
            <w:tcW w:type="dxa" w:w="3175"/>
          </w:tcPr>
          <w:p>
            <w:pPr>
              <w:spacing w:before="20" w:after="20" w:line="276" w:lineRule="auto"/>
              <w:ind w:firstLine="0"/>
            </w:pPr>
            <w:r/>
            <w:r>
              <w:rPr>
                <w:rFonts w:ascii="Times New Roman" w:hAnsi="Times New Roman" w:eastAsia="宋体"/>
                <w:b w:val="0"/>
                <w:i w:val="0"/>
                <w:sz w:val="21"/>
              </w:rPr>
              <w:t>实物盘盈的入库登记入口，走独立的无合同版表单</w:t>
            </w:r>
          </w:p>
        </w:tc>
        <w:tc>
          <w:tcPr>
            <w:tcW w:type="dxa" w:w="4422"/>
          </w:tcPr>
          <w:p>
            <w:pPr>
              <w:spacing w:before="20" w:after="20" w:line="276" w:lineRule="auto"/>
              <w:ind w:firstLine="0"/>
            </w:pPr>
            <w:r/>
            <w:r>
              <w:rPr>
                <w:rFonts w:ascii="Times New Roman" w:hAnsi="Times New Roman" w:eastAsia="宋体"/>
                <w:b w:val="0"/>
                <w:i w:val="0"/>
                <w:sz w:val="21"/>
              </w:rPr>
              <w:t>不关联采购合同且不联动业务线；盘盈说明为必填，为空时红字提示请填写盘盈说明（合规要求）并禁止提交；仓房与货位必须从已有库点、仓房、货位中选择，分配数量合计不得大于入库数量；入库日期不得晚于当前日期</w:t>
            </w:r>
          </w:p>
        </w:tc>
      </w:tr>
      <w:tr>
        <w:tc>
          <w:tcPr>
            <w:tcW w:type="dxa" w:w="1474"/>
          </w:tcPr>
          <w:p>
            <w:pPr>
              <w:spacing w:before="20" w:after="20" w:line="276" w:lineRule="auto"/>
              <w:ind w:firstLine="0"/>
            </w:pPr>
            <w:r/>
            <w:r>
              <w:rPr>
                <w:rFonts w:ascii="Times New Roman" w:hAnsi="Times New Roman" w:eastAsia="宋体"/>
                <w:b w:val="0"/>
                <w:i w:val="0"/>
                <w:sz w:val="21"/>
              </w:rPr>
              <w:t>入库记录详情</w:t>
            </w:r>
          </w:p>
        </w:tc>
        <w:tc>
          <w:tcPr>
            <w:tcW w:type="dxa" w:w="3175"/>
          </w:tcPr>
          <w:p>
            <w:pPr>
              <w:spacing w:before="20" w:after="20" w:line="276" w:lineRule="auto"/>
              <w:ind w:firstLine="0"/>
            </w:pPr>
            <w:r/>
            <w:r>
              <w:rPr>
                <w:rFonts w:ascii="Times New Roman" w:hAnsi="Times New Roman" w:eastAsia="宋体"/>
                <w:b w:val="0"/>
                <w:i w:val="0"/>
                <w:sz w:val="21"/>
              </w:rPr>
              <w:t>入库单据的详情视图，按三个页签呈现单据主体、逐车明细与操作轨迹</w:t>
            </w:r>
          </w:p>
        </w:tc>
        <w:tc>
          <w:tcPr>
            <w:tcW w:type="dxa" w:w="4422"/>
          </w:tcPr>
          <w:p>
            <w:pPr>
              <w:spacing w:before="20" w:after="20" w:line="276" w:lineRule="auto"/>
              <w:ind w:firstLine="0"/>
            </w:pPr>
            <w:r/>
            <w:r>
              <w:rPr>
                <w:rFonts w:ascii="Times New Roman" w:hAnsi="Times New Roman" w:eastAsia="宋体"/>
                <w:b w:val="0"/>
                <w:i w:val="0"/>
                <w:sz w:val="21"/>
              </w:rPr>
              <w:t>固定 3 个页签：入库信息、入库明细、操作记录，默认停留在入库信息；入库明细为 11 列表格并提供数据导出按钮；操作记录为 5 列表格；详情页只提供复制入库编号与合同编号、下载附件两类动作，不提供创建、调整、解除、导出明细等业务变更按钮</w:t>
            </w:r>
          </w:p>
        </w:tc>
      </w:tr>
      <w:tr>
        <w:tc>
          <w:tcPr>
            <w:tcW w:type="dxa" w:w="1474"/>
          </w:tcPr>
          <w:p>
            <w:pPr>
              <w:spacing w:before="20" w:after="20" w:line="276" w:lineRule="auto"/>
              <w:ind w:firstLine="0"/>
            </w:pPr>
            <w:r/>
            <w:r>
              <w:rPr>
                <w:rFonts w:ascii="Times New Roman" w:hAnsi="Times New Roman" w:eastAsia="宋体"/>
                <w:b w:val="0"/>
                <w:i w:val="0"/>
                <w:sz w:val="21"/>
              </w:rPr>
              <w:t>入库记录编辑与删除</w:t>
            </w:r>
          </w:p>
        </w:tc>
        <w:tc>
          <w:tcPr>
            <w:tcW w:type="dxa" w:w="3175"/>
          </w:tcPr>
          <w:p>
            <w:pPr>
              <w:spacing w:before="20" w:after="20" w:line="276" w:lineRule="auto"/>
              <w:ind w:firstLine="0"/>
            </w:pPr>
            <w:r/>
            <w:r>
              <w:rPr>
                <w:rFonts w:ascii="Times New Roman" w:hAnsi="Times New Roman" w:eastAsia="宋体"/>
                <w:b w:val="0"/>
                <w:i w:val="0"/>
                <w:sz w:val="21"/>
              </w:rPr>
              <w:t>列表行内的编辑与删除操作</w:t>
            </w:r>
          </w:p>
        </w:tc>
        <w:tc>
          <w:tcPr>
            <w:tcW w:type="dxa" w:w="4422"/>
          </w:tcPr>
          <w:p>
            <w:pPr>
              <w:spacing w:before="20" w:after="20" w:line="276" w:lineRule="auto"/>
              <w:ind w:firstLine="0"/>
            </w:pPr>
            <w:r/>
            <w:r>
              <w:rPr>
                <w:rFonts w:ascii="Times New Roman" w:hAnsi="Times New Roman" w:eastAsia="宋体"/>
                <w:b w:val="0"/>
                <w:i w:val="0"/>
                <w:sz w:val="21"/>
              </w:rPr>
              <w:t>编辑仅支持修改入库单价；删除属于危险操作，须二次确认，确认后删除该条入库记录并释放对应货物数量，库存数量同步回退</w:t>
            </w:r>
          </w:p>
        </w:tc>
      </w:tr>
    </w:tbl>
    <w:p>
      <w:pPr>
        <w:spacing w:before="0" w:after="0" w:line="240" w:lineRule="auto"/>
      </w:pP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tblGrid>
      <w:tr>
        <w:trPr>
          <w:tblHeader w:val="true"/>
        </w:trPr>
        <w:tc>
          <w:tcPr>
            <w:tcW w:type="dxa" w:w="1247"/>
            <w:shd w:val="clear" w:color="auto" w:fill="DCE6F1"/>
          </w:tcPr>
          <w:p>
            <w:pPr>
              <w:spacing w:before="40" w:after="40" w:line="276" w:lineRule="auto"/>
              <w:jc w:val="center"/>
            </w:pPr>
            <w:r/>
            <w:r>
              <w:rPr>
                <w:rFonts w:ascii="Times New Roman" w:hAnsi="Times New Roman" w:eastAsia="黑体"/>
                <w:b/>
                <w:i w:val="0"/>
                <w:sz w:val="19"/>
              </w:rPr>
              <w:t>页面</w:t>
            </w:r>
          </w:p>
        </w:tc>
        <w:tc>
          <w:tcPr>
            <w:tcW w:type="dxa" w:w="1474"/>
            <w:shd w:val="clear" w:color="auto" w:fill="DCE6F1"/>
          </w:tcPr>
          <w:p>
            <w:pPr>
              <w:spacing w:before="40" w:after="40" w:line="276" w:lineRule="auto"/>
              <w:jc w:val="center"/>
            </w:pPr>
            <w:r/>
            <w:r>
              <w:rPr>
                <w:rFonts w:ascii="Times New Roman" w:hAnsi="Times New Roman" w:eastAsia="黑体"/>
                <w:b/>
                <w:i w:val="0"/>
                <w:sz w:val="19"/>
              </w:rPr>
              <w:t>文件</w:t>
            </w:r>
          </w:p>
        </w:tc>
        <w:tc>
          <w:tcPr>
            <w:tcW w:type="dxa" w:w="1134"/>
            <w:shd w:val="clear" w:color="auto" w:fill="DCE6F1"/>
          </w:tcPr>
          <w:p>
            <w:pPr>
              <w:spacing w:before="40" w:after="40" w:line="276" w:lineRule="auto"/>
              <w:jc w:val="center"/>
            </w:pPr>
            <w:r/>
            <w:r>
              <w:rPr>
                <w:rFonts w:ascii="Times New Roman" w:hAnsi="Times New Roman" w:eastAsia="黑体"/>
                <w:b/>
                <w:i w:val="0"/>
                <w:sz w:val="19"/>
              </w:rPr>
              <w:t>入口</w:t>
            </w:r>
          </w:p>
        </w:tc>
        <w:tc>
          <w:tcPr>
            <w:tcW w:type="dxa" w:w="2041"/>
            <w:shd w:val="clear" w:color="auto" w:fill="DCE6F1"/>
          </w:tcPr>
          <w:p>
            <w:pPr>
              <w:spacing w:before="40" w:after="40" w:line="276" w:lineRule="auto"/>
              <w:jc w:val="center"/>
            </w:pPr>
            <w:r/>
            <w:r>
              <w:rPr>
                <w:rFonts w:ascii="Times New Roman" w:hAnsi="Times New Roman" w:eastAsia="黑体"/>
                <w:b/>
                <w:i w:val="0"/>
                <w:sz w:val="19"/>
              </w:rPr>
              <w:t>主要区块</w:t>
            </w:r>
          </w:p>
        </w:tc>
        <w:tc>
          <w:tcPr>
            <w:tcW w:type="dxa" w:w="1701"/>
            <w:shd w:val="clear" w:color="auto" w:fill="DCE6F1"/>
          </w:tcPr>
          <w:p>
            <w:pPr>
              <w:spacing w:before="40" w:after="40" w:line="276" w:lineRule="auto"/>
              <w:jc w:val="center"/>
            </w:pPr>
            <w:r/>
            <w:r>
              <w:rPr>
                <w:rFonts w:ascii="Times New Roman" w:hAnsi="Times New Roman" w:eastAsia="黑体"/>
                <w:b/>
                <w:i w:val="0"/>
                <w:sz w:val="19"/>
              </w:rPr>
              <w:t>主要操作</w:t>
            </w:r>
          </w:p>
        </w:tc>
        <w:tc>
          <w:tcPr>
            <w:tcW w:type="dxa" w:w="1474"/>
            <w:shd w:val="clear" w:color="auto" w:fill="DCE6F1"/>
          </w:tcPr>
          <w:p>
            <w:pPr>
              <w:spacing w:before="40" w:after="40" w:line="276" w:lineRule="auto"/>
              <w:jc w:val="center"/>
            </w:pPr>
            <w:r/>
            <w:r>
              <w:rPr>
                <w:rFonts w:ascii="Times New Roman" w:hAnsi="Times New Roman" w:eastAsia="黑体"/>
                <w:b/>
                <w:i w:val="0"/>
                <w:sz w:val="19"/>
              </w:rPr>
              <w:t>跳转</w:t>
            </w:r>
          </w:p>
        </w:tc>
      </w:tr>
      <w:tr>
        <w:tc>
          <w:tcPr>
            <w:tcW w:type="dxa" w:w="1247"/>
          </w:tcPr>
          <w:p>
            <w:pPr>
              <w:spacing w:before="20" w:after="20" w:line="276" w:lineRule="auto"/>
              <w:ind w:firstLine="0"/>
            </w:pPr>
            <w:r/>
            <w:r>
              <w:rPr>
                <w:rFonts w:ascii="Times New Roman" w:hAnsi="Times New Roman" w:eastAsia="宋体"/>
                <w:b w:val="0"/>
                <w:i w:val="0"/>
                <w:sz w:val="19"/>
              </w:rPr>
              <w:t>入库记录（列表）</w:t>
            </w:r>
          </w:p>
        </w:tc>
        <w:tc>
          <w:tcPr>
            <w:tcW w:type="dxa" w:w="1474"/>
          </w:tcPr>
          <w:p>
            <w:pPr>
              <w:spacing w:before="20" w:after="20" w:line="276" w:lineRule="auto"/>
              <w:ind w:firstLine="0"/>
            </w:pPr>
            <w:r/>
            <w:r>
              <w:rPr>
                <w:rFonts w:ascii="Times New Roman" w:hAnsi="Times New Roman" w:eastAsia="宋体"/>
                <w:b w:val="0"/>
                <w:i w:val="0"/>
                <w:sz w:val="19"/>
              </w:rPr>
              <w:t>warehouse-inbound.html</w:t>
            </w:r>
          </w:p>
        </w:tc>
        <w:tc>
          <w:tcPr>
            <w:tcW w:type="dxa" w:w="1134"/>
          </w:tcPr>
          <w:p>
            <w:pPr>
              <w:spacing w:before="20" w:after="20" w:line="276" w:lineRule="auto"/>
              <w:ind w:firstLine="0"/>
            </w:pPr>
            <w:r/>
            <w:r>
              <w:rPr>
                <w:rFonts w:ascii="Times New Roman" w:hAnsi="Times New Roman" w:eastAsia="宋体"/>
                <w:b w:val="0"/>
                <w:i w:val="0"/>
                <w:sz w:val="19"/>
              </w:rPr>
              <w:t>仓储管理 → 入库管理</w:t>
            </w:r>
          </w:p>
        </w:tc>
        <w:tc>
          <w:tcPr>
            <w:tcW w:type="dxa" w:w="2041"/>
          </w:tcPr>
          <w:p>
            <w:pPr>
              <w:spacing w:before="20" w:after="20" w:line="276" w:lineRule="auto"/>
              <w:ind w:firstLine="0"/>
            </w:pPr>
            <w:r/>
            <w:r>
              <w:rPr>
                <w:rFonts w:ascii="Times New Roman" w:hAnsi="Times New Roman" w:eastAsia="宋体"/>
                <w:b w:val="0"/>
                <w:i w:val="0"/>
                <w:sz w:val="19"/>
              </w:rPr>
              <w:t>9 个字段筛选区、运输方式 4 分栏（全部、汽运、火运、船运）、11 列表格、分页、关联采购合同抽屉、盘盈入库侧边抽屉</w:t>
            </w:r>
          </w:p>
        </w:tc>
        <w:tc>
          <w:tcPr>
            <w:tcW w:type="dxa" w:w="1701"/>
          </w:tcPr>
          <w:p>
            <w:pPr>
              <w:spacing w:before="20" w:after="20" w:line="276" w:lineRule="auto"/>
              <w:ind w:firstLine="0"/>
            </w:pPr>
            <w:r/>
            <w:r>
              <w:rPr>
                <w:rFonts w:ascii="Times New Roman" w:hAnsi="Times New Roman" w:eastAsia="宋体"/>
                <w:b w:val="0"/>
                <w:i w:val="0"/>
                <w:sz w:val="19"/>
              </w:rPr>
              <w:t>新增入库（下拉 2 项：采购入库、盘盈入库）、搜索筛选、数据导出；行内：详情、编辑、删除；抽屉内：取消、暂不关联、确定</w:t>
            </w:r>
          </w:p>
        </w:tc>
        <w:tc>
          <w:tcPr>
            <w:tcW w:type="dxa" w:w="1474"/>
          </w:tcPr>
          <w:p>
            <w:pPr>
              <w:spacing w:before="20" w:after="20" w:line="276" w:lineRule="auto"/>
              <w:ind w:firstLine="0"/>
            </w:pPr>
            <w:r/>
            <w:r>
              <w:rPr>
                <w:rFonts w:ascii="Times New Roman" w:hAnsi="Times New Roman" w:eastAsia="宋体"/>
                <w:b w:val="0"/>
                <w:i w:val="0"/>
                <w:sz w:val="19"/>
              </w:rPr>
              <w:t>详情 → 入库信息详情页；采购入库 → 新增采购入库表单；盘盈入库 → 无合同版新增入库表单</w:t>
            </w:r>
          </w:p>
        </w:tc>
      </w:tr>
      <w:tr>
        <w:tc>
          <w:tcPr>
            <w:tcW w:type="dxa" w:w="1247"/>
          </w:tcPr>
          <w:p>
            <w:pPr>
              <w:spacing w:before="20" w:after="20" w:line="276" w:lineRule="auto"/>
              <w:ind w:firstLine="0"/>
            </w:pPr>
            <w:r/>
            <w:r>
              <w:rPr>
                <w:rFonts w:ascii="Times New Roman" w:hAnsi="Times New Roman" w:eastAsia="宋体"/>
                <w:b w:val="0"/>
                <w:i w:val="0"/>
                <w:sz w:val="19"/>
              </w:rPr>
              <w:t>新增采购入库（表单）</w:t>
            </w:r>
          </w:p>
        </w:tc>
        <w:tc>
          <w:tcPr>
            <w:tcW w:type="dxa" w:w="1474"/>
          </w:tcPr>
          <w:p>
            <w:pPr>
              <w:spacing w:before="20" w:after="20" w:line="276" w:lineRule="auto"/>
              <w:ind w:firstLine="0"/>
            </w:pPr>
            <w:r/>
            <w:r>
              <w:rPr>
                <w:rFonts w:ascii="Times New Roman" w:hAnsi="Times New Roman" w:eastAsia="宋体"/>
                <w:b w:val="0"/>
                <w:i w:val="0"/>
                <w:sz w:val="19"/>
              </w:rPr>
              <w:t>warehouse-inbound-new.html</w:t>
            </w:r>
          </w:p>
        </w:tc>
        <w:tc>
          <w:tcPr>
            <w:tcW w:type="dxa" w:w="1134"/>
          </w:tcPr>
          <w:p>
            <w:pPr>
              <w:spacing w:before="20" w:after="20" w:line="276" w:lineRule="auto"/>
              <w:ind w:firstLine="0"/>
            </w:pPr>
            <w:r/>
            <w:r>
              <w:rPr>
                <w:rFonts w:ascii="Times New Roman" w:hAnsi="Times New Roman" w:eastAsia="宋体"/>
                <w:b w:val="0"/>
                <w:i w:val="0"/>
                <w:sz w:val="19"/>
              </w:rPr>
              <w:t>入库记录列表 → 新增入库 → 采购入库</w:t>
            </w:r>
          </w:p>
        </w:tc>
        <w:tc>
          <w:tcPr>
            <w:tcW w:type="dxa" w:w="2041"/>
          </w:tcPr>
          <w:p>
            <w:pPr>
              <w:spacing w:before="20" w:after="20" w:line="276" w:lineRule="auto"/>
              <w:ind w:firstLine="0"/>
            </w:pPr>
            <w:r/>
            <w:r>
              <w:rPr>
                <w:rFonts w:ascii="Times New Roman" w:hAnsi="Times New Roman" w:eastAsia="宋体"/>
                <w:b w:val="0"/>
                <w:i w:val="0"/>
                <w:sz w:val="19"/>
              </w:rPr>
              <w:t>合同信息 9 字段、业务线信息 3 字段、入库信息 11 字段（含运输方式与入库车数）、备注、附件信息 2 至 3 行与上传格式提示</w:t>
            </w:r>
          </w:p>
        </w:tc>
        <w:tc>
          <w:tcPr>
            <w:tcW w:type="dxa" w:w="1701"/>
          </w:tcPr>
          <w:p>
            <w:pPr>
              <w:spacing w:before="20" w:after="20" w:line="276" w:lineRule="auto"/>
              <w:ind w:firstLine="0"/>
            </w:pPr>
            <w:r/>
            <w:r>
              <w:rPr>
                <w:rFonts w:ascii="Times New Roman" w:hAnsi="Times New Roman" w:eastAsia="宋体"/>
                <w:b w:val="0"/>
                <w:i w:val="0"/>
                <w:sz w:val="19"/>
              </w:rPr>
              <w:t>提交、取消、附件上传与移除、附件提示条收起展开</w:t>
            </w:r>
          </w:p>
        </w:tc>
        <w:tc>
          <w:tcPr>
            <w:tcW w:type="dxa" w:w="1474"/>
          </w:tcPr>
          <w:p>
            <w:pPr>
              <w:spacing w:before="20" w:after="20" w:line="276" w:lineRule="auto"/>
              <w:ind w:firstLine="0"/>
            </w:pPr>
            <w:r/>
            <w:r>
              <w:rPr>
                <w:rFonts w:ascii="Times New Roman" w:hAnsi="Times New Roman" w:eastAsia="宋体"/>
                <w:b w:val="0"/>
                <w:i w:val="0"/>
                <w:sz w:val="19"/>
              </w:rPr>
              <w:t>提交成功 → 入库记录列表</w:t>
            </w:r>
          </w:p>
        </w:tc>
      </w:tr>
      <w:tr>
        <w:tc>
          <w:tcPr>
            <w:tcW w:type="dxa" w:w="1247"/>
          </w:tcPr>
          <w:p>
            <w:pPr>
              <w:spacing w:before="20" w:after="20" w:line="276" w:lineRule="auto"/>
              <w:ind w:firstLine="0"/>
            </w:pPr>
            <w:r/>
            <w:r>
              <w:rPr>
                <w:rFonts w:ascii="Times New Roman" w:hAnsi="Times New Roman" w:eastAsia="宋体"/>
                <w:b w:val="0"/>
                <w:i w:val="0"/>
                <w:sz w:val="19"/>
              </w:rPr>
              <w:t>盘盈入库（无合同版表单）</w:t>
            </w:r>
          </w:p>
        </w:tc>
        <w:tc>
          <w:tcPr>
            <w:tcW w:type="dxa" w:w="1474"/>
          </w:tcPr>
          <w:p>
            <w:pPr>
              <w:spacing w:before="20" w:after="20" w:line="276" w:lineRule="auto"/>
              <w:ind w:firstLine="0"/>
            </w:pPr>
            <w:r/>
            <w:r>
              <w:rPr>
                <w:rFonts w:ascii="Times New Roman" w:hAnsi="Times New Roman" w:eastAsia="宋体"/>
                <w:b w:val="0"/>
                <w:i w:val="0"/>
                <w:sz w:val="19"/>
              </w:rPr>
              <w:t>warehouse-inbound-overflow-new.html</w:t>
            </w:r>
          </w:p>
        </w:tc>
        <w:tc>
          <w:tcPr>
            <w:tcW w:type="dxa" w:w="1134"/>
          </w:tcPr>
          <w:p>
            <w:pPr>
              <w:spacing w:before="20" w:after="20" w:line="276" w:lineRule="auto"/>
              <w:ind w:firstLine="0"/>
            </w:pPr>
            <w:r/>
            <w:r>
              <w:rPr>
                <w:rFonts w:ascii="Times New Roman" w:hAnsi="Times New Roman" w:eastAsia="宋体"/>
                <w:b w:val="0"/>
                <w:i w:val="0"/>
                <w:sz w:val="19"/>
              </w:rPr>
              <w:t>入库记录列表 → 新增入库 → 盘盈入库；或关联采购合同抽屉 → 暂不关联</w:t>
            </w:r>
          </w:p>
        </w:tc>
        <w:tc>
          <w:tcPr>
            <w:tcW w:type="dxa" w:w="2041"/>
          </w:tcPr>
          <w:p>
            <w:pPr>
              <w:spacing w:before="20" w:after="20" w:line="276" w:lineRule="auto"/>
              <w:ind w:firstLine="0"/>
            </w:pPr>
            <w:r/>
            <w:r>
              <w:rPr>
                <w:rFonts w:ascii="Times New Roman" w:hAnsi="Times New Roman" w:eastAsia="宋体"/>
                <w:b w:val="0"/>
                <w:i w:val="0"/>
                <w:sz w:val="19"/>
              </w:rPr>
              <w:t>货物信息 10 字段、仓房与货位（仓房、货位、数量）、入库单据上传与盘盈说明</w:t>
            </w:r>
          </w:p>
        </w:tc>
        <w:tc>
          <w:tcPr>
            <w:tcW w:type="dxa" w:w="1701"/>
          </w:tcPr>
          <w:p>
            <w:pPr>
              <w:spacing w:before="20" w:after="20" w:line="276" w:lineRule="auto"/>
              <w:ind w:firstLine="0"/>
            </w:pPr>
            <w:r/>
            <w:r>
              <w:rPr>
                <w:rFonts w:ascii="Times New Roman" w:hAnsi="Times New Roman" w:eastAsia="宋体"/>
                <w:b w:val="0"/>
                <w:i w:val="0"/>
                <w:sz w:val="19"/>
              </w:rPr>
              <w:t>提交、取消、选择仓房、选择货位、上传单据</w:t>
            </w:r>
          </w:p>
        </w:tc>
        <w:tc>
          <w:tcPr>
            <w:tcW w:type="dxa" w:w="1474"/>
          </w:tcPr>
          <w:p>
            <w:pPr>
              <w:spacing w:before="20" w:after="20" w:line="276" w:lineRule="auto"/>
              <w:ind w:firstLine="0"/>
            </w:pPr>
            <w:r/>
            <w:r>
              <w:rPr>
                <w:rFonts w:ascii="Times New Roman" w:hAnsi="Times New Roman" w:eastAsia="宋体"/>
                <w:b w:val="0"/>
                <w:i w:val="0"/>
                <w:sz w:val="19"/>
              </w:rPr>
              <w:t>提交成功 → 入库记录列表</w:t>
            </w:r>
          </w:p>
        </w:tc>
      </w:tr>
      <w:tr>
        <w:tc>
          <w:tcPr>
            <w:tcW w:type="dxa" w:w="1247"/>
          </w:tcPr>
          <w:p>
            <w:pPr>
              <w:spacing w:before="20" w:after="20" w:line="276" w:lineRule="auto"/>
              <w:ind w:firstLine="0"/>
            </w:pPr>
            <w:r/>
            <w:r>
              <w:rPr>
                <w:rFonts w:ascii="Times New Roman" w:hAnsi="Times New Roman" w:eastAsia="宋体"/>
                <w:b w:val="0"/>
                <w:i w:val="0"/>
                <w:sz w:val="19"/>
              </w:rPr>
              <w:t>入库信息详情</w:t>
            </w:r>
          </w:p>
        </w:tc>
        <w:tc>
          <w:tcPr>
            <w:tcW w:type="dxa" w:w="1474"/>
          </w:tcPr>
          <w:p>
            <w:pPr>
              <w:spacing w:before="20" w:after="20" w:line="276" w:lineRule="auto"/>
              <w:ind w:firstLine="0"/>
            </w:pPr>
            <w:r/>
            <w:r>
              <w:rPr>
                <w:rFonts w:ascii="Times New Roman" w:hAnsi="Times New Roman" w:eastAsia="宋体"/>
                <w:b w:val="0"/>
                <w:i w:val="0"/>
                <w:sz w:val="19"/>
              </w:rPr>
              <w:t>warehouse-inbound-detail.html</w:t>
            </w:r>
          </w:p>
        </w:tc>
        <w:tc>
          <w:tcPr>
            <w:tcW w:type="dxa" w:w="1134"/>
          </w:tcPr>
          <w:p>
            <w:pPr>
              <w:spacing w:before="20" w:after="20" w:line="276" w:lineRule="auto"/>
              <w:ind w:firstLine="0"/>
            </w:pPr>
            <w:r/>
            <w:r>
              <w:rPr>
                <w:rFonts w:ascii="Times New Roman" w:hAnsi="Times New Roman" w:eastAsia="宋体"/>
                <w:b w:val="0"/>
                <w:i w:val="0"/>
                <w:sz w:val="19"/>
              </w:rPr>
              <w:t>入库记录列表行内 → 详情</w:t>
            </w:r>
          </w:p>
        </w:tc>
        <w:tc>
          <w:tcPr>
            <w:tcW w:type="dxa" w:w="2041"/>
          </w:tcPr>
          <w:p>
            <w:pPr>
              <w:spacing w:before="20" w:after="20" w:line="276" w:lineRule="auto"/>
              <w:ind w:firstLine="0"/>
            </w:pPr>
            <w:r/>
            <w:r>
              <w:rPr>
                <w:rFonts w:ascii="Times New Roman" w:hAnsi="Times New Roman" w:eastAsia="宋体"/>
                <w:b w:val="0"/>
                <w:i w:val="0"/>
                <w:sz w:val="19"/>
              </w:rPr>
              <w:t>页头信息条 8 字段（所属合同编号、卖方企业、买方企业、关联业务线号、业务线名称、创建人员、创建时间、数据类型）、页签一入库信息（10 字段 6 列 + 备注 + 附件 3 列 2 行）、页签二入库明细（2 字段筛选 + 11 列表格 + 数据导出）、页签三操作记录（5 列表格）</w:t>
            </w:r>
          </w:p>
        </w:tc>
        <w:tc>
          <w:tcPr>
            <w:tcW w:type="dxa" w:w="1701"/>
          </w:tcPr>
          <w:p>
            <w:pPr>
              <w:spacing w:before="20" w:after="20" w:line="276" w:lineRule="auto"/>
              <w:ind w:firstLine="0"/>
            </w:pPr>
            <w:r/>
            <w:r>
              <w:rPr>
                <w:rFonts w:ascii="Times New Roman" w:hAnsi="Times New Roman" w:eastAsia="宋体"/>
                <w:b w:val="0"/>
                <w:i w:val="0"/>
                <w:sz w:val="19"/>
              </w:rPr>
              <w:t>复制入库编号、复制合同编号、下载附件、数据导出</w:t>
            </w:r>
          </w:p>
        </w:tc>
        <w:tc>
          <w:tcPr>
            <w:tcW w:type="dxa" w:w="1474"/>
          </w:tcPr>
          <w:p>
            <w:pPr>
              <w:spacing w:before="20" w:after="20" w:line="276" w:lineRule="auto"/>
              <w:ind w:firstLine="0"/>
            </w:pPr>
            <w:r/>
            <w:r>
              <w:rPr>
                <w:rFonts w:ascii="Times New Roman" w:hAnsi="Times New Roman" w:eastAsia="宋体"/>
                <w:b w:val="0"/>
                <w:i w:val="0"/>
                <w:sz w:val="19"/>
              </w:rPr>
              <w:t>复制与下载为页面内动作，不发生页面跳转</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4.20.5　数据关系</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474"/>
            <w:shd w:val="clear" w:color="auto" w:fill="DCE6F1"/>
          </w:tcPr>
          <w:p>
            <w:pPr>
              <w:spacing w:before="40" w:after="40" w:line="276" w:lineRule="auto"/>
              <w:jc w:val="center"/>
            </w:pPr>
            <w:r/>
            <w:r>
              <w:rPr>
                <w:rFonts w:ascii="Times New Roman" w:hAnsi="Times New Roman" w:eastAsia="黑体"/>
                <w:b/>
                <w:i w:val="0"/>
                <w:sz w:val="21"/>
              </w:rPr>
              <w:t>业务对象</w:t>
            </w:r>
          </w:p>
        </w:tc>
        <w:tc>
          <w:tcPr>
            <w:tcW w:type="dxa" w:w="4195"/>
            <w:shd w:val="clear" w:color="auto" w:fill="DCE6F1"/>
          </w:tcPr>
          <w:p>
            <w:pPr>
              <w:spacing w:before="40" w:after="40" w:line="276" w:lineRule="auto"/>
              <w:jc w:val="center"/>
            </w:pPr>
            <w:r/>
            <w:r>
              <w:rPr>
                <w:rFonts w:ascii="Times New Roman" w:hAnsi="Times New Roman" w:eastAsia="黑体"/>
                <w:b/>
                <w:i w:val="0"/>
                <w:sz w:val="21"/>
              </w:rPr>
              <w:t>关键字段与口径</w:t>
            </w:r>
          </w:p>
        </w:tc>
        <w:tc>
          <w:tcPr>
            <w:tcW w:type="dxa" w:w="3402"/>
            <w:shd w:val="clear" w:color="auto" w:fill="DCE6F1"/>
          </w:tcPr>
          <w:p>
            <w:pPr>
              <w:spacing w:before="40" w:after="40" w:line="276" w:lineRule="auto"/>
              <w:jc w:val="center"/>
            </w:pPr>
            <w:r/>
            <w:r>
              <w:rPr>
                <w:rFonts w:ascii="Times New Roman" w:hAnsi="Times New Roman" w:eastAsia="黑体"/>
                <w:b/>
                <w:i w:val="0"/>
                <w:sz w:val="21"/>
              </w:rPr>
              <w:t>与其他对象的关系</w:t>
            </w:r>
          </w:p>
        </w:tc>
      </w:tr>
      <w:tr>
        <w:tc>
          <w:tcPr>
            <w:tcW w:type="dxa" w:w="1474"/>
          </w:tcPr>
          <w:p>
            <w:pPr>
              <w:spacing w:before="20" w:after="20" w:line="276" w:lineRule="auto"/>
              <w:ind w:firstLine="0"/>
            </w:pPr>
            <w:r/>
            <w:r>
              <w:rPr>
                <w:rFonts w:ascii="Times New Roman" w:hAnsi="Times New Roman" w:eastAsia="宋体"/>
                <w:b w:val="0"/>
                <w:i w:val="0"/>
                <w:sz w:val="21"/>
              </w:rPr>
              <w:t>入库登记单</w:t>
            </w:r>
          </w:p>
        </w:tc>
        <w:tc>
          <w:tcPr>
            <w:tcW w:type="dxa" w:w="4195"/>
          </w:tcPr>
          <w:p>
            <w:pPr>
              <w:spacing w:before="20" w:after="20" w:line="276" w:lineRule="auto"/>
              <w:ind w:firstLine="0"/>
            </w:pPr>
            <w:r/>
            <w:r>
              <w:rPr>
                <w:rFonts w:ascii="Times New Roman" w:hAnsi="Times New Roman" w:eastAsia="宋体"/>
                <w:b w:val="0"/>
                <w:i w:val="0"/>
                <w:sz w:val="21"/>
              </w:rPr>
              <w:t>入库单号：varchar(32)，取号规则待确认</w:t>
            </w:r>
            <w:r>
              <w:br/>
            </w:r>
            <w:r>
              <w:rPr>
                <w:rFonts w:ascii="Times New Roman" w:hAnsi="Times New Roman" w:eastAsia="宋体"/>
                <w:b w:val="0"/>
                <w:i w:val="0"/>
                <w:sz w:val="21"/>
              </w:rPr>
              <w:t>入库数量：decimal(20,4)</w:t>
            </w:r>
            <w:r>
              <w:br/>
            </w:r>
            <w:r>
              <w:rPr>
                <w:rFonts w:ascii="Times New Roman" w:hAnsi="Times New Roman" w:eastAsia="宋体"/>
                <w:b w:val="0"/>
                <w:i w:val="0"/>
                <w:sz w:val="21"/>
              </w:rPr>
              <w:t>入库单价与入库货值：入库货值由数量与单价自动计算</w:t>
            </w:r>
            <w:r>
              <w:br/>
            </w:r>
            <w:r>
              <w:rPr>
                <w:rFonts w:ascii="Times New Roman" w:hAnsi="Times New Roman" w:eastAsia="宋体"/>
                <w:b w:val="0"/>
                <w:i w:val="0"/>
                <w:sz w:val="21"/>
              </w:rPr>
              <w:t>入库日期：date，必填</w:t>
            </w:r>
            <w:r>
              <w:br/>
            </w:r>
            <w:r>
              <w:rPr>
                <w:rFonts w:ascii="Times New Roman" w:hAnsi="Times New Roman" w:eastAsia="宋体"/>
                <w:b w:val="0"/>
                <w:i w:val="0"/>
                <w:sz w:val="21"/>
              </w:rPr>
              <w:t>入库类型：purchase 采购入库、return 退货入库、transfer 调拨入库；盘盈入库的枚举归属待确认</w:t>
            </w:r>
            <w:r>
              <w:br/>
            </w:r>
            <w:r>
              <w:rPr>
                <w:rFonts w:ascii="Times New Roman" w:hAnsi="Times New Roman" w:eastAsia="宋体"/>
                <w:b w:val="0"/>
                <w:i w:val="0"/>
                <w:sz w:val="21"/>
              </w:rPr>
              <w:t>运输方式：truck 汽运、rail 火运、ship 船运</w:t>
            </w:r>
            <w:r>
              <w:br/>
            </w:r>
            <w:r>
              <w:rPr>
                <w:rFonts w:ascii="Times New Roman" w:hAnsi="Times New Roman" w:eastAsia="宋体"/>
                <w:b w:val="0"/>
                <w:i w:val="0"/>
                <w:sz w:val="21"/>
              </w:rPr>
              <w:t>入库车数：汽运与火运必填，船运无此字段</w:t>
            </w:r>
            <w:r>
              <w:br/>
            </w:r>
            <w:r>
              <w:rPr>
                <w:rFonts w:ascii="Times New Roman" w:hAnsi="Times New Roman" w:eastAsia="宋体"/>
                <w:b w:val="0"/>
                <w:i w:val="0"/>
                <w:sz w:val="21"/>
              </w:rPr>
              <w:t>关联合同与关联业务线：入库单关联采购合同编号与业务线号</w:t>
            </w:r>
            <w:r>
              <w:br/>
            </w:r>
            <w:r>
              <w:rPr>
                <w:rFonts w:ascii="Times New Roman" w:hAnsi="Times New Roman" w:eastAsia="宋体"/>
                <w:b w:val="0"/>
                <w:i w:val="0"/>
                <w:sz w:val="21"/>
              </w:rPr>
              <w:t>状态：pending 待登记、draft 草稿、wh_review 仓储部审核、stocked 已入库、inventory_updated 库存更新、rejected 已驳回</w:t>
            </w:r>
          </w:p>
        </w:tc>
        <w:tc>
          <w:tcPr>
            <w:tcW w:type="dxa" w:w="3402"/>
          </w:tcPr>
          <w:p>
            <w:pPr>
              <w:spacing w:before="20" w:after="20" w:line="276" w:lineRule="auto"/>
              <w:ind w:firstLine="0"/>
            </w:pPr>
            <w:r/>
            <w:r>
              <w:rPr>
                <w:rFonts w:ascii="Times New Roman" w:hAnsi="Times New Roman" w:eastAsia="宋体"/>
                <w:b w:val="0"/>
                <w:i w:val="0"/>
                <w:sz w:val="21"/>
              </w:rPr>
              <w:t>入库单关联采购合同与业务线；提交后回写库存台账实际库存，并向合同与业务线推送已收数量与货物进度</w:t>
            </w:r>
          </w:p>
        </w:tc>
      </w:tr>
      <w:tr>
        <w:tc>
          <w:tcPr>
            <w:tcW w:type="dxa" w:w="1474"/>
          </w:tcPr>
          <w:p>
            <w:pPr>
              <w:spacing w:before="20" w:after="20" w:line="276" w:lineRule="auto"/>
              <w:ind w:firstLine="0"/>
            </w:pPr>
            <w:r/>
            <w:r>
              <w:rPr>
                <w:rFonts w:ascii="Times New Roman" w:hAnsi="Times New Roman" w:eastAsia="宋体"/>
                <w:b w:val="0"/>
                <w:i w:val="0"/>
                <w:sz w:val="21"/>
              </w:rPr>
              <w:t>入库附件单据</w:t>
            </w:r>
          </w:p>
        </w:tc>
        <w:tc>
          <w:tcPr>
            <w:tcW w:type="dxa" w:w="4195"/>
          </w:tcPr>
          <w:p>
            <w:pPr>
              <w:spacing w:before="20" w:after="20" w:line="276" w:lineRule="auto"/>
              <w:ind w:firstLine="0"/>
            </w:pPr>
            <w:r/>
            <w:r>
              <w:rPr>
                <w:rFonts w:ascii="Times New Roman" w:hAnsi="Times New Roman" w:eastAsia="宋体"/>
                <w:b w:val="0"/>
                <w:i w:val="0"/>
                <w:sz w:val="21"/>
              </w:rPr>
              <w:t>附件类型：磅单、磅单明细、铁路大票、出入库明细、随船计量单、化验凭证，由运输方式决定清单</w:t>
            </w:r>
            <w:r>
              <w:br/>
            </w:r>
            <w:r>
              <w:rPr>
                <w:rFonts w:ascii="Times New Roman" w:hAnsi="Times New Roman" w:eastAsia="宋体"/>
                <w:b w:val="0"/>
                <w:i w:val="0"/>
                <w:sz w:val="21"/>
              </w:rPr>
              <w:t>是否必传：磅单与磅单明细、铁路大票与出入库明细、随船计量单为必传；化验凭证为非必传</w:t>
            </w:r>
            <w:r>
              <w:br/>
            </w:r>
            <w:r>
              <w:rPr>
                <w:rFonts w:ascii="Times New Roman" w:hAnsi="Times New Roman" w:eastAsia="宋体"/>
                <w:b w:val="0"/>
                <w:i w:val="0"/>
                <w:sz w:val="21"/>
              </w:rPr>
              <w:t>支持格式：图片与单据类为 jpg、jpeg、png、pdf；明细类另支持 xls、xlsx</w:t>
            </w:r>
            <w:r>
              <w:br/>
            </w:r>
            <w:r>
              <w:rPr>
                <w:rFonts w:ascii="Times New Roman" w:hAnsi="Times New Roman" w:eastAsia="宋体"/>
                <w:b w:val="0"/>
                <w:i w:val="0"/>
                <w:sz w:val="21"/>
              </w:rPr>
              <w:t>文件大小：单个附件不得超过 100M</w:t>
            </w:r>
            <w:r>
              <w:br/>
            </w:r>
            <w:r>
              <w:rPr>
                <w:rFonts w:ascii="Times New Roman" w:hAnsi="Times New Roman" w:eastAsia="宋体"/>
                <w:b w:val="0"/>
                <w:i w:val="0"/>
                <w:sz w:val="21"/>
              </w:rPr>
              <w:t>文件名展示：超长文件名按 320 宽度截断并以省略号收尾</w:t>
            </w:r>
          </w:p>
        </w:tc>
        <w:tc>
          <w:tcPr>
            <w:tcW w:type="dxa" w:w="3402"/>
          </w:tcPr>
          <w:p>
            <w:pPr>
              <w:spacing w:before="20" w:after="20" w:line="276" w:lineRule="auto"/>
              <w:ind w:firstLine="0"/>
            </w:pPr>
            <w:r/>
            <w:r>
              <w:rPr>
                <w:rFonts w:ascii="Times New Roman" w:hAnsi="Times New Roman" w:eastAsia="宋体"/>
                <w:b w:val="0"/>
                <w:i w:val="0"/>
                <w:sz w:val="21"/>
              </w:rPr>
              <w:t>通过运输方式与入库单绑定，详情页只展示已上传的附件</w:t>
            </w:r>
          </w:p>
        </w:tc>
      </w:tr>
      <w:tr>
        <w:tc>
          <w:tcPr>
            <w:tcW w:type="dxa" w:w="1474"/>
          </w:tcPr>
          <w:p>
            <w:pPr>
              <w:spacing w:before="20" w:after="20" w:line="276" w:lineRule="auto"/>
              <w:ind w:firstLine="0"/>
            </w:pPr>
            <w:r/>
            <w:r>
              <w:rPr>
                <w:rFonts w:ascii="Times New Roman" w:hAnsi="Times New Roman" w:eastAsia="宋体"/>
                <w:b w:val="0"/>
                <w:i w:val="0"/>
                <w:sz w:val="21"/>
              </w:rPr>
              <w:t>库存台账</w:t>
            </w:r>
          </w:p>
        </w:tc>
        <w:tc>
          <w:tcPr>
            <w:tcW w:type="dxa" w:w="4195"/>
          </w:tcPr>
          <w:p>
            <w:pPr>
              <w:spacing w:before="20" w:after="20" w:line="276" w:lineRule="auto"/>
              <w:ind w:firstLine="0"/>
            </w:pPr>
            <w:r/>
            <w:r>
              <w:rPr>
                <w:rFonts w:ascii="Times New Roman" w:hAnsi="Times New Roman" w:eastAsia="宋体"/>
                <w:b w:val="0"/>
                <w:i w:val="0"/>
                <w:sz w:val="21"/>
              </w:rPr>
              <w:t>库存总量：decimal(20,4)</w:t>
            </w:r>
            <w:r>
              <w:br/>
            </w:r>
            <w:r>
              <w:rPr>
                <w:rFonts w:ascii="Times New Roman" w:hAnsi="Times New Roman" w:eastAsia="宋体"/>
                <w:b w:val="0"/>
                <w:i w:val="0"/>
                <w:sz w:val="21"/>
              </w:rPr>
              <w:t>锁定数量：已下单但未出库的数量</w:t>
            </w:r>
            <w:r>
              <w:br/>
            </w:r>
            <w:r>
              <w:rPr>
                <w:rFonts w:ascii="Times New Roman" w:hAnsi="Times New Roman" w:eastAsia="宋体"/>
                <w:b w:val="0"/>
                <w:i w:val="0"/>
                <w:sz w:val="21"/>
              </w:rPr>
              <w:t>可用数量：库存总量减锁定数量</w:t>
            </w:r>
            <w:r>
              <w:br/>
            </w:r>
            <w:r>
              <w:rPr>
                <w:rFonts w:ascii="Times New Roman" w:hAnsi="Times New Roman" w:eastAsia="宋体"/>
                <w:b w:val="0"/>
                <w:i w:val="0"/>
                <w:sz w:val="21"/>
              </w:rPr>
              <w:t>最后入库日期与最后出库日期</w:t>
            </w:r>
          </w:p>
        </w:tc>
        <w:tc>
          <w:tcPr>
            <w:tcW w:type="dxa" w:w="3402"/>
          </w:tcPr>
          <w:p>
            <w:pPr>
              <w:spacing w:before="20" w:after="20" w:line="276" w:lineRule="auto"/>
              <w:ind w:firstLine="0"/>
            </w:pPr>
            <w:r/>
            <w:r>
              <w:rPr>
                <w:rFonts w:ascii="Times New Roman" w:hAnsi="Times New Roman" w:eastAsia="宋体"/>
                <w:b w:val="0"/>
                <w:i w:val="0"/>
                <w:sz w:val="21"/>
              </w:rPr>
              <w:t>入库登记完成后实际库存增加并回写库存台账；盘盈入库同时改变实际库存与账面库存差额</w:t>
            </w:r>
          </w:p>
        </w:tc>
      </w:tr>
      <w:tr>
        <w:tc>
          <w:tcPr>
            <w:tcW w:type="dxa" w:w="1474"/>
          </w:tcPr>
          <w:p>
            <w:pPr>
              <w:spacing w:before="20" w:after="20" w:line="276" w:lineRule="auto"/>
              <w:ind w:firstLine="0"/>
            </w:pPr>
            <w:r/>
            <w:r>
              <w:rPr>
                <w:rFonts w:ascii="Times New Roman" w:hAnsi="Times New Roman" w:eastAsia="宋体"/>
                <w:b w:val="0"/>
                <w:i w:val="0"/>
                <w:sz w:val="21"/>
              </w:rPr>
              <w:t>库点、仓房与货位</w:t>
            </w:r>
          </w:p>
        </w:tc>
        <w:tc>
          <w:tcPr>
            <w:tcW w:type="dxa" w:w="4195"/>
          </w:tcPr>
          <w:p>
            <w:pPr>
              <w:spacing w:before="20" w:after="20" w:line="276" w:lineRule="auto"/>
              <w:ind w:firstLine="0"/>
            </w:pPr>
            <w:r/>
            <w:r>
              <w:rPr>
                <w:rFonts w:ascii="Times New Roman" w:hAnsi="Times New Roman" w:eastAsia="宋体"/>
                <w:b w:val="0"/>
                <w:i w:val="0"/>
                <w:sz w:val="21"/>
              </w:rPr>
              <w:t>库点：物理仓库位置，下挂多个仓房</w:t>
            </w:r>
            <w:r>
              <w:br/>
            </w:r>
            <w:r>
              <w:rPr>
                <w:rFonts w:ascii="Times New Roman" w:hAnsi="Times New Roman" w:eastAsia="宋体"/>
                <w:b w:val="0"/>
                <w:i w:val="0"/>
                <w:sz w:val="21"/>
              </w:rPr>
              <w:t>仓房：库点内的仓房，含容积、货位数、当前库存与巡库任务开关</w:t>
            </w:r>
            <w:r>
              <w:br/>
            </w:r>
            <w:r>
              <w:rPr>
                <w:rFonts w:ascii="Times New Roman" w:hAnsi="Times New Roman" w:eastAsia="宋体"/>
                <w:b w:val="0"/>
                <w:i w:val="0"/>
                <w:sz w:val="21"/>
              </w:rPr>
              <w:t>货位：仓房内的具体货位，含容积与占用状态</w:t>
            </w:r>
            <w:r>
              <w:br/>
            </w:r>
            <w:r>
              <w:rPr>
                <w:rFonts w:ascii="Times New Roman" w:hAnsi="Times New Roman" w:eastAsia="宋体"/>
                <w:b w:val="0"/>
                <w:i w:val="0"/>
                <w:sz w:val="21"/>
              </w:rPr>
              <w:t>登记口径：入库时登记最重货物放置的仓房与货位</w:t>
            </w:r>
          </w:p>
        </w:tc>
        <w:tc>
          <w:tcPr>
            <w:tcW w:type="dxa" w:w="3402"/>
          </w:tcPr>
          <w:p>
            <w:pPr>
              <w:spacing w:before="20" w:after="20" w:line="276" w:lineRule="auto"/>
              <w:ind w:firstLine="0"/>
            </w:pPr>
            <w:r/>
            <w:r>
              <w:rPr>
                <w:rFonts w:ascii="Times New Roman" w:hAnsi="Times New Roman" w:eastAsia="宋体"/>
                <w:b w:val="0"/>
                <w:i w:val="0"/>
                <w:sz w:val="21"/>
              </w:rPr>
              <w:t>入库单的仓库与货位字段引用该三级结构，货位库存随入库出库实时变化</w:t>
            </w:r>
          </w:p>
        </w:tc>
      </w:tr>
      <w:tr>
        <w:tc>
          <w:tcPr>
            <w:tcW w:type="dxa" w:w="1474"/>
          </w:tcPr>
          <w:p>
            <w:pPr>
              <w:spacing w:before="20" w:after="20" w:line="276" w:lineRule="auto"/>
              <w:ind w:firstLine="0"/>
            </w:pPr>
            <w:r/>
            <w:r>
              <w:rPr>
                <w:rFonts w:ascii="Times New Roman" w:hAnsi="Times New Roman" w:eastAsia="宋体"/>
                <w:b w:val="0"/>
                <w:i w:val="0"/>
                <w:sz w:val="21"/>
              </w:rPr>
              <w:t>采购合同与业务线</w:t>
            </w:r>
          </w:p>
        </w:tc>
        <w:tc>
          <w:tcPr>
            <w:tcW w:type="dxa" w:w="4195"/>
          </w:tcPr>
          <w:p>
            <w:pPr>
              <w:spacing w:before="20" w:after="20" w:line="276" w:lineRule="auto"/>
              <w:ind w:firstLine="0"/>
            </w:pPr>
            <w:r/>
            <w:r>
              <w:rPr>
                <w:rFonts w:ascii="Times New Roman" w:hAnsi="Times New Roman" w:eastAsia="宋体"/>
                <w:b w:val="0"/>
                <w:i w:val="0"/>
                <w:sz w:val="21"/>
              </w:rPr>
              <w:t>合同信息 9 字段：合同编号、卖方、买方、品名、基准价格、数量、交货期限、运输方式、收货人</w:t>
            </w:r>
            <w:r>
              <w:br/>
            </w:r>
            <w:r>
              <w:rPr>
                <w:rFonts w:ascii="Times New Roman" w:hAnsi="Times New Roman" w:eastAsia="宋体"/>
                <w:b w:val="0"/>
                <w:i w:val="0"/>
                <w:sz w:val="21"/>
              </w:rPr>
              <w:t>合同编号前缀：采购入库对应采购合同前缀，销售出库对应销售合同前缀</w:t>
            </w:r>
            <w:r>
              <w:br/>
            </w:r>
            <w:r>
              <w:rPr>
                <w:rFonts w:ascii="Times New Roman" w:hAnsi="Times New Roman" w:eastAsia="宋体"/>
                <w:b w:val="0"/>
                <w:i w:val="0"/>
                <w:sz w:val="21"/>
              </w:rPr>
              <w:t>业务线信息 3 字段：业务线号、业务线名称、下游销售合同编号</w:t>
            </w:r>
          </w:p>
        </w:tc>
        <w:tc>
          <w:tcPr>
            <w:tcW w:type="dxa" w:w="3402"/>
          </w:tcPr>
          <w:p>
            <w:pPr>
              <w:spacing w:before="20" w:after="20" w:line="276" w:lineRule="auto"/>
              <w:ind w:firstLine="0"/>
            </w:pPr>
            <w:r/>
            <w:r>
              <w:rPr>
                <w:rFonts w:ascii="Times New Roman" w:hAnsi="Times New Roman" w:eastAsia="宋体"/>
                <w:b w:val="0"/>
                <w:i w:val="0"/>
                <w:sz w:val="21"/>
              </w:rPr>
              <w:t>采购合同是采购入库的必填前置，业务线用于联动货物进度</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4.20.6　角色权限与数据权限</w:t>
      </w:r>
    </w:p>
    <w:p>
      <w:pPr>
        <w:spacing w:before="0" w:after="120" w:line="360" w:lineRule="auto"/>
      </w:pPr>
      <w:r>
        <w:rPr>
          <w:rFonts w:ascii="Times New Roman" w:hAnsi="Times New Roman" w:eastAsia="宋体"/>
          <w:b w:val="0"/>
          <w:i w:val="0"/>
          <w:sz w:val="24"/>
        </w:rPr>
        <w:t>本期为系统全量权限（业务方裁决 D17 / QA-012）；下表角色为典型使用角色，非权限分级。本期仅交付 WEB 端（业务方裁决 D9 / QA-004），入库现场登记在 PC 端网页完成，不提供移动端或巡库 App。</w:t>
      </w:r>
    </w:p>
    <w:p>
      <w:pPr>
        <w:spacing w:before="0" w:after="80" w:line="360" w:lineRule="auto"/>
      </w:pPr>
      <w:r>
        <w:rPr>
          <w:rFonts w:ascii="Times New Roman" w:hAnsi="Times New Roman" w:eastAsia="宋体"/>
          <w:b w:val="0"/>
          <w:i w:val="0"/>
          <w:sz w:val="24"/>
        </w:rPr>
        <w:t>数据可见性：按单据归属与业务筛选查看；手机号、统一社会信用代码等敏感字段默认打码，手动点击查看完整值且查看行为留痕。</w:t>
      </w:r>
    </w:p>
    <w:p>
      <w:pPr>
        <w:pStyle w:val="Heading3"/>
        <w:keepNext/>
        <w:spacing w:before="160" w:after="80" w:line="312" w:lineRule="auto"/>
        <w:ind w:firstLine="0"/>
      </w:pPr>
      <w:r>
        <w:rPr>
          <w:rFonts w:ascii="Times New Roman" w:hAnsi="Times New Roman" w:eastAsia="黑体"/>
          <w:b/>
          <w:i w:val="0"/>
          <w:sz w:val="24"/>
        </w:rPr>
        <w:t>4.20.7　业务流程与页面</w:t>
      </w:r>
    </w:p>
    <w:p>
      <w:pPr>
        <w:spacing w:before="120" w:after="60"/>
        <w:ind w:firstLine="0"/>
        <w:jc w:val="center"/>
      </w:pPr>
      <w:r>
        <w:drawing>
          <wp:inline xmlns:a="http://schemas.openxmlformats.org/drawingml/2006/main" xmlns:pic="http://schemas.openxmlformats.org/drawingml/2006/picture">
            <wp:extent cx="5616000" cy="1565379"/>
            <wp:docPr id="43" name="Picture 43"/>
            <wp:cNvGraphicFramePr>
              <a:graphicFrameLocks noChangeAspect="1"/>
            </wp:cNvGraphicFramePr>
            <a:graphic>
              <a:graphicData uri="http://schemas.openxmlformats.org/drawingml/2006/picture">
                <pic:pic>
                  <pic:nvPicPr>
                    <pic:cNvPr id="0" name="mermaid-warehouse-inbound.png"/>
                    <pic:cNvPicPr/>
                  </pic:nvPicPr>
                  <pic:blipFill>
                    <a:blip r:embed="rId53"/>
                    <a:stretch>
                      <a:fillRect/>
                    </a:stretch>
                  </pic:blipFill>
                  <pic:spPr>
                    <a:xfrm>
                      <a:off x="0" y="0"/>
                      <a:ext cx="5616000" cy="1565379"/>
                    </a:xfrm>
                    <a:prstGeom prst="rect"/>
                  </pic:spPr>
                </pic:pic>
              </a:graphicData>
            </a:graphic>
          </wp:inline>
        </w:drawing>
      </w:r>
    </w:p>
    <w:p>
      <w:pPr>
        <w:spacing w:before="0" w:after="200" w:line="240" w:lineRule="auto"/>
        <w:ind w:firstLine="0"/>
        <w:jc w:val="center"/>
      </w:pPr>
      <w:r>
        <w:rPr>
          <w:rFonts w:ascii="Times New Roman" w:hAnsi="Times New Roman" w:eastAsia="宋体"/>
          <w:b w:val="0"/>
          <w:i w:val="0"/>
          <w:sz w:val="21"/>
        </w:rPr>
        <w:t>图 4-20-1　入库管理 主业务流程</w:t>
      </w:r>
    </w:p>
    <w:p>
      <w:pPr>
        <w:spacing w:before="0" w:after="60" w:line="360" w:lineRule="auto"/>
      </w:pPr>
      <w:r>
        <w:rPr>
          <w:rFonts w:ascii="Times New Roman" w:hAnsi="Times New Roman" w:eastAsia="宋体"/>
          <w:b/>
          <w:i w:val="0"/>
          <w:sz w:val="24"/>
        </w:rPr>
        <w:t>主流程步骤：</w:t>
      </w:r>
    </w:p>
    <w:p>
      <w:pPr>
        <w:spacing w:before="0" w:after="60" w:line="336" w:lineRule="auto"/>
        <w:ind w:left="510" w:hanging="510"/>
      </w:pPr>
      <w:r>
        <w:rPr>
          <w:rFonts w:ascii="Times New Roman" w:hAnsi="Times New Roman" w:eastAsia="宋体"/>
          <w:b w:val="0"/>
          <w:i w:val="0"/>
          <w:sz w:val="24"/>
        </w:rPr>
        <w:t>1. 收发货模块完成收货，触发入库登记</w:t>
      </w:r>
    </w:p>
    <w:p>
      <w:pPr>
        <w:spacing w:before="0" w:after="60" w:line="336" w:lineRule="auto"/>
        <w:ind w:left="510" w:hanging="510"/>
      </w:pPr>
      <w:r>
        <w:rPr>
          <w:rFonts w:ascii="Times New Roman" w:hAnsi="Times New Roman" w:eastAsia="宋体"/>
          <w:b w:val="0"/>
          <w:i w:val="0"/>
          <w:sz w:val="24"/>
        </w:rPr>
        <w:t>2. 在入库记录列表点击「新增入库」，下拉选择采购入库或盘盈入库</w:t>
      </w:r>
    </w:p>
    <w:p>
      <w:pPr>
        <w:spacing w:before="0" w:after="60" w:line="336" w:lineRule="auto"/>
        <w:ind w:left="510" w:hanging="510"/>
      </w:pPr>
      <w:r>
        <w:rPr>
          <w:rFonts w:ascii="Times New Roman" w:hAnsi="Times New Roman" w:eastAsia="宋体"/>
          <w:b w:val="0"/>
          <w:i w:val="0"/>
          <w:sz w:val="24"/>
        </w:rPr>
        <w:t>3. 按所选入库类型进入对应通道：采购入库打开关联采购合同抽屉，筛选并单选合同，也可选择暂不关联；盘盈入库打开侧边抽屉，确认不关联合同不联动业务线后进入</w:t>
      </w:r>
    </w:p>
    <w:p>
      <w:pPr>
        <w:spacing w:before="0" w:after="60" w:line="336" w:lineRule="auto"/>
        <w:ind w:left="510" w:hanging="510"/>
      </w:pPr>
      <w:r>
        <w:rPr>
          <w:rFonts w:ascii="Times New Roman" w:hAnsi="Times New Roman" w:eastAsia="宋体"/>
          <w:b w:val="0"/>
          <w:i w:val="0"/>
          <w:sz w:val="24"/>
        </w:rPr>
        <w:t>4. 进入表单，系统带出合同信息与业务线信息，无合同版表单不含这两个区块</w:t>
      </w:r>
    </w:p>
    <w:p>
      <w:pPr>
        <w:spacing w:before="0" w:after="60" w:line="336" w:lineRule="auto"/>
        <w:ind w:left="510" w:hanging="510"/>
      </w:pPr>
      <w:r>
        <w:rPr>
          <w:rFonts w:ascii="Times New Roman" w:hAnsi="Times New Roman" w:eastAsia="宋体"/>
          <w:b w:val="0"/>
          <w:i w:val="0"/>
          <w:sz w:val="24"/>
        </w:rPr>
        <w:t>5. 录入入库数量、入库单价、入库日期、产地、品名、发货单位与收货单位，品名须与合同品名一致</w:t>
      </w:r>
    </w:p>
    <w:p>
      <w:pPr>
        <w:spacing w:before="0" w:after="60" w:line="336" w:lineRule="auto"/>
        <w:ind w:left="510" w:hanging="510"/>
      </w:pPr>
      <w:r>
        <w:rPr>
          <w:rFonts w:ascii="Times New Roman" w:hAnsi="Times New Roman" w:eastAsia="宋体"/>
          <w:b w:val="0"/>
          <w:i w:val="0"/>
          <w:sz w:val="24"/>
        </w:rPr>
        <w:t>6. 选择运输方式：汽运与火运填写入库车数并可登记最重货物仓房货位，船运仅登记仓房货位且为选填</w:t>
      </w:r>
    </w:p>
    <w:p>
      <w:pPr>
        <w:spacing w:before="0" w:after="60" w:line="336" w:lineRule="auto"/>
        <w:ind w:left="510" w:hanging="510"/>
      </w:pPr>
      <w:r>
        <w:rPr>
          <w:rFonts w:ascii="Times New Roman" w:hAnsi="Times New Roman" w:eastAsia="宋体"/>
          <w:b w:val="0"/>
          <w:i w:val="0"/>
          <w:sz w:val="24"/>
        </w:rPr>
        <w:t>7. 填写备注说明，选填且不超过 200 字</w:t>
      </w:r>
    </w:p>
    <w:p>
      <w:pPr>
        <w:spacing w:before="0" w:after="60" w:line="336" w:lineRule="auto"/>
        <w:ind w:left="510" w:hanging="510"/>
      </w:pPr>
      <w:r>
        <w:rPr>
          <w:rFonts w:ascii="Times New Roman" w:hAnsi="Times New Roman" w:eastAsia="宋体"/>
          <w:b w:val="0"/>
          <w:i w:val="0"/>
          <w:sz w:val="24"/>
        </w:rPr>
        <w:t>8. 上传入库单据，按当前运输方式对应的必传与非必传清单上传，单个附件不超过 100M</w:t>
      </w:r>
    </w:p>
    <w:p>
      <w:pPr>
        <w:spacing w:before="0" w:after="60" w:line="336" w:lineRule="auto"/>
        <w:ind w:left="510" w:hanging="510"/>
      </w:pPr>
      <w:r>
        <w:rPr>
          <w:rFonts w:ascii="Times New Roman" w:hAnsi="Times New Roman" w:eastAsia="宋体"/>
          <w:b w:val="0"/>
          <w:i w:val="0"/>
          <w:sz w:val="24"/>
        </w:rPr>
        <w:t>9. 提交；盘盈入库须先通过盘盈说明与仓房货位数量的校验</w:t>
      </w:r>
    </w:p>
    <w:p>
      <w:pPr>
        <w:spacing w:before="0" w:after="60" w:line="336" w:lineRule="auto"/>
        <w:ind w:left="510" w:hanging="510"/>
      </w:pPr>
      <w:r>
        <w:rPr>
          <w:rFonts w:ascii="Times New Roman" w:hAnsi="Times New Roman" w:eastAsia="宋体"/>
          <w:b w:val="0"/>
          <w:i w:val="0"/>
          <w:sz w:val="24"/>
        </w:rPr>
        <w:t>10. 入库完成，更新库存台账并联动业务线货物进度与合同已收数量</w:t>
      </w:r>
    </w:p>
    <w:p>
      <w:pPr>
        <w:spacing w:before="120" w:after="60" w:line="360" w:lineRule="auto"/>
      </w:pPr>
      <w:r>
        <w:rPr>
          <w:rFonts w:ascii="Times New Roman" w:hAnsi="Times New Roman" w:eastAsia="宋体"/>
          <w:b/>
          <w:i w:val="0"/>
          <w:sz w:val="24"/>
        </w:rPr>
        <w:t>异常分支：</w:t>
      </w:r>
    </w:p>
    <w:tbl>
      <w:tblPr>
        <w:tblStyle w:val="TableGrid"/>
        <w:tblW w:type="auto" w:w="0"/>
        <w:jc w:val="center"/>
        <w:tblLayout w:type="fixed"/>
        <w:tblLook w:firstColumn="1" w:firstRow="1" w:lastColumn="0" w:lastRow="0" w:noHBand="0" w:noVBand="1" w:val="04A0"/>
      </w:tblPr>
      <w:tblGrid>
        <w:gridCol w:w="4479"/>
        <w:gridCol w:w="4479"/>
      </w:tblGrid>
      <w:tr>
        <w:trPr>
          <w:tblHeader w:val="true"/>
        </w:trPr>
        <w:tc>
          <w:tcPr>
            <w:tcW w:type="dxa" w:w="2835"/>
            <w:shd w:val="clear" w:color="auto" w:fill="DCE6F1"/>
          </w:tcPr>
          <w:p>
            <w:pPr>
              <w:spacing w:before="40" w:after="40" w:line="276" w:lineRule="auto"/>
              <w:jc w:val="center"/>
            </w:pPr>
            <w:r/>
            <w:r>
              <w:rPr>
                <w:rFonts w:ascii="Times New Roman" w:hAnsi="Times New Roman" w:eastAsia="黑体"/>
                <w:b/>
                <w:i w:val="0"/>
                <w:sz w:val="21"/>
              </w:rPr>
              <w:t>异常场景</w:t>
            </w:r>
          </w:p>
        </w:tc>
        <w:tc>
          <w:tcPr>
            <w:tcW w:type="dxa" w:w="6236"/>
            <w:shd w:val="clear" w:color="auto" w:fill="DCE6F1"/>
          </w:tcPr>
          <w:p>
            <w:pPr>
              <w:spacing w:before="40" w:after="40" w:line="276" w:lineRule="auto"/>
              <w:jc w:val="center"/>
            </w:pPr>
            <w:r/>
            <w:r>
              <w:rPr>
                <w:rFonts w:ascii="Times New Roman" w:hAnsi="Times New Roman" w:eastAsia="黑体"/>
                <w:b/>
                <w:i w:val="0"/>
                <w:sz w:val="21"/>
              </w:rPr>
              <w:t>系统处理</w:t>
            </w:r>
          </w:p>
        </w:tc>
      </w:tr>
      <w:tr>
        <w:tc>
          <w:tcPr>
            <w:tcW w:type="dxa" w:w="2835"/>
          </w:tcPr>
          <w:p>
            <w:pPr>
              <w:spacing w:before="20" w:after="20" w:line="276" w:lineRule="auto"/>
              <w:ind w:firstLine="0"/>
            </w:pPr>
            <w:r/>
            <w:r>
              <w:rPr>
                <w:rFonts w:ascii="Times New Roman" w:hAnsi="Times New Roman" w:eastAsia="宋体"/>
                <w:b w:val="0"/>
                <w:i w:val="0"/>
                <w:sz w:val="21"/>
              </w:rPr>
              <w:t>入库数量超过收货剩余数量</w:t>
            </w:r>
          </w:p>
        </w:tc>
        <w:tc>
          <w:tcPr>
            <w:tcW w:type="dxa" w:w="6236"/>
          </w:tcPr>
          <w:p>
            <w:pPr>
              <w:spacing w:before="20" w:after="20" w:line="276" w:lineRule="auto"/>
              <w:ind w:firstLine="0"/>
            </w:pPr>
            <w:r/>
            <w:r>
              <w:rPr>
                <w:rFonts w:ascii="Times New Roman" w:hAnsi="Times New Roman" w:eastAsia="宋体"/>
                <w:b w:val="0"/>
                <w:i w:val="0"/>
                <w:sz w:val="21"/>
              </w:rPr>
              <w:t>阻止提交，提示「入库数量 X 超过收货剩余数量 Y」</w:t>
            </w:r>
          </w:p>
        </w:tc>
      </w:tr>
      <w:tr>
        <w:tc>
          <w:tcPr>
            <w:tcW w:type="dxa" w:w="2835"/>
          </w:tcPr>
          <w:p>
            <w:pPr>
              <w:spacing w:before="20" w:after="20" w:line="276" w:lineRule="auto"/>
              <w:ind w:firstLine="0"/>
            </w:pPr>
            <w:r/>
            <w:r>
              <w:rPr>
                <w:rFonts w:ascii="Times New Roman" w:hAnsi="Times New Roman" w:eastAsia="宋体"/>
                <w:b w:val="0"/>
                <w:i w:val="0"/>
                <w:sz w:val="21"/>
              </w:rPr>
              <w:t>运输方式为船运时仍填写入库车数</w:t>
            </w:r>
          </w:p>
        </w:tc>
        <w:tc>
          <w:tcPr>
            <w:tcW w:type="dxa" w:w="6236"/>
          </w:tcPr>
          <w:p>
            <w:pPr>
              <w:spacing w:before="20" w:after="20" w:line="276" w:lineRule="auto"/>
              <w:ind w:firstLine="0"/>
            </w:pPr>
            <w:r/>
            <w:r>
              <w:rPr>
                <w:rFonts w:ascii="Times New Roman" w:hAnsi="Times New Roman" w:eastAsia="宋体"/>
                <w:b w:val="0"/>
                <w:i w:val="0"/>
                <w:sz w:val="21"/>
              </w:rPr>
              <w:t>切换到船运即隐藏入库车数并清空已填值，避免无效数据随表单提交</w:t>
            </w:r>
          </w:p>
        </w:tc>
      </w:tr>
      <w:tr>
        <w:tc>
          <w:tcPr>
            <w:tcW w:type="dxa" w:w="2835"/>
          </w:tcPr>
          <w:p>
            <w:pPr>
              <w:spacing w:before="20" w:after="20" w:line="276" w:lineRule="auto"/>
              <w:ind w:firstLine="0"/>
            </w:pPr>
            <w:r/>
            <w:r>
              <w:rPr>
                <w:rFonts w:ascii="Times New Roman" w:hAnsi="Times New Roman" w:eastAsia="宋体"/>
                <w:b w:val="0"/>
                <w:i w:val="0"/>
                <w:sz w:val="21"/>
              </w:rPr>
              <w:t>品名与合同品名不一致</w:t>
            </w:r>
          </w:p>
        </w:tc>
        <w:tc>
          <w:tcPr>
            <w:tcW w:type="dxa" w:w="6236"/>
          </w:tcPr>
          <w:p>
            <w:pPr>
              <w:spacing w:before="20" w:after="20" w:line="276" w:lineRule="auto"/>
              <w:ind w:firstLine="0"/>
            </w:pPr>
            <w:r/>
            <w:r>
              <w:rPr>
                <w:rFonts w:ascii="Times New Roman" w:hAnsi="Times New Roman" w:eastAsia="宋体"/>
                <w:b w:val="0"/>
                <w:i w:val="0"/>
                <w:sz w:val="21"/>
              </w:rPr>
              <w:t>提交前拦截，提示品名需与合同品名保持一致</w:t>
            </w:r>
          </w:p>
        </w:tc>
      </w:tr>
      <w:tr>
        <w:tc>
          <w:tcPr>
            <w:tcW w:type="dxa" w:w="2835"/>
          </w:tcPr>
          <w:p>
            <w:pPr>
              <w:spacing w:before="20" w:after="20" w:line="276" w:lineRule="auto"/>
              <w:ind w:firstLine="0"/>
            </w:pPr>
            <w:r/>
            <w:r>
              <w:rPr>
                <w:rFonts w:ascii="Times New Roman" w:hAnsi="Times New Roman" w:eastAsia="宋体"/>
                <w:b w:val="0"/>
                <w:i w:val="0"/>
                <w:sz w:val="21"/>
              </w:rPr>
              <w:t>附件格式不符或单个附件超过 100M</w:t>
            </w:r>
          </w:p>
        </w:tc>
        <w:tc>
          <w:tcPr>
            <w:tcW w:type="dxa" w:w="6236"/>
          </w:tcPr>
          <w:p>
            <w:pPr>
              <w:spacing w:before="20" w:after="20" w:line="276" w:lineRule="auto"/>
              <w:ind w:firstLine="0"/>
            </w:pPr>
            <w:r/>
            <w:r>
              <w:rPr>
                <w:rFonts w:ascii="Times New Roman" w:hAnsi="Times New Roman" w:eastAsia="宋体"/>
                <w:b w:val="0"/>
                <w:i w:val="0"/>
                <w:sz w:val="21"/>
              </w:rPr>
              <w:t>按当前运输方式的格式白名单校验并拦截，提示单个附件大小不得超过 100M</w:t>
            </w:r>
          </w:p>
        </w:tc>
      </w:tr>
      <w:tr>
        <w:tc>
          <w:tcPr>
            <w:tcW w:type="dxa" w:w="2835"/>
          </w:tcPr>
          <w:p>
            <w:pPr>
              <w:spacing w:before="20" w:after="20" w:line="276" w:lineRule="auto"/>
              <w:ind w:firstLine="0"/>
            </w:pPr>
            <w:r/>
            <w:r>
              <w:rPr>
                <w:rFonts w:ascii="Times New Roman" w:hAnsi="Times New Roman" w:eastAsia="宋体"/>
                <w:b w:val="0"/>
                <w:i w:val="0"/>
                <w:sz w:val="21"/>
              </w:rPr>
              <w:t>盘盈入库未填写盘盈说明</w:t>
            </w:r>
          </w:p>
        </w:tc>
        <w:tc>
          <w:tcPr>
            <w:tcW w:type="dxa" w:w="6236"/>
          </w:tcPr>
          <w:p>
            <w:pPr>
              <w:spacing w:before="20" w:after="20" w:line="276" w:lineRule="auto"/>
              <w:ind w:firstLine="0"/>
            </w:pPr>
            <w:r/>
            <w:r>
              <w:rPr>
                <w:rFonts w:ascii="Times New Roman" w:hAnsi="Times New Roman" w:eastAsia="宋体"/>
                <w:b w:val="0"/>
                <w:i w:val="0"/>
                <w:sz w:val="21"/>
              </w:rPr>
              <w:t>红字提示「请填写盘盈说明（合规要求）」并禁止提交</w:t>
            </w:r>
          </w:p>
        </w:tc>
      </w:tr>
    </w:tbl>
    <w:p>
      <w:pPr>
        <w:spacing w:before="0" w:after="0" w:line="240" w:lineRule="auto"/>
      </w:pPr>
    </w:p>
    <w:p>
      <w:pPr>
        <w:spacing w:before="120" w:after="60"/>
        <w:ind w:firstLine="0"/>
        <w:jc w:val="center"/>
      </w:pPr>
      <w:r>
        <w:drawing>
          <wp:inline xmlns:a="http://schemas.openxmlformats.org/drawingml/2006/main" xmlns:pic="http://schemas.openxmlformats.org/drawingml/2006/picture">
            <wp:extent cx="5616000" cy="3334500"/>
            <wp:docPr id="44" name="Picture 44"/>
            <wp:cNvGraphicFramePr>
              <a:graphicFrameLocks noChangeAspect="1"/>
            </wp:cNvGraphicFramePr>
            <a:graphic>
              <a:graphicData uri="http://schemas.openxmlformats.org/drawingml/2006/picture">
                <pic:pic>
                  <pic:nvPicPr>
                    <pic:cNvPr id="0" name="warehouse-inbound.png"/>
                    <pic:cNvPicPr/>
                  </pic:nvPicPr>
                  <pic:blipFill>
                    <a:blip r:embed="rId54"/>
                    <a:stretch>
                      <a:fillRect/>
                    </a:stretch>
                  </pic:blipFill>
                  <pic:spPr>
                    <a:xfrm>
                      <a:off x="0" y="0"/>
                      <a:ext cx="5616000" cy="3334500"/>
                    </a:xfrm>
                    <a:prstGeom prst="rect"/>
                  </pic:spPr>
                </pic:pic>
              </a:graphicData>
            </a:graphic>
          </wp:inline>
        </w:drawing>
      </w:r>
    </w:p>
    <w:p>
      <w:pPr>
        <w:spacing w:before="0" w:after="200" w:line="240" w:lineRule="auto"/>
        <w:ind w:firstLine="0"/>
        <w:jc w:val="center"/>
      </w:pPr>
      <w:r>
        <w:rPr>
          <w:rFonts w:ascii="Times New Roman" w:hAnsi="Times New Roman" w:eastAsia="宋体"/>
          <w:b w:val="0"/>
          <w:i w:val="0"/>
          <w:sz w:val="21"/>
        </w:rPr>
        <w:t>图 4-20-2　入库管理 原型页面</w:t>
      </w:r>
    </w:p>
    <w:p>
      <w:pPr>
        <w:spacing w:before="80" w:after="60" w:line="360" w:lineRule="auto"/>
      </w:pPr>
      <w:r>
        <w:rPr>
          <w:rFonts w:ascii="Times New Roman" w:hAnsi="Times New Roman" w:eastAsia="宋体"/>
          <w:b/>
          <w:i w:val="0"/>
          <w:sz w:val="24"/>
        </w:rPr>
        <w:t>页面级说明：</w:t>
      </w: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tblGrid>
      <w:tr>
        <w:trPr>
          <w:tblHeader w:val="true"/>
        </w:trPr>
        <w:tc>
          <w:tcPr>
            <w:tcW w:type="dxa" w:w="1178"/>
            <w:shd w:val="clear" w:color="auto" w:fill="DCE6F1"/>
          </w:tcPr>
          <w:p>
            <w:pPr>
              <w:spacing w:before="40" w:after="40" w:line="276" w:lineRule="auto"/>
              <w:jc w:val="center"/>
            </w:pPr>
            <w:r/>
            <w:r>
              <w:rPr>
                <w:rFonts w:ascii="Times New Roman" w:hAnsi="Times New Roman" w:eastAsia="黑体"/>
                <w:b/>
                <w:i w:val="0"/>
                <w:sz w:val="19"/>
              </w:rPr>
              <w:t>页面</w:t>
            </w:r>
          </w:p>
        </w:tc>
        <w:tc>
          <w:tcPr>
            <w:tcW w:type="dxa" w:w="1531"/>
            <w:shd w:val="clear" w:color="auto" w:fill="DCE6F1"/>
          </w:tcPr>
          <w:p>
            <w:pPr>
              <w:spacing w:before="40" w:after="40" w:line="276" w:lineRule="auto"/>
              <w:jc w:val="center"/>
            </w:pPr>
            <w:r/>
            <w:r>
              <w:rPr>
                <w:rFonts w:ascii="Times New Roman" w:hAnsi="Times New Roman" w:eastAsia="黑体"/>
                <w:b/>
                <w:i w:val="0"/>
                <w:sz w:val="19"/>
              </w:rPr>
              <w:t>原型文件</w:t>
            </w:r>
          </w:p>
        </w:tc>
        <w:tc>
          <w:tcPr>
            <w:tcW w:type="dxa" w:w="1119"/>
            <w:shd w:val="clear" w:color="auto" w:fill="DCE6F1"/>
          </w:tcPr>
          <w:p>
            <w:pPr>
              <w:spacing w:before="40" w:after="40" w:line="276" w:lineRule="auto"/>
              <w:jc w:val="center"/>
            </w:pPr>
            <w:r/>
            <w:r>
              <w:rPr>
                <w:rFonts w:ascii="Times New Roman" w:hAnsi="Times New Roman" w:eastAsia="黑体"/>
                <w:b/>
                <w:i w:val="0"/>
                <w:sz w:val="19"/>
              </w:rPr>
              <w:t>进入方式</w:t>
            </w:r>
          </w:p>
        </w:tc>
        <w:tc>
          <w:tcPr>
            <w:tcW w:type="dxa" w:w="2062"/>
            <w:shd w:val="clear" w:color="auto" w:fill="DCE6F1"/>
          </w:tcPr>
          <w:p>
            <w:pPr>
              <w:spacing w:before="40" w:after="40" w:line="276" w:lineRule="auto"/>
              <w:jc w:val="center"/>
            </w:pPr>
            <w:r/>
            <w:r>
              <w:rPr>
                <w:rFonts w:ascii="Times New Roman" w:hAnsi="Times New Roman" w:eastAsia="黑体"/>
                <w:b/>
                <w:i w:val="0"/>
                <w:sz w:val="19"/>
              </w:rPr>
              <w:t>关键区块</w:t>
            </w:r>
          </w:p>
        </w:tc>
        <w:tc>
          <w:tcPr>
            <w:tcW w:type="dxa" w:w="1767"/>
            <w:shd w:val="clear" w:color="auto" w:fill="DCE6F1"/>
          </w:tcPr>
          <w:p>
            <w:pPr>
              <w:spacing w:before="40" w:after="40" w:line="276" w:lineRule="auto"/>
              <w:jc w:val="center"/>
            </w:pPr>
            <w:r/>
            <w:r>
              <w:rPr>
                <w:rFonts w:ascii="Times New Roman" w:hAnsi="Times New Roman" w:eastAsia="黑体"/>
                <w:b/>
                <w:i w:val="0"/>
                <w:sz w:val="19"/>
              </w:rPr>
              <w:t>主要按钮与行为</w:t>
            </w:r>
          </w:p>
        </w:tc>
        <w:tc>
          <w:tcPr>
            <w:tcW w:type="dxa" w:w="1414"/>
            <w:shd w:val="clear" w:color="auto" w:fill="DCE6F1"/>
          </w:tcPr>
          <w:p>
            <w:pPr>
              <w:spacing w:before="40" w:after="40" w:line="276" w:lineRule="auto"/>
              <w:jc w:val="center"/>
            </w:pPr>
            <w:r/>
            <w:r>
              <w:rPr>
                <w:rFonts w:ascii="Times New Roman" w:hAnsi="Times New Roman" w:eastAsia="黑体"/>
                <w:b/>
                <w:i w:val="0"/>
                <w:sz w:val="19"/>
              </w:rPr>
              <w:t>跳转去向</w:t>
            </w:r>
          </w:p>
        </w:tc>
      </w:tr>
      <w:tr>
        <w:tc>
          <w:tcPr>
            <w:tcW w:type="dxa" w:w="1178"/>
          </w:tcPr>
          <w:p>
            <w:pPr>
              <w:spacing w:before="20" w:after="20" w:line="276" w:lineRule="auto"/>
              <w:ind w:firstLine="0"/>
            </w:pPr>
            <w:r/>
            <w:r>
              <w:rPr>
                <w:rFonts w:ascii="Times New Roman" w:hAnsi="Times New Roman" w:eastAsia="宋体"/>
                <w:b w:val="0"/>
                <w:i w:val="0"/>
                <w:sz w:val="19"/>
              </w:rPr>
              <w:t>入库记录（列表）</w:t>
            </w:r>
          </w:p>
        </w:tc>
        <w:tc>
          <w:tcPr>
            <w:tcW w:type="dxa" w:w="1531"/>
          </w:tcPr>
          <w:p>
            <w:pPr>
              <w:spacing w:before="20" w:after="20" w:line="276" w:lineRule="auto"/>
              <w:ind w:firstLine="0"/>
            </w:pPr>
            <w:r/>
            <w:r>
              <w:rPr>
                <w:rFonts w:ascii="Times New Roman" w:hAnsi="Times New Roman" w:eastAsia="宋体"/>
                <w:b w:val="0"/>
                <w:i w:val="0"/>
                <w:sz w:val="19"/>
              </w:rPr>
              <w:t>warehouse-inbound.html</w:t>
            </w:r>
          </w:p>
        </w:tc>
        <w:tc>
          <w:tcPr>
            <w:tcW w:type="dxa" w:w="1119"/>
          </w:tcPr>
          <w:p>
            <w:pPr>
              <w:spacing w:before="20" w:after="20" w:line="276" w:lineRule="auto"/>
              <w:ind w:firstLine="0"/>
            </w:pPr>
            <w:r/>
            <w:r>
              <w:rPr>
                <w:rFonts w:ascii="Times New Roman" w:hAnsi="Times New Roman" w:eastAsia="宋体"/>
                <w:b w:val="0"/>
                <w:i w:val="0"/>
                <w:sz w:val="19"/>
              </w:rPr>
              <w:t>仓储管理 → 入库管理</w:t>
            </w:r>
          </w:p>
        </w:tc>
        <w:tc>
          <w:tcPr>
            <w:tcW w:type="dxa" w:w="2062"/>
          </w:tcPr>
          <w:p>
            <w:pPr>
              <w:spacing w:before="20" w:after="20" w:line="276" w:lineRule="auto"/>
              <w:ind w:firstLine="0"/>
            </w:pPr>
            <w:r/>
            <w:r>
              <w:rPr>
                <w:rFonts w:ascii="Times New Roman" w:hAnsi="Times New Roman" w:eastAsia="宋体"/>
                <w:b w:val="0"/>
                <w:i w:val="0"/>
                <w:sz w:val="19"/>
              </w:rPr>
              <w:t>9 个字段筛选区、运输方式 4 分栏（全部、汽运、火运、船运）、11 列表格、分页、关联采购合同抽屉、盘盈入库侧边抽屉</w:t>
            </w:r>
          </w:p>
        </w:tc>
        <w:tc>
          <w:tcPr>
            <w:tcW w:type="dxa" w:w="1767"/>
          </w:tcPr>
          <w:p>
            <w:pPr>
              <w:spacing w:before="20" w:after="20" w:line="276" w:lineRule="auto"/>
              <w:ind w:firstLine="0"/>
            </w:pPr>
            <w:r/>
            <w:r>
              <w:rPr>
                <w:rFonts w:ascii="Times New Roman" w:hAnsi="Times New Roman" w:eastAsia="宋体"/>
                <w:b w:val="0"/>
                <w:i w:val="0"/>
                <w:sz w:val="19"/>
              </w:rPr>
              <w:t>新增入库（下拉 2 项：采购入库、盘盈入库）、搜索筛选、数据导出；行内：详情、编辑、删除；抽屉内：取消、暂不关联、确定</w:t>
            </w:r>
          </w:p>
        </w:tc>
        <w:tc>
          <w:tcPr>
            <w:tcW w:type="dxa" w:w="1414"/>
          </w:tcPr>
          <w:p>
            <w:pPr>
              <w:spacing w:before="20" w:after="20" w:line="276" w:lineRule="auto"/>
              <w:ind w:firstLine="0"/>
            </w:pPr>
            <w:r/>
            <w:r>
              <w:rPr>
                <w:rFonts w:ascii="Times New Roman" w:hAnsi="Times New Roman" w:eastAsia="宋体"/>
                <w:b w:val="0"/>
                <w:i w:val="0"/>
                <w:sz w:val="19"/>
              </w:rPr>
              <w:t>详情 → 入库信息详情页；采购入库 → 新增采购入库表单；盘盈入库 → 无合同版新增入库表单</w:t>
            </w:r>
          </w:p>
        </w:tc>
      </w:tr>
      <w:tr>
        <w:tc>
          <w:tcPr>
            <w:tcW w:type="dxa" w:w="1178"/>
          </w:tcPr>
          <w:p>
            <w:pPr>
              <w:spacing w:before="20" w:after="20" w:line="276" w:lineRule="auto"/>
              <w:ind w:firstLine="0"/>
            </w:pPr>
            <w:r/>
            <w:r>
              <w:rPr>
                <w:rFonts w:ascii="Times New Roman" w:hAnsi="Times New Roman" w:eastAsia="宋体"/>
                <w:b w:val="0"/>
                <w:i w:val="0"/>
                <w:sz w:val="19"/>
              </w:rPr>
              <w:t>新增采购入库（表单）</w:t>
            </w:r>
          </w:p>
        </w:tc>
        <w:tc>
          <w:tcPr>
            <w:tcW w:type="dxa" w:w="1531"/>
          </w:tcPr>
          <w:p>
            <w:pPr>
              <w:spacing w:before="20" w:after="20" w:line="276" w:lineRule="auto"/>
              <w:ind w:firstLine="0"/>
            </w:pPr>
            <w:r/>
            <w:r>
              <w:rPr>
                <w:rFonts w:ascii="Times New Roman" w:hAnsi="Times New Roman" w:eastAsia="宋体"/>
                <w:b w:val="0"/>
                <w:i w:val="0"/>
                <w:sz w:val="19"/>
              </w:rPr>
              <w:t>warehouse-inbound-new.html</w:t>
            </w:r>
          </w:p>
        </w:tc>
        <w:tc>
          <w:tcPr>
            <w:tcW w:type="dxa" w:w="1119"/>
          </w:tcPr>
          <w:p>
            <w:pPr>
              <w:spacing w:before="20" w:after="20" w:line="276" w:lineRule="auto"/>
              <w:ind w:firstLine="0"/>
            </w:pPr>
            <w:r/>
            <w:r>
              <w:rPr>
                <w:rFonts w:ascii="Times New Roman" w:hAnsi="Times New Roman" w:eastAsia="宋体"/>
                <w:b w:val="0"/>
                <w:i w:val="0"/>
                <w:sz w:val="19"/>
              </w:rPr>
              <w:t>入库记录列表 → 新增入库 → 采购入库</w:t>
            </w:r>
          </w:p>
        </w:tc>
        <w:tc>
          <w:tcPr>
            <w:tcW w:type="dxa" w:w="2062"/>
          </w:tcPr>
          <w:p>
            <w:pPr>
              <w:spacing w:before="20" w:after="20" w:line="276" w:lineRule="auto"/>
              <w:ind w:firstLine="0"/>
            </w:pPr>
            <w:r/>
            <w:r>
              <w:rPr>
                <w:rFonts w:ascii="Times New Roman" w:hAnsi="Times New Roman" w:eastAsia="宋体"/>
                <w:b w:val="0"/>
                <w:i w:val="0"/>
                <w:sz w:val="19"/>
              </w:rPr>
              <w:t>合同信息 9 字段、业务线信息 3 字段、入库信息 11 字段（含运输方式与入库车数）、备注、附件信息 2 至 3 行与上传格式提示</w:t>
            </w:r>
          </w:p>
        </w:tc>
        <w:tc>
          <w:tcPr>
            <w:tcW w:type="dxa" w:w="1767"/>
          </w:tcPr>
          <w:p>
            <w:pPr>
              <w:spacing w:before="20" w:after="20" w:line="276" w:lineRule="auto"/>
              <w:ind w:firstLine="0"/>
            </w:pPr>
            <w:r/>
            <w:r>
              <w:rPr>
                <w:rFonts w:ascii="Times New Roman" w:hAnsi="Times New Roman" w:eastAsia="宋体"/>
                <w:b w:val="0"/>
                <w:i w:val="0"/>
                <w:sz w:val="19"/>
              </w:rPr>
              <w:t>提交、取消、附件上传与移除、附件提示条收起展开</w:t>
            </w:r>
          </w:p>
        </w:tc>
        <w:tc>
          <w:tcPr>
            <w:tcW w:type="dxa" w:w="1414"/>
          </w:tcPr>
          <w:p>
            <w:pPr>
              <w:spacing w:before="20" w:after="20" w:line="276" w:lineRule="auto"/>
              <w:ind w:firstLine="0"/>
            </w:pPr>
            <w:r/>
            <w:r>
              <w:rPr>
                <w:rFonts w:ascii="Times New Roman" w:hAnsi="Times New Roman" w:eastAsia="宋体"/>
                <w:b w:val="0"/>
                <w:i w:val="0"/>
                <w:sz w:val="19"/>
              </w:rPr>
              <w:t>提交成功 → 入库记录列表</w:t>
            </w:r>
          </w:p>
        </w:tc>
      </w:tr>
      <w:tr>
        <w:tc>
          <w:tcPr>
            <w:tcW w:type="dxa" w:w="1178"/>
          </w:tcPr>
          <w:p>
            <w:pPr>
              <w:spacing w:before="20" w:after="20" w:line="276" w:lineRule="auto"/>
              <w:ind w:firstLine="0"/>
            </w:pPr>
            <w:r/>
            <w:r>
              <w:rPr>
                <w:rFonts w:ascii="Times New Roman" w:hAnsi="Times New Roman" w:eastAsia="宋体"/>
                <w:b w:val="0"/>
                <w:i w:val="0"/>
                <w:sz w:val="19"/>
              </w:rPr>
              <w:t>盘盈入库（无合同版表单）</w:t>
            </w:r>
          </w:p>
        </w:tc>
        <w:tc>
          <w:tcPr>
            <w:tcW w:type="dxa" w:w="1531"/>
          </w:tcPr>
          <w:p>
            <w:pPr>
              <w:spacing w:before="20" w:after="20" w:line="276" w:lineRule="auto"/>
              <w:ind w:firstLine="0"/>
            </w:pPr>
            <w:r/>
            <w:r>
              <w:rPr>
                <w:rFonts w:ascii="Times New Roman" w:hAnsi="Times New Roman" w:eastAsia="宋体"/>
                <w:b w:val="0"/>
                <w:i w:val="0"/>
                <w:sz w:val="19"/>
              </w:rPr>
              <w:t>warehouse-inbound-overflow-new.html</w:t>
            </w:r>
          </w:p>
        </w:tc>
        <w:tc>
          <w:tcPr>
            <w:tcW w:type="dxa" w:w="1119"/>
          </w:tcPr>
          <w:p>
            <w:pPr>
              <w:spacing w:before="20" w:after="20" w:line="276" w:lineRule="auto"/>
              <w:ind w:firstLine="0"/>
            </w:pPr>
            <w:r/>
            <w:r>
              <w:rPr>
                <w:rFonts w:ascii="Times New Roman" w:hAnsi="Times New Roman" w:eastAsia="宋体"/>
                <w:b w:val="0"/>
                <w:i w:val="0"/>
                <w:sz w:val="19"/>
              </w:rPr>
              <w:t>入库记录列表 → 新增入库 → 盘盈入库；或关联采购合同抽屉 → 暂不关联</w:t>
            </w:r>
          </w:p>
        </w:tc>
        <w:tc>
          <w:tcPr>
            <w:tcW w:type="dxa" w:w="2062"/>
          </w:tcPr>
          <w:p>
            <w:pPr>
              <w:spacing w:before="20" w:after="20" w:line="276" w:lineRule="auto"/>
              <w:ind w:firstLine="0"/>
            </w:pPr>
            <w:r/>
            <w:r>
              <w:rPr>
                <w:rFonts w:ascii="Times New Roman" w:hAnsi="Times New Roman" w:eastAsia="宋体"/>
                <w:b w:val="0"/>
                <w:i w:val="0"/>
                <w:sz w:val="19"/>
              </w:rPr>
              <w:t>货物信息 10 字段、仓房与货位（仓房、货位、数量）、入库单据上传与盘盈说明</w:t>
            </w:r>
          </w:p>
        </w:tc>
        <w:tc>
          <w:tcPr>
            <w:tcW w:type="dxa" w:w="1767"/>
          </w:tcPr>
          <w:p>
            <w:pPr>
              <w:spacing w:before="20" w:after="20" w:line="276" w:lineRule="auto"/>
              <w:ind w:firstLine="0"/>
            </w:pPr>
            <w:r/>
            <w:r>
              <w:rPr>
                <w:rFonts w:ascii="Times New Roman" w:hAnsi="Times New Roman" w:eastAsia="宋体"/>
                <w:b w:val="0"/>
                <w:i w:val="0"/>
                <w:sz w:val="19"/>
              </w:rPr>
              <w:t>提交、取消、选择仓房、选择货位、上传单据</w:t>
            </w:r>
          </w:p>
        </w:tc>
        <w:tc>
          <w:tcPr>
            <w:tcW w:type="dxa" w:w="1414"/>
          </w:tcPr>
          <w:p>
            <w:pPr>
              <w:spacing w:before="20" w:after="20" w:line="276" w:lineRule="auto"/>
              <w:ind w:firstLine="0"/>
            </w:pPr>
            <w:r/>
            <w:r>
              <w:rPr>
                <w:rFonts w:ascii="Times New Roman" w:hAnsi="Times New Roman" w:eastAsia="宋体"/>
                <w:b w:val="0"/>
                <w:i w:val="0"/>
                <w:sz w:val="19"/>
              </w:rPr>
              <w:t>提交成功 → 入库记录列表</w:t>
            </w:r>
          </w:p>
        </w:tc>
      </w:tr>
      <w:tr>
        <w:tc>
          <w:tcPr>
            <w:tcW w:type="dxa" w:w="1178"/>
          </w:tcPr>
          <w:p>
            <w:pPr>
              <w:spacing w:before="20" w:after="20" w:line="276" w:lineRule="auto"/>
              <w:ind w:firstLine="0"/>
            </w:pPr>
            <w:r/>
            <w:r>
              <w:rPr>
                <w:rFonts w:ascii="Times New Roman" w:hAnsi="Times New Roman" w:eastAsia="宋体"/>
                <w:b w:val="0"/>
                <w:i w:val="0"/>
                <w:sz w:val="19"/>
              </w:rPr>
              <w:t>入库信息详情</w:t>
            </w:r>
          </w:p>
        </w:tc>
        <w:tc>
          <w:tcPr>
            <w:tcW w:type="dxa" w:w="1531"/>
          </w:tcPr>
          <w:p>
            <w:pPr>
              <w:spacing w:before="20" w:after="20" w:line="276" w:lineRule="auto"/>
              <w:ind w:firstLine="0"/>
            </w:pPr>
            <w:r/>
            <w:r>
              <w:rPr>
                <w:rFonts w:ascii="Times New Roman" w:hAnsi="Times New Roman" w:eastAsia="宋体"/>
                <w:b w:val="0"/>
                <w:i w:val="0"/>
                <w:sz w:val="19"/>
              </w:rPr>
              <w:t>warehouse-inbound-detail.html</w:t>
            </w:r>
          </w:p>
        </w:tc>
        <w:tc>
          <w:tcPr>
            <w:tcW w:type="dxa" w:w="1119"/>
          </w:tcPr>
          <w:p>
            <w:pPr>
              <w:spacing w:before="20" w:after="20" w:line="276" w:lineRule="auto"/>
              <w:ind w:firstLine="0"/>
            </w:pPr>
            <w:r/>
            <w:r>
              <w:rPr>
                <w:rFonts w:ascii="Times New Roman" w:hAnsi="Times New Roman" w:eastAsia="宋体"/>
                <w:b w:val="0"/>
                <w:i w:val="0"/>
                <w:sz w:val="19"/>
              </w:rPr>
              <w:t>入库记录列表行内 → 详情</w:t>
            </w:r>
          </w:p>
        </w:tc>
        <w:tc>
          <w:tcPr>
            <w:tcW w:type="dxa" w:w="2062"/>
          </w:tcPr>
          <w:p>
            <w:pPr>
              <w:spacing w:before="20" w:after="20" w:line="276" w:lineRule="auto"/>
              <w:ind w:firstLine="0"/>
            </w:pPr>
            <w:r/>
            <w:r>
              <w:rPr>
                <w:rFonts w:ascii="Times New Roman" w:hAnsi="Times New Roman" w:eastAsia="宋体"/>
                <w:b w:val="0"/>
                <w:i w:val="0"/>
                <w:sz w:val="19"/>
              </w:rPr>
              <w:t>页头信息条 8 字段（所属合同编号、卖方企业、买方企业、关联业务线号、业务线名称、创建人员、创建时间、数据类型）、页签一入库信息（10 字段 6 列 + 备注 + 附件 3 列 2 行）、页签二入库明细（2 字段筛选 + 11 列表格 + 数据导出）、页签三操作记录（5 列表格）</w:t>
            </w:r>
          </w:p>
        </w:tc>
        <w:tc>
          <w:tcPr>
            <w:tcW w:type="dxa" w:w="1767"/>
          </w:tcPr>
          <w:p>
            <w:pPr>
              <w:spacing w:before="20" w:after="20" w:line="276" w:lineRule="auto"/>
              <w:ind w:firstLine="0"/>
            </w:pPr>
            <w:r/>
            <w:r>
              <w:rPr>
                <w:rFonts w:ascii="Times New Roman" w:hAnsi="Times New Roman" w:eastAsia="宋体"/>
                <w:b w:val="0"/>
                <w:i w:val="0"/>
                <w:sz w:val="19"/>
              </w:rPr>
              <w:t>复制入库编号、复制合同编号、下载附件、数据导出</w:t>
            </w:r>
          </w:p>
        </w:tc>
        <w:tc>
          <w:tcPr>
            <w:tcW w:type="dxa" w:w="1414"/>
          </w:tcPr>
          <w:p>
            <w:pPr>
              <w:spacing w:before="20" w:after="20" w:line="276" w:lineRule="auto"/>
              <w:ind w:firstLine="0"/>
            </w:pPr>
            <w:r/>
            <w:r>
              <w:rPr>
                <w:rFonts w:ascii="Times New Roman" w:hAnsi="Times New Roman" w:eastAsia="宋体"/>
                <w:b w:val="0"/>
                <w:i w:val="0"/>
                <w:sz w:val="19"/>
              </w:rPr>
              <w:t>复制与下载为页面内动作，不发生页面跳转</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4.20.8　验收标准与待确认项</w:t>
      </w:r>
    </w:p>
    <w:tbl>
      <w:tblPr>
        <w:tblStyle w:val="TableGrid"/>
        <w:tblW w:type="auto" w:w="0"/>
        <w:jc w:val="center"/>
        <w:tblLayout w:type="fixed"/>
        <w:tblLook w:firstColumn="1" w:firstRow="1" w:lastColumn="0" w:lastRow="0" w:noHBand="0" w:noVBand="1" w:val="04A0"/>
      </w:tblPr>
      <w:tblGrid>
        <w:gridCol w:w="4479"/>
        <w:gridCol w:w="4479"/>
      </w:tblGrid>
      <w:tr>
        <w:trPr>
          <w:tblHeader w:val="true"/>
        </w:trPr>
        <w:tc>
          <w:tcPr>
            <w:tcW w:type="dxa" w:w="1701"/>
            <w:shd w:val="clear" w:color="auto" w:fill="DCE6F1"/>
          </w:tcPr>
          <w:p>
            <w:pPr>
              <w:spacing w:before="40" w:after="40" w:line="276" w:lineRule="auto"/>
              <w:jc w:val="center"/>
            </w:pPr>
            <w:r/>
            <w:r>
              <w:rPr>
                <w:rFonts w:ascii="Times New Roman" w:hAnsi="Times New Roman" w:eastAsia="黑体"/>
                <w:b/>
                <w:i w:val="0"/>
                <w:sz w:val="21"/>
              </w:rPr>
              <w:t>功能</w:t>
            </w:r>
          </w:p>
        </w:tc>
        <w:tc>
          <w:tcPr>
            <w:tcW w:type="dxa" w:w="7370"/>
            <w:shd w:val="clear" w:color="auto" w:fill="DCE6F1"/>
          </w:tcPr>
          <w:p>
            <w:pPr>
              <w:spacing w:before="40" w:after="40" w:line="276" w:lineRule="auto"/>
              <w:jc w:val="center"/>
            </w:pPr>
            <w:r/>
            <w:r>
              <w:rPr>
                <w:rFonts w:ascii="Times New Roman" w:hAnsi="Times New Roman" w:eastAsia="黑体"/>
                <w:b/>
                <w:i w:val="0"/>
                <w:sz w:val="21"/>
              </w:rPr>
              <w:t>验收要点（由关键规则转写）</w:t>
            </w:r>
          </w:p>
        </w:tc>
      </w:tr>
      <w:tr>
        <w:tc>
          <w:tcPr>
            <w:tcW w:type="dxa" w:w="1701"/>
          </w:tcPr>
          <w:p>
            <w:pPr>
              <w:spacing w:before="20" w:after="20" w:line="276" w:lineRule="auto"/>
              <w:ind w:firstLine="0"/>
            </w:pPr>
            <w:r/>
            <w:r>
              <w:rPr>
                <w:rFonts w:ascii="Times New Roman" w:hAnsi="Times New Roman" w:eastAsia="宋体"/>
                <w:b w:val="0"/>
                <w:i w:val="0"/>
                <w:sz w:val="21"/>
              </w:rPr>
              <w:t>入库记录列表与运输方式分栏</w:t>
            </w:r>
          </w:p>
        </w:tc>
        <w:tc>
          <w:tcPr>
            <w:tcW w:type="dxa" w:w="7370"/>
          </w:tcPr>
          <w:p>
            <w:pPr>
              <w:spacing w:before="20" w:after="20" w:line="276" w:lineRule="auto"/>
              <w:ind w:firstLine="0"/>
            </w:pPr>
            <w:r/>
            <w:r>
              <w:rPr>
                <w:rFonts w:ascii="Times New Roman" w:hAnsi="Times New Roman" w:eastAsia="宋体"/>
                <w:b w:val="0"/>
                <w:i w:val="0"/>
                <w:sz w:val="21"/>
              </w:rPr>
              <w:t>分栏固定为全部、汽运、火运、船运 4 个且按运输方式过滤而非按状态过滤；每个分栏显示记录计数；筛选区共 9 个字段：编号、发货单位、入库日期、品类、仓位、货位、关联业务线状态、数据类型、入库类型</w:t>
            </w:r>
          </w:p>
        </w:tc>
      </w:tr>
      <w:tr>
        <w:tc>
          <w:tcPr>
            <w:tcW w:type="dxa" w:w="1701"/>
          </w:tcPr>
          <w:p>
            <w:pPr>
              <w:spacing w:before="20" w:after="20" w:line="276" w:lineRule="auto"/>
              <w:ind w:firstLine="0"/>
            </w:pPr>
            <w:r/>
            <w:r>
              <w:rPr>
                <w:rFonts w:ascii="Times New Roman" w:hAnsi="Times New Roman" w:eastAsia="宋体"/>
                <w:b w:val="0"/>
                <w:i w:val="0"/>
                <w:sz w:val="21"/>
              </w:rPr>
              <w:t>新增入库下拉分流</w:t>
            </w:r>
          </w:p>
        </w:tc>
        <w:tc>
          <w:tcPr>
            <w:tcW w:type="dxa" w:w="7370"/>
          </w:tcPr>
          <w:p>
            <w:pPr>
              <w:spacing w:before="20" w:after="20" w:line="276" w:lineRule="auto"/>
              <w:ind w:firstLine="0"/>
            </w:pPr>
            <w:r/>
            <w:r>
              <w:rPr>
                <w:rFonts w:ascii="Times New Roman" w:hAnsi="Times New Roman" w:eastAsia="宋体"/>
                <w:b w:val="0"/>
                <w:i w:val="0"/>
                <w:sz w:val="21"/>
              </w:rPr>
              <w:t>下拉固定 2 项：采购入库（提示关联采购合同）与盘盈入库（提示实物盘盈生成入库）；点击按钮与菜单以外的区域自动收起菜单</w:t>
            </w:r>
          </w:p>
        </w:tc>
      </w:tr>
      <w:tr>
        <w:tc>
          <w:tcPr>
            <w:tcW w:type="dxa" w:w="1701"/>
          </w:tcPr>
          <w:p>
            <w:pPr>
              <w:spacing w:before="20" w:after="20" w:line="276" w:lineRule="auto"/>
              <w:ind w:firstLine="0"/>
            </w:pPr>
            <w:r/>
            <w:r>
              <w:rPr>
                <w:rFonts w:ascii="Times New Roman" w:hAnsi="Times New Roman" w:eastAsia="宋体"/>
                <w:b w:val="0"/>
                <w:i w:val="0"/>
                <w:sz w:val="21"/>
              </w:rPr>
              <w:t>关联采购合同抽屉</w:t>
            </w:r>
          </w:p>
        </w:tc>
        <w:tc>
          <w:tcPr>
            <w:tcW w:type="dxa" w:w="7370"/>
          </w:tcPr>
          <w:p>
            <w:pPr>
              <w:spacing w:before="20" w:after="20" w:line="276" w:lineRule="auto"/>
              <w:ind w:firstLine="0"/>
            </w:pPr>
            <w:r/>
            <w:r>
              <w:rPr>
                <w:rFonts w:ascii="Times New Roman" w:hAnsi="Times New Roman" w:eastAsia="宋体"/>
                <w:b w:val="0"/>
                <w:i w:val="0"/>
                <w:sz w:val="21"/>
              </w:rPr>
              <w:t>抽屉内为 8 个筛选字段与 9 列表格，每行第 1 列为单选按钮且整行可点选；未选中任何合同时底部「确定」按钮为禁用态，选中后启用；底部三个按钮为取消、暂不关联、确定；暂不关联跳无合同版新增入库页</w:t>
            </w:r>
          </w:p>
        </w:tc>
      </w:tr>
      <w:tr>
        <w:tc>
          <w:tcPr>
            <w:tcW w:type="dxa" w:w="1701"/>
          </w:tcPr>
          <w:p>
            <w:pPr>
              <w:spacing w:before="20" w:after="20" w:line="276" w:lineRule="auto"/>
              <w:ind w:firstLine="0"/>
            </w:pPr>
            <w:r/>
            <w:r>
              <w:rPr>
                <w:rFonts w:ascii="Times New Roman" w:hAnsi="Times New Roman" w:eastAsia="宋体"/>
                <w:b w:val="0"/>
                <w:i w:val="0"/>
                <w:sz w:val="21"/>
              </w:rPr>
              <w:t>采购入库表单登记</w:t>
            </w:r>
          </w:p>
        </w:tc>
        <w:tc>
          <w:tcPr>
            <w:tcW w:type="dxa" w:w="7370"/>
          </w:tcPr>
          <w:p>
            <w:pPr>
              <w:spacing w:before="20" w:after="20" w:line="276" w:lineRule="auto"/>
              <w:ind w:firstLine="0"/>
            </w:pPr>
            <w:r/>
            <w:r>
              <w:rPr>
                <w:rFonts w:ascii="Times New Roman" w:hAnsi="Times New Roman" w:eastAsia="宋体"/>
                <w:b w:val="0"/>
                <w:i w:val="0"/>
                <w:sz w:val="21"/>
              </w:rPr>
              <w:t>区块与字段数固定为合同信息 9 字段、业务线信息 3 字段、入库信息 11 字段、备注 1 项、附件信息 3 行；备注上限 200 字；运输方式使用单选控件且默认火运；业务线信息第 3 列为下游销售合同编号</w:t>
            </w:r>
          </w:p>
        </w:tc>
      </w:tr>
      <w:tr>
        <w:tc>
          <w:tcPr>
            <w:tcW w:type="dxa" w:w="1701"/>
          </w:tcPr>
          <w:p>
            <w:pPr>
              <w:spacing w:before="20" w:after="20" w:line="276" w:lineRule="auto"/>
              <w:ind w:firstLine="0"/>
            </w:pPr>
            <w:r/>
            <w:r>
              <w:rPr>
                <w:rFonts w:ascii="Times New Roman" w:hAnsi="Times New Roman" w:eastAsia="宋体"/>
                <w:b w:val="0"/>
                <w:i w:val="0"/>
                <w:sz w:val="21"/>
              </w:rPr>
              <w:t>运输方式驱动的字段与单据动态切换</w:t>
            </w:r>
          </w:p>
        </w:tc>
        <w:tc>
          <w:tcPr>
            <w:tcW w:type="dxa" w:w="7370"/>
          </w:tcPr>
          <w:p>
            <w:pPr>
              <w:spacing w:before="20" w:after="20" w:line="276" w:lineRule="auto"/>
              <w:ind w:firstLine="0"/>
            </w:pPr>
            <w:r/>
            <w:r>
              <w:rPr>
                <w:rFonts w:ascii="Times New Roman" w:hAnsi="Times New Roman" w:eastAsia="宋体"/>
                <w:b w:val="0"/>
                <w:i w:val="0"/>
                <w:sz w:val="21"/>
              </w:rPr>
              <w:t>选船运时隐藏入库车数并同步清空该字段已填值，附件清单降为 2 行（随船计量单、化验凭证）；汽运与火运入库车数必填，附件清单为 3 行；附件格式按清单校验，支持多张，单个附件大小不得超过 100M；合同信息中的运输方式为只读单向同步显示，不与控件双向绑定</w:t>
            </w:r>
          </w:p>
        </w:tc>
      </w:tr>
      <w:tr>
        <w:tc>
          <w:tcPr>
            <w:tcW w:type="dxa" w:w="1701"/>
          </w:tcPr>
          <w:p>
            <w:pPr>
              <w:spacing w:before="20" w:after="20" w:line="276" w:lineRule="auto"/>
              <w:ind w:firstLine="0"/>
            </w:pPr>
            <w:r/>
            <w:r>
              <w:rPr>
                <w:rFonts w:ascii="Times New Roman" w:hAnsi="Times New Roman" w:eastAsia="宋体"/>
                <w:b w:val="0"/>
                <w:i w:val="0"/>
                <w:sz w:val="21"/>
              </w:rPr>
              <w:t>盘盈入库登记</w:t>
            </w:r>
          </w:p>
        </w:tc>
        <w:tc>
          <w:tcPr>
            <w:tcW w:type="dxa" w:w="7370"/>
          </w:tcPr>
          <w:p>
            <w:pPr>
              <w:spacing w:before="20" w:after="20" w:line="276" w:lineRule="auto"/>
              <w:ind w:firstLine="0"/>
            </w:pPr>
            <w:r/>
            <w:r>
              <w:rPr>
                <w:rFonts w:ascii="Times New Roman" w:hAnsi="Times New Roman" w:eastAsia="宋体"/>
                <w:b w:val="0"/>
                <w:i w:val="0"/>
                <w:sz w:val="21"/>
              </w:rPr>
              <w:t>不关联采购合同且不联动业务线；盘盈说明为必填，为空时红字提示请填写盘盈说明（合规要求）并禁止提交；仓房与货位必须从已有库点、仓房、货位中选择，分配数量合计不得大于入库数量；入库日期不得晚于当前日期</w:t>
            </w:r>
          </w:p>
        </w:tc>
      </w:tr>
      <w:tr>
        <w:tc>
          <w:tcPr>
            <w:tcW w:type="dxa" w:w="1701"/>
          </w:tcPr>
          <w:p>
            <w:pPr>
              <w:spacing w:before="20" w:after="20" w:line="276" w:lineRule="auto"/>
              <w:ind w:firstLine="0"/>
            </w:pPr>
            <w:r/>
            <w:r>
              <w:rPr>
                <w:rFonts w:ascii="Times New Roman" w:hAnsi="Times New Roman" w:eastAsia="宋体"/>
                <w:b w:val="0"/>
                <w:i w:val="0"/>
                <w:sz w:val="21"/>
              </w:rPr>
              <w:t>入库记录详情</w:t>
            </w:r>
          </w:p>
        </w:tc>
        <w:tc>
          <w:tcPr>
            <w:tcW w:type="dxa" w:w="7370"/>
          </w:tcPr>
          <w:p>
            <w:pPr>
              <w:spacing w:before="20" w:after="20" w:line="276" w:lineRule="auto"/>
              <w:ind w:firstLine="0"/>
            </w:pPr>
            <w:r/>
            <w:r>
              <w:rPr>
                <w:rFonts w:ascii="Times New Roman" w:hAnsi="Times New Roman" w:eastAsia="宋体"/>
                <w:b w:val="0"/>
                <w:i w:val="0"/>
                <w:sz w:val="21"/>
              </w:rPr>
              <w:t>固定 3 个页签：入库信息、入库明细、操作记录，默认停留在入库信息；入库明细为 11 列表格并提供数据导出按钮；操作记录为 5 列表格；详情页只提供复制入库编号与合同编号、下载附件两类动作，不提供创建、调整、解除、导出明细等业务变更按钮</w:t>
            </w:r>
          </w:p>
        </w:tc>
      </w:tr>
      <w:tr>
        <w:tc>
          <w:tcPr>
            <w:tcW w:type="dxa" w:w="1701"/>
          </w:tcPr>
          <w:p>
            <w:pPr>
              <w:spacing w:before="20" w:after="20" w:line="276" w:lineRule="auto"/>
              <w:ind w:firstLine="0"/>
            </w:pPr>
            <w:r/>
            <w:r>
              <w:rPr>
                <w:rFonts w:ascii="Times New Roman" w:hAnsi="Times New Roman" w:eastAsia="宋体"/>
                <w:b w:val="0"/>
                <w:i w:val="0"/>
                <w:sz w:val="21"/>
              </w:rPr>
              <w:t>入库记录编辑与删除</w:t>
            </w:r>
          </w:p>
        </w:tc>
        <w:tc>
          <w:tcPr>
            <w:tcW w:type="dxa" w:w="7370"/>
          </w:tcPr>
          <w:p>
            <w:pPr>
              <w:spacing w:before="20" w:after="20" w:line="276" w:lineRule="auto"/>
              <w:ind w:firstLine="0"/>
            </w:pPr>
            <w:r/>
            <w:r>
              <w:rPr>
                <w:rFonts w:ascii="Times New Roman" w:hAnsi="Times New Roman" w:eastAsia="宋体"/>
                <w:b w:val="0"/>
                <w:i w:val="0"/>
                <w:sz w:val="21"/>
              </w:rPr>
              <w:t>编辑仅支持修改入库单价；删除属于危险操作，须二次确认，确认后删除该条入库记录并释放对应货物数量，库存数量同步回退</w:t>
            </w:r>
          </w:p>
        </w:tc>
      </w:tr>
    </w:tbl>
    <w:p>
      <w:pPr>
        <w:spacing w:before="0" w:after="0" w:line="240" w:lineRule="auto"/>
      </w:pPr>
    </w:p>
    <w:p>
      <w:pPr>
        <w:spacing w:before="120" w:after="60" w:line="360" w:lineRule="auto"/>
      </w:pPr>
      <w:r>
        <w:rPr>
          <w:rFonts w:ascii="Times New Roman" w:hAnsi="Times New Roman" w:eastAsia="宋体"/>
          <w:b/>
          <w:i w:val="0"/>
          <w:sz w:val="24"/>
        </w:rPr>
        <w:t>待业务方确认：</w:t>
      </w:r>
    </w:p>
    <w:p>
      <w:pPr>
        <w:spacing w:before="0" w:after="60" w:line="336" w:lineRule="auto"/>
        <w:ind w:left="340" w:firstLine="0"/>
      </w:pPr>
      <w:r>
        <w:rPr>
          <w:rFonts w:ascii="Times New Roman" w:hAnsi="Times New Roman" w:eastAsia="宋体"/>
          <w:b w:val="0"/>
          <w:i w:val="0"/>
          <w:sz w:val="24"/>
        </w:rPr>
        <w:t>· 待业务方确认：入库与出库是否保留仓储部审核环节——手册口径为登记即完成、全程无审核与驳回环节，状态枚举中审核与驳回两个节点的存废需正式裁定</w:t>
      </w:r>
    </w:p>
    <w:p>
      <w:pPr>
        <w:spacing w:before="0" w:after="60" w:line="336" w:lineRule="auto"/>
        <w:ind w:left="340" w:firstLine="0"/>
      </w:pPr>
      <w:r>
        <w:rPr>
          <w:rFonts w:ascii="Times New Roman" w:hAnsi="Times New Roman" w:eastAsia="宋体"/>
          <w:b w:val="0"/>
          <w:i w:val="0"/>
          <w:sz w:val="24"/>
        </w:rPr>
        <w:t>· 待业务方确认：入库记录列表「编辑」按钮的落地页与传参方式，是复用新增入库表单的编辑态还是独立参数入口</w:t>
      </w:r>
    </w:p>
    <w:p>
      <w:pPr>
        <w:spacing w:before="0" w:after="60" w:line="336" w:lineRule="auto"/>
        <w:ind w:left="340" w:firstLine="0"/>
      </w:pPr>
      <w:r>
        <w:rPr>
          <w:rFonts w:ascii="Times New Roman" w:hAnsi="Times New Roman" w:eastAsia="宋体"/>
          <w:b w:val="0"/>
          <w:i w:val="0"/>
          <w:sz w:val="24"/>
        </w:rPr>
        <w:t>· 待业务方确认：盘盈入库是作为入库类型的第 4 个枚举值，还是独立的入库渠道字段</w:t>
      </w:r>
    </w:p>
    <w:p>
      <w:pPr>
        <w:spacing w:before="0" w:after="60" w:line="336" w:lineRule="auto"/>
        <w:ind w:left="340" w:firstLine="0"/>
      </w:pPr>
      <w:r>
        <w:rPr>
          <w:rFonts w:ascii="Times New Roman" w:hAnsi="Times New Roman" w:eastAsia="宋体"/>
          <w:b w:val="0"/>
          <w:i w:val="0"/>
          <w:sz w:val="24"/>
        </w:rPr>
        <w:t>· 待业务方确认：入库单号与出库单号的取号规则、唯一性约束与并发取号策略</w:t>
      </w:r>
    </w:p>
    <w:p>
      <w:pPr>
        <w:spacing w:before="0" w:after="60" w:line="336" w:lineRule="auto"/>
        <w:ind w:left="340" w:firstLine="0"/>
      </w:pPr>
      <w:r>
        <w:rPr>
          <w:rFonts w:ascii="Times New Roman" w:hAnsi="Times New Roman" w:eastAsia="宋体"/>
          <w:b w:val="0"/>
          <w:i w:val="0"/>
          <w:sz w:val="24"/>
        </w:rPr>
        <w:t>· 待业务方确认：附件格式不符、超过 100M、上传中断、删除已上传附件四类场景的提示文案与是否需要二次确认</w:t>
      </w:r>
    </w:p>
    <w:p>
      <w:pPr>
        <w:spacing w:before="0" w:after="60" w:line="336" w:lineRule="auto"/>
        <w:ind w:left="340" w:firstLine="0"/>
      </w:pPr>
      <w:r>
        <w:rPr>
          <w:rFonts w:ascii="Times New Roman" w:hAnsi="Times New Roman" w:eastAsia="宋体"/>
          <w:b w:val="0"/>
          <w:i w:val="0"/>
          <w:sz w:val="24"/>
        </w:rPr>
        <w:t>· 待业务方确认：品名与合同品名一致性的比对容差与不一致时的提示文案</w:t>
      </w:r>
    </w:p>
    <w:p>
      <w:pPr>
        <w:spacing w:before="0" w:after="60" w:line="336" w:lineRule="auto"/>
        <w:ind w:left="340" w:firstLine="0"/>
      </w:pPr>
      <w:r>
        <w:rPr>
          <w:rFonts w:ascii="Times New Roman" w:hAnsi="Times New Roman" w:eastAsia="宋体"/>
          <w:b w:val="0"/>
          <w:i w:val="0"/>
          <w:sz w:val="24"/>
        </w:rPr>
        <w:t>· 待业务方确认：入库数量、单价、货值等数值字段的前端校验规则与小数位口径</w:t>
      </w:r>
    </w:p>
    <w:p>
      <w:r>
        <w:br w:type="page"/>
      </w:r>
    </w:p>
    <w:p>
      <w:pPr>
        <w:pStyle w:val="Heading2"/>
        <w:keepNext/>
        <w:spacing w:before="240" w:after="120" w:line="312" w:lineRule="auto"/>
        <w:ind w:firstLine="0"/>
      </w:pPr>
      <w:r>
        <w:rPr>
          <w:rFonts w:ascii="Times New Roman" w:hAnsi="Times New Roman" w:eastAsia="黑体"/>
          <w:b/>
          <w:i w:val="0"/>
          <w:sz w:val="28"/>
        </w:rPr>
        <w:t>4.21　出库管理</w:t>
      </w:r>
    </w:p>
    <w:p>
      <w:pPr>
        <w:spacing w:before="0" w:after="160" w:line="360" w:lineRule="auto"/>
      </w:pPr>
      <w:r>
        <w:rPr>
          <w:rFonts w:ascii="Times New Roman" w:hAnsi="Times New Roman" w:eastAsia="宋体"/>
          <w:b w:val="0"/>
          <w:i w:val="0"/>
          <w:color w:val="595959"/>
          <w:sz w:val="21"/>
        </w:rPr>
        <w:t>菜单路径：仓储管理 / 出库管理</w:t>
      </w:r>
    </w:p>
    <w:p>
      <w:pPr>
        <w:pStyle w:val="Heading3"/>
        <w:keepNext/>
        <w:spacing w:before="160" w:after="80" w:line="312" w:lineRule="auto"/>
        <w:ind w:firstLine="0"/>
      </w:pPr>
      <w:r>
        <w:rPr>
          <w:rFonts w:ascii="Times New Roman" w:hAnsi="Times New Roman" w:eastAsia="黑体"/>
          <w:b/>
          <w:i w:val="0"/>
          <w:sz w:val="24"/>
        </w:rPr>
        <w:t>4.21.1　一页结论</w:t>
      </w:r>
    </w:p>
    <w:p>
      <w:pPr>
        <w:spacing w:before="0" w:after="120" w:line="360" w:lineRule="auto"/>
      </w:pPr>
      <w:r>
        <w:rPr>
          <w:rFonts w:ascii="Times New Roman" w:hAnsi="Times New Roman" w:eastAsia="宋体"/>
          <w:b w:val="0"/>
          <w:i w:val="0"/>
          <w:sz w:val="24"/>
        </w:rPr>
        <w:t>登记货物出库并回写库存：按运输方式关联销售合同与放货指令录入实出数量，出库量受可用库存约束，完成后同步库存台账与合同已发数量。</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928"/>
            <w:shd w:val="clear" w:color="auto" w:fill="DCE6F1"/>
          </w:tcPr>
          <w:p>
            <w:pPr>
              <w:spacing w:before="40" w:after="40" w:line="276" w:lineRule="auto"/>
              <w:jc w:val="center"/>
            </w:pPr>
            <w:r/>
            <w:r>
              <w:rPr>
                <w:rFonts w:ascii="Times New Roman" w:hAnsi="Times New Roman" w:eastAsia="黑体"/>
                <w:b/>
                <w:i w:val="0"/>
                <w:sz w:val="21"/>
              </w:rPr>
              <w:t>问题</w:t>
            </w:r>
          </w:p>
        </w:tc>
        <w:tc>
          <w:tcPr>
            <w:tcW w:type="dxa" w:w="3572"/>
            <w:shd w:val="clear" w:color="auto" w:fill="DCE6F1"/>
          </w:tcPr>
          <w:p>
            <w:pPr>
              <w:spacing w:before="40" w:after="40" w:line="276" w:lineRule="auto"/>
              <w:jc w:val="center"/>
            </w:pPr>
            <w:r/>
            <w:r>
              <w:rPr>
                <w:rFonts w:ascii="Times New Roman" w:hAnsi="Times New Roman" w:eastAsia="黑体"/>
                <w:b/>
                <w:i w:val="0"/>
                <w:sz w:val="21"/>
              </w:rPr>
              <w:t>当前做法</w:t>
            </w:r>
          </w:p>
        </w:tc>
        <w:tc>
          <w:tcPr>
            <w:tcW w:type="dxa" w:w="3572"/>
            <w:shd w:val="clear" w:color="auto" w:fill="DCE6F1"/>
          </w:tcPr>
          <w:p>
            <w:pPr>
              <w:spacing w:before="40" w:after="40" w:line="276" w:lineRule="auto"/>
              <w:jc w:val="center"/>
            </w:pPr>
            <w:r/>
            <w:r>
              <w:rPr>
                <w:rFonts w:ascii="Times New Roman" w:hAnsi="Times New Roman" w:eastAsia="黑体"/>
                <w:b/>
                <w:i w:val="0"/>
                <w:sz w:val="21"/>
              </w:rPr>
              <w:t>本模块解法</w:t>
            </w:r>
          </w:p>
        </w:tc>
      </w:tr>
      <w:tr>
        <w:tc>
          <w:tcPr>
            <w:tcW w:type="dxa" w:w="1928"/>
          </w:tcPr>
          <w:p>
            <w:pPr>
              <w:spacing w:before="20" w:after="20" w:line="276" w:lineRule="auto"/>
              <w:ind w:firstLine="0"/>
            </w:pPr>
            <w:r/>
            <w:r>
              <w:rPr>
                <w:rFonts w:ascii="Times New Roman" w:hAnsi="Times New Roman" w:eastAsia="宋体"/>
                <w:b w:val="0"/>
                <w:i w:val="0"/>
                <w:sz w:val="21"/>
              </w:rPr>
              <w:t>出库与放货指令脱节，已出库吨数无法核对</w:t>
            </w:r>
          </w:p>
        </w:tc>
        <w:tc>
          <w:tcPr>
            <w:tcW w:type="dxa" w:w="3572"/>
          </w:tcPr>
          <w:p>
            <w:pPr>
              <w:spacing w:before="20" w:after="20" w:line="276" w:lineRule="auto"/>
              <w:ind w:firstLine="0"/>
            </w:pPr>
            <w:r/>
            <w:r>
              <w:rPr>
                <w:rFonts w:ascii="Times New Roman" w:hAnsi="Times New Roman" w:eastAsia="宋体"/>
                <w:b w:val="0"/>
                <w:i w:val="0"/>
                <w:sz w:val="21"/>
              </w:rPr>
              <w:t>放货指令下达后仓库凭线下单据出库，系统内查不到该指令已出库多少吨</w:t>
            </w:r>
          </w:p>
        </w:tc>
        <w:tc>
          <w:tcPr>
            <w:tcW w:type="dxa" w:w="3572"/>
          </w:tcPr>
          <w:p>
            <w:pPr>
              <w:spacing w:before="20" w:after="20" w:line="276" w:lineRule="auto"/>
              <w:ind w:firstLine="0"/>
            </w:pPr>
            <w:r/>
            <w:r>
              <w:rPr>
                <w:rFonts w:ascii="Times New Roman" w:hAnsi="Times New Roman" w:eastAsia="宋体"/>
                <w:b w:val="0"/>
                <w:i w:val="0"/>
                <w:sz w:val="21"/>
              </w:rPr>
              <w:t>新增出库表单内嵌放货指令区块，单选关联指令并同时展示放货吨数与已出库吨数，出库量与指令量可逐笔对照</w:t>
            </w:r>
          </w:p>
        </w:tc>
      </w:tr>
      <w:tr>
        <w:tc>
          <w:tcPr>
            <w:tcW w:type="dxa" w:w="1928"/>
          </w:tcPr>
          <w:p>
            <w:pPr>
              <w:spacing w:before="20" w:after="20" w:line="276" w:lineRule="auto"/>
              <w:ind w:firstLine="0"/>
            </w:pPr>
            <w:r/>
            <w:r>
              <w:rPr>
                <w:rFonts w:ascii="Times New Roman" w:hAnsi="Times New Roman" w:eastAsia="宋体"/>
                <w:b w:val="0"/>
                <w:i w:val="0"/>
                <w:sz w:val="21"/>
              </w:rPr>
              <w:t>出库超卖无系统约束</w:t>
            </w:r>
          </w:p>
        </w:tc>
        <w:tc>
          <w:tcPr>
            <w:tcW w:type="dxa" w:w="3572"/>
          </w:tcPr>
          <w:p>
            <w:pPr>
              <w:spacing w:before="20" w:after="20" w:line="276" w:lineRule="auto"/>
              <w:ind w:firstLine="0"/>
            </w:pPr>
            <w:r/>
            <w:r>
              <w:rPr>
                <w:rFonts w:ascii="Times New Roman" w:hAnsi="Times New Roman" w:eastAsia="宋体"/>
                <w:b w:val="0"/>
                <w:i w:val="0"/>
                <w:sz w:val="21"/>
              </w:rPr>
              <w:t>库存不足时靠仓管人工判断是否放行，口径随人而异</w:t>
            </w:r>
          </w:p>
        </w:tc>
        <w:tc>
          <w:tcPr>
            <w:tcW w:type="dxa" w:w="3572"/>
          </w:tcPr>
          <w:p>
            <w:pPr>
              <w:spacing w:before="20" w:after="20" w:line="276" w:lineRule="auto"/>
              <w:ind w:firstLine="0"/>
            </w:pPr>
            <w:r/>
            <w:r>
              <w:rPr>
                <w:rFonts w:ascii="Times New Roman" w:hAnsi="Times New Roman" w:eastAsia="宋体"/>
                <w:b w:val="0"/>
                <w:i w:val="0"/>
                <w:sz w:val="21"/>
              </w:rPr>
              <w:t>出库数量超过库存可用数量直接拦截；扣减后库存为负禁止出库，两道校验在提交前完成</w:t>
            </w:r>
          </w:p>
        </w:tc>
      </w:tr>
      <w:tr>
        <w:tc>
          <w:tcPr>
            <w:tcW w:type="dxa" w:w="1928"/>
          </w:tcPr>
          <w:p>
            <w:pPr>
              <w:spacing w:before="20" w:after="20" w:line="276" w:lineRule="auto"/>
              <w:ind w:firstLine="0"/>
            </w:pPr>
            <w:r/>
            <w:r>
              <w:rPr>
                <w:rFonts w:ascii="Times New Roman" w:hAnsi="Times New Roman" w:eastAsia="宋体"/>
                <w:b w:val="0"/>
                <w:i w:val="0"/>
                <w:sz w:val="21"/>
              </w:rPr>
              <w:t>出库货值靠人工计算，金额易错</w:t>
            </w:r>
          </w:p>
        </w:tc>
        <w:tc>
          <w:tcPr>
            <w:tcW w:type="dxa" w:w="3572"/>
          </w:tcPr>
          <w:p>
            <w:pPr>
              <w:spacing w:before="20" w:after="20" w:line="276" w:lineRule="auto"/>
              <w:ind w:firstLine="0"/>
            </w:pPr>
            <w:r/>
            <w:r>
              <w:rPr>
                <w:rFonts w:ascii="Times New Roman" w:hAnsi="Times New Roman" w:eastAsia="宋体"/>
                <w:b w:val="0"/>
                <w:i w:val="0"/>
                <w:sz w:val="21"/>
              </w:rPr>
              <w:t>出库数量与单价分开手填，货值再手工相乘，容易出现算错与漏填</w:t>
            </w:r>
          </w:p>
        </w:tc>
        <w:tc>
          <w:tcPr>
            <w:tcW w:type="dxa" w:w="3572"/>
          </w:tcPr>
          <w:p>
            <w:pPr>
              <w:spacing w:before="20" w:after="20" w:line="276" w:lineRule="auto"/>
              <w:ind w:firstLine="0"/>
            </w:pPr>
            <w:r/>
            <w:r>
              <w:rPr>
                <w:rFonts w:ascii="Times New Roman" w:hAnsi="Times New Roman" w:eastAsia="宋体"/>
                <w:b w:val="0"/>
                <w:i w:val="0"/>
                <w:sz w:val="21"/>
              </w:rPr>
              <w:t>出库货值为只读字段，由出库数量与出库单价自动计算，不允许手工修改</w:t>
            </w:r>
          </w:p>
        </w:tc>
      </w:tr>
      <w:tr>
        <w:tc>
          <w:tcPr>
            <w:tcW w:type="dxa" w:w="1928"/>
          </w:tcPr>
          <w:p>
            <w:pPr>
              <w:spacing w:before="20" w:after="20" w:line="276" w:lineRule="auto"/>
              <w:ind w:firstLine="0"/>
            </w:pPr>
            <w:r/>
            <w:r>
              <w:rPr>
                <w:rFonts w:ascii="Times New Roman" w:hAnsi="Times New Roman" w:eastAsia="宋体"/>
                <w:b w:val="0"/>
                <w:i w:val="0"/>
                <w:sz w:val="21"/>
              </w:rPr>
              <w:t>出库单据规则与入库不一致，仓库容易漏传</w:t>
            </w:r>
          </w:p>
        </w:tc>
        <w:tc>
          <w:tcPr>
            <w:tcW w:type="dxa" w:w="3572"/>
          </w:tcPr>
          <w:p>
            <w:pPr>
              <w:spacing w:before="20" w:after="20" w:line="276" w:lineRule="auto"/>
              <w:ind w:firstLine="0"/>
            </w:pPr>
            <w:r/>
            <w:r>
              <w:rPr>
                <w:rFonts w:ascii="Times New Roman" w:hAnsi="Times New Roman" w:eastAsia="宋体"/>
                <w:b w:val="0"/>
                <w:i w:val="0"/>
                <w:sz w:val="21"/>
              </w:rPr>
              <w:t>磅单与化验凭证的必传与选传口径不统一，漏传后到对账阶段才发现</w:t>
            </w:r>
          </w:p>
        </w:tc>
        <w:tc>
          <w:tcPr>
            <w:tcW w:type="dxa" w:w="3572"/>
          </w:tcPr>
          <w:p>
            <w:pPr>
              <w:spacing w:before="20" w:after="20" w:line="276" w:lineRule="auto"/>
              <w:ind w:firstLine="0"/>
            </w:pPr>
            <w:r/>
            <w:r>
              <w:rPr>
                <w:rFonts w:ascii="Times New Roman" w:hAnsi="Times New Roman" w:eastAsia="宋体"/>
                <w:b w:val="0"/>
                <w:i w:val="0"/>
                <w:sz w:val="21"/>
              </w:rPr>
              <w:t>出库附件区磅单与化验凭证均设为必传，格式白名单与单文件大小上限统一校验并在上传时拦截</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4.21.2　背景与目标</w:t>
      </w:r>
    </w:p>
    <w:tbl>
      <w:tblPr>
        <w:tblStyle w:val="TableGrid"/>
        <w:tblW w:type="auto" w:w="0"/>
        <w:jc w:val="center"/>
        <w:tblLayout w:type="fixed"/>
        <w:tblLook w:firstColumn="1" w:firstRow="1" w:lastColumn="0" w:lastRow="0" w:noHBand="0" w:noVBand="1" w:val="04A0"/>
      </w:tblPr>
      <w:tblGrid>
        <w:gridCol w:w="8958"/>
      </w:tblGrid>
      <w:tr>
        <w:trPr>
          <w:tblHeader w:val="true"/>
        </w:trPr>
        <w:tc>
          <w:tcPr>
            <w:tcW w:type="dxa" w:w="9071"/>
            <w:shd w:val="clear" w:color="auto" w:fill="DCE6F1"/>
          </w:tcPr>
          <w:p>
            <w:pPr>
              <w:spacing w:before="40" w:after="40" w:line="276" w:lineRule="auto"/>
              <w:jc w:val="center"/>
            </w:pPr>
            <w:r/>
            <w:r>
              <w:rPr>
                <w:rFonts w:ascii="Times New Roman" w:hAnsi="Times New Roman" w:eastAsia="黑体"/>
                <w:b/>
                <w:i w:val="0"/>
                <w:sz w:val="21"/>
              </w:rPr>
              <w:t>目标 / 衡量口径</w:t>
            </w:r>
          </w:p>
        </w:tc>
      </w:tr>
      <w:tr>
        <w:tc>
          <w:tcPr>
            <w:tcW w:type="dxa" w:w="9071"/>
          </w:tcPr>
          <w:p>
            <w:pPr>
              <w:spacing w:before="20" w:after="20" w:line="276" w:lineRule="auto"/>
              <w:ind w:firstLine="0"/>
            </w:pPr>
            <w:r/>
            <w:r>
              <w:rPr>
                <w:rFonts w:ascii="Times New Roman" w:hAnsi="Times New Roman" w:eastAsia="宋体"/>
                <w:b w:val="0"/>
                <w:i w:val="0"/>
                <w:sz w:val="21"/>
              </w:rPr>
              <w:t>出库登记 100% 关联销售合同并勾选放货指令记录，已出库吨数可逐笔追溯</w:t>
            </w:r>
          </w:p>
        </w:tc>
      </w:tr>
      <w:tr>
        <w:tc>
          <w:tcPr>
            <w:tcW w:type="dxa" w:w="9071"/>
          </w:tcPr>
          <w:p>
            <w:pPr>
              <w:spacing w:before="20" w:after="20" w:line="276" w:lineRule="auto"/>
              <w:ind w:firstLine="0"/>
            </w:pPr>
            <w:r/>
            <w:r>
              <w:rPr>
                <w:rFonts w:ascii="Times New Roman" w:hAnsi="Times New Roman" w:eastAsia="宋体"/>
                <w:b w:val="0"/>
                <w:i w:val="0"/>
                <w:sz w:val="21"/>
              </w:rPr>
              <w:t>出库数量不得超过库存可用数量，且扣减后库存不得为负</w:t>
            </w:r>
          </w:p>
        </w:tc>
      </w:tr>
      <w:tr>
        <w:tc>
          <w:tcPr>
            <w:tcW w:type="dxa" w:w="9071"/>
          </w:tcPr>
          <w:p>
            <w:pPr>
              <w:spacing w:before="20" w:after="20" w:line="276" w:lineRule="auto"/>
              <w:ind w:firstLine="0"/>
            </w:pPr>
            <w:r/>
            <w:r>
              <w:rPr>
                <w:rFonts w:ascii="Times New Roman" w:hAnsi="Times New Roman" w:eastAsia="宋体"/>
                <w:b w:val="0"/>
                <w:i w:val="0"/>
                <w:sz w:val="21"/>
              </w:rPr>
              <w:t>出库完成后库存台账、合同已发数量与业务线货物进度自动更新</w:t>
            </w:r>
          </w:p>
        </w:tc>
      </w:tr>
      <w:tr>
        <w:tc>
          <w:tcPr>
            <w:tcW w:type="dxa" w:w="9071"/>
          </w:tcPr>
          <w:p>
            <w:pPr>
              <w:spacing w:before="20" w:after="20" w:line="276" w:lineRule="auto"/>
              <w:ind w:firstLine="0"/>
            </w:pPr>
            <w:r/>
            <w:r>
              <w:rPr>
                <w:rFonts w:ascii="Times New Roman" w:hAnsi="Times New Roman" w:eastAsia="宋体"/>
                <w:b w:val="0"/>
                <w:i w:val="0"/>
                <w:sz w:val="21"/>
              </w:rPr>
              <w:t>出库货值由数量与单价自动计算，仓库无需手工计算金额</w:t>
            </w:r>
          </w:p>
        </w:tc>
      </w:tr>
    </w:tbl>
    <w:p>
      <w:pPr>
        <w:spacing w:before="0" w:after="0" w:line="240" w:lineRule="auto"/>
      </w:pPr>
    </w:p>
    <w:p>
      <w:pPr>
        <w:spacing w:before="80" w:after="120" w:line="360" w:lineRule="auto"/>
      </w:pPr>
      <w:r>
        <w:rPr>
          <w:rFonts w:ascii="Times New Roman" w:hAnsi="Times New Roman" w:eastAsia="宋体"/>
          <w:b w:val="0"/>
          <w:i w:val="0"/>
          <w:color w:val="595959"/>
          <w:sz w:val="21"/>
        </w:rPr>
        <w:t>说明：文中口径以业务方已确认结论为准；未确认项集中列于本章末与第 5 章。</w:t>
      </w:r>
    </w:p>
    <w:p>
      <w:pPr>
        <w:pStyle w:val="Heading3"/>
        <w:keepNext/>
        <w:spacing w:before="160" w:after="80" w:line="312" w:lineRule="auto"/>
        <w:ind w:firstLine="0"/>
      </w:pPr>
      <w:r>
        <w:rPr>
          <w:rFonts w:ascii="Times New Roman" w:hAnsi="Times New Roman" w:eastAsia="黑体"/>
          <w:b/>
          <w:i w:val="0"/>
          <w:sz w:val="24"/>
        </w:rPr>
        <w:t>4.21.3　角色与用户需求</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361"/>
            <w:shd w:val="clear" w:color="auto" w:fill="DCE6F1"/>
          </w:tcPr>
          <w:p>
            <w:pPr>
              <w:spacing w:before="40" w:after="40" w:line="276" w:lineRule="auto"/>
              <w:jc w:val="center"/>
            </w:pPr>
            <w:r/>
            <w:r>
              <w:rPr>
                <w:rFonts w:ascii="Times New Roman" w:hAnsi="Times New Roman" w:eastAsia="黑体"/>
                <w:b/>
                <w:i w:val="0"/>
                <w:sz w:val="21"/>
              </w:rPr>
              <w:t>角色</w:t>
            </w:r>
          </w:p>
        </w:tc>
        <w:tc>
          <w:tcPr>
            <w:tcW w:type="dxa" w:w="1247"/>
            <w:shd w:val="clear" w:color="auto" w:fill="DCE6F1"/>
          </w:tcPr>
          <w:p>
            <w:pPr>
              <w:spacing w:before="40" w:after="40" w:line="276" w:lineRule="auto"/>
              <w:jc w:val="center"/>
            </w:pPr>
            <w:r/>
            <w:r>
              <w:rPr>
                <w:rFonts w:ascii="Times New Roman" w:hAnsi="Times New Roman" w:eastAsia="黑体"/>
                <w:b/>
                <w:i w:val="0"/>
                <w:sz w:val="21"/>
              </w:rPr>
              <w:t>所属部门</w:t>
            </w:r>
          </w:p>
        </w:tc>
        <w:tc>
          <w:tcPr>
            <w:tcW w:type="dxa" w:w="6463"/>
            <w:shd w:val="clear" w:color="auto" w:fill="DCE6F1"/>
          </w:tcPr>
          <w:p>
            <w:pPr>
              <w:spacing w:before="40" w:after="40" w:line="276" w:lineRule="auto"/>
              <w:jc w:val="center"/>
            </w:pPr>
            <w:r/>
            <w:r>
              <w:rPr>
                <w:rFonts w:ascii="Times New Roman" w:hAnsi="Times New Roman" w:eastAsia="黑体"/>
                <w:b/>
                <w:i w:val="0"/>
                <w:sz w:val="21"/>
              </w:rPr>
              <w:t>用户需求（我要…以便…）</w:t>
            </w:r>
          </w:p>
        </w:tc>
      </w:tr>
      <w:tr>
        <w:tc>
          <w:tcPr>
            <w:tcW w:type="dxa" w:w="1361"/>
          </w:tcPr>
          <w:p>
            <w:pPr>
              <w:spacing w:before="20" w:after="20" w:line="276" w:lineRule="auto"/>
              <w:ind w:firstLine="0"/>
            </w:pPr>
            <w:r/>
            <w:r>
              <w:rPr>
                <w:rFonts w:ascii="Times New Roman" w:hAnsi="Times New Roman" w:eastAsia="宋体"/>
                <w:b w:val="0"/>
                <w:i w:val="0"/>
                <w:sz w:val="21"/>
              </w:rPr>
              <w:t>仓储员</w:t>
            </w:r>
          </w:p>
        </w:tc>
        <w:tc>
          <w:tcPr>
            <w:tcW w:type="dxa" w:w="1247"/>
          </w:tcPr>
          <w:p>
            <w:pPr>
              <w:spacing w:before="20" w:after="20" w:line="276" w:lineRule="auto"/>
              <w:ind w:firstLine="0"/>
            </w:pPr>
            <w:r/>
            <w:r>
              <w:rPr>
                <w:rFonts w:ascii="Times New Roman" w:hAnsi="Times New Roman" w:eastAsia="宋体"/>
                <w:b w:val="0"/>
                <w:i w:val="0"/>
                <w:sz w:val="21"/>
              </w:rPr>
              <w:t>仓储部</w:t>
            </w:r>
          </w:p>
        </w:tc>
        <w:tc>
          <w:tcPr>
            <w:tcW w:type="dxa" w:w="6463"/>
          </w:tcPr>
          <w:p>
            <w:pPr>
              <w:spacing w:before="20" w:after="20" w:line="276" w:lineRule="auto"/>
              <w:ind w:firstLine="0"/>
            </w:pPr>
            <w:r/>
            <w:r>
              <w:rPr>
                <w:rFonts w:ascii="Times New Roman" w:hAnsi="Times New Roman" w:eastAsia="宋体"/>
                <w:b w:val="0"/>
                <w:i w:val="0"/>
                <w:sz w:val="21"/>
              </w:rPr>
              <w:t>我要按销售合同与放货指令登记出库并上传磅单，以便出库单据可逐笔核对</w:t>
            </w:r>
          </w:p>
        </w:tc>
      </w:tr>
      <w:tr>
        <w:tc>
          <w:tcPr>
            <w:tcW w:type="dxa" w:w="1361"/>
          </w:tcPr>
          <w:p>
            <w:pPr>
              <w:spacing w:before="20" w:after="20" w:line="276" w:lineRule="auto"/>
              <w:ind w:firstLine="0"/>
            </w:pPr>
            <w:r/>
            <w:r>
              <w:rPr>
                <w:rFonts w:ascii="Times New Roman" w:hAnsi="Times New Roman" w:eastAsia="宋体"/>
                <w:b w:val="0"/>
                <w:i w:val="0"/>
                <w:sz w:val="21"/>
              </w:rPr>
              <w:t>仓储方操作人员</w:t>
            </w:r>
          </w:p>
        </w:tc>
        <w:tc>
          <w:tcPr>
            <w:tcW w:type="dxa" w:w="1247"/>
          </w:tcPr>
          <w:p>
            <w:pPr>
              <w:spacing w:before="20" w:after="20" w:line="276" w:lineRule="auto"/>
              <w:ind w:firstLine="0"/>
            </w:pPr>
            <w:r/>
            <w:r>
              <w:rPr>
                <w:rFonts w:ascii="Times New Roman" w:hAnsi="Times New Roman" w:eastAsia="宋体"/>
                <w:b w:val="0"/>
                <w:i w:val="0"/>
                <w:sz w:val="21"/>
              </w:rPr>
              <w:t>第三方仓储方</w:t>
            </w:r>
          </w:p>
        </w:tc>
        <w:tc>
          <w:tcPr>
            <w:tcW w:type="dxa" w:w="6463"/>
          </w:tcPr>
          <w:p>
            <w:pPr>
              <w:spacing w:before="20" w:after="20" w:line="276" w:lineRule="auto"/>
              <w:ind w:firstLine="0"/>
            </w:pPr>
            <w:r/>
            <w:r>
              <w:rPr>
                <w:rFonts w:ascii="Times New Roman" w:hAnsi="Times New Roman" w:eastAsia="宋体"/>
                <w:b w:val="0"/>
                <w:i w:val="0"/>
                <w:sz w:val="21"/>
              </w:rPr>
              <w:t>我要填写出库车数与仓房货位，以便实物出库与系统记录一致</w:t>
            </w:r>
          </w:p>
        </w:tc>
      </w:tr>
      <w:tr>
        <w:tc>
          <w:tcPr>
            <w:tcW w:type="dxa" w:w="1361"/>
          </w:tcPr>
          <w:p>
            <w:pPr>
              <w:spacing w:before="20" w:after="20" w:line="276" w:lineRule="auto"/>
              <w:ind w:firstLine="0"/>
            </w:pPr>
            <w:r/>
            <w:r>
              <w:rPr>
                <w:rFonts w:ascii="Times New Roman" w:hAnsi="Times New Roman" w:eastAsia="宋体"/>
                <w:b w:val="0"/>
                <w:i w:val="0"/>
                <w:sz w:val="21"/>
              </w:rPr>
              <w:t>库管负责人</w:t>
            </w:r>
          </w:p>
        </w:tc>
        <w:tc>
          <w:tcPr>
            <w:tcW w:type="dxa" w:w="1247"/>
          </w:tcPr>
          <w:p>
            <w:pPr>
              <w:spacing w:before="20" w:after="20" w:line="276" w:lineRule="auto"/>
              <w:ind w:firstLine="0"/>
            </w:pPr>
            <w:r/>
            <w:r>
              <w:rPr>
                <w:rFonts w:ascii="Times New Roman" w:hAnsi="Times New Roman" w:eastAsia="宋体"/>
                <w:b w:val="0"/>
                <w:i w:val="0"/>
                <w:sz w:val="21"/>
              </w:rPr>
              <w:t>仓储部</w:t>
            </w:r>
          </w:p>
        </w:tc>
        <w:tc>
          <w:tcPr>
            <w:tcW w:type="dxa" w:w="6463"/>
          </w:tcPr>
          <w:p>
            <w:pPr>
              <w:spacing w:before="20" w:after="20" w:line="276" w:lineRule="auto"/>
              <w:ind w:firstLine="0"/>
            </w:pPr>
            <w:r/>
            <w:r>
              <w:rPr>
                <w:rFonts w:ascii="Times New Roman" w:hAnsi="Times New Roman" w:eastAsia="宋体"/>
                <w:b w:val="0"/>
                <w:i w:val="0"/>
                <w:sz w:val="21"/>
              </w:rPr>
              <w:t>我要按运输方式查看出库记录与出库量，以便掌握出货节奏</w:t>
            </w:r>
          </w:p>
        </w:tc>
      </w:tr>
      <w:tr>
        <w:tc>
          <w:tcPr>
            <w:tcW w:type="dxa" w:w="1361"/>
          </w:tcPr>
          <w:p>
            <w:pPr>
              <w:spacing w:before="20" w:after="20" w:line="276" w:lineRule="auto"/>
              <w:ind w:firstLine="0"/>
            </w:pPr>
            <w:r/>
            <w:r>
              <w:rPr>
                <w:rFonts w:ascii="Times New Roman" w:hAnsi="Times New Roman" w:eastAsia="宋体"/>
                <w:b w:val="0"/>
                <w:i w:val="0"/>
                <w:sz w:val="21"/>
              </w:rPr>
              <w:t>业务员</w:t>
            </w:r>
          </w:p>
        </w:tc>
        <w:tc>
          <w:tcPr>
            <w:tcW w:type="dxa" w:w="1247"/>
          </w:tcPr>
          <w:p>
            <w:pPr>
              <w:spacing w:before="20" w:after="20" w:line="276" w:lineRule="auto"/>
              <w:ind w:firstLine="0"/>
            </w:pPr>
            <w:r/>
            <w:r>
              <w:rPr>
                <w:rFonts w:ascii="Times New Roman" w:hAnsi="Times New Roman" w:eastAsia="宋体"/>
                <w:b w:val="0"/>
                <w:i w:val="0"/>
                <w:sz w:val="21"/>
              </w:rPr>
              <w:t>业务部</w:t>
            </w:r>
          </w:p>
        </w:tc>
        <w:tc>
          <w:tcPr>
            <w:tcW w:type="dxa" w:w="6463"/>
          </w:tcPr>
          <w:p>
            <w:pPr>
              <w:spacing w:before="20" w:after="20" w:line="276" w:lineRule="auto"/>
              <w:ind w:firstLine="0"/>
            </w:pPr>
            <w:r/>
            <w:r>
              <w:rPr>
                <w:rFonts w:ascii="Times New Roman" w:hAnsi="Times New Roman" w:eastAsia="宋体"/>
                <w:b w:val="0"/>
                <w:i w:val="0"/>
                <w:sz w:val="21"/>
              </w:rPr>
              <w:t>我要出库完成后业务线货物进度自动更新，以便跟踪履约进展</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4.21.4　功能结构与范围</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474"/>
            <w:shd w:val="clear" w:color="auto" w:fill="DCE6F1"/>
          </w:tcPr>
          <w:p>
            <w:pPr>
              <w:spacing w:before="40" w:after="40" w:line="276" w:lineRule="auto"/>
              <w:jc w:val="center"/>
            </w:pPr>
            <w:r/>
            <w:r>
              <w:rPr>
                <w:rFonts w:ascii="Times New Roman" w:hAnsi="Times New Roman" w:eastAsia="黑体"/>
                <w:b/>
                <w:i w:val="0"/>
                <w:sz w:val="21"/>
              </w:rPr>
              <w:t>功能</w:t>
            </w:r>
          </w:p>
        </w:tc>
        <w:tc>
          <w:tcPr>
            <w:tcW w:type="dxa" w:w="3175"/>
            <w:shd w:val="clear" w:color="auto" w:fill="DCE6F1"/>
          </w:tcPr>
          <w:p>
            <w:pPr>
              <w:spacing w:before="40" w:after="40" w:line="276" w:lineRule="auto"/>
              <w:jc w:val="center"/>
            </w:pPr>
            <w:r/>
            <w:r>
              <w:rPr>
                <w:rFonts w:ascii="Times New Roman" w:hAnsi="Times New Roman" w:eastAsia="黑体"/>
                <w:b/>
                <w:i w:val="0"/>
                <w:sz w:val="21"/>
              </w:rPr>
              <w:t>功能说明</w:t>
            </w:r>
          </w:p>
        </w:tc>
        <w:tc>
          <w:tcPr>
            <w:tcW w:type="dxa" w:w="4422"/>
            <w:shd w:val="clear" w:color="auto" w:fill="DCE6F1"/>
          </w:tcPr>
          <w:p>
            <w:pPr>
              <w:spacing w:before="40" w:after="40" w:line="276" w:lineRule="auto"/>
              <w:jc w:val="center"/>
            </w:pPr>
            <w:r/>
            <w:r>
              <w:rPr>
                <w:rFonts w:ascii="Times New Roman" w:hAnsi="Times New Roman" w:eastAsia="黑体"/>
                <w:b/>
                <w:i w:val="0"/>
                <w:sz w:val="21"/>
              </w:rPr>
              <w:t>关键规则</w:t>
            </w:r>
          </w:p>
        </w:tc>
      </w:tr>
      <w:tr>
        <w:tc>
          <w:tcPr>
            <w:tcW w:type="dxa" w:w="1474"/>
          </w:tcPr>
          <w:p>
            <w:pPr>
              <w:spacing w:before="20" w:after="20" w:line="276" w:lineRule="auto"/>
              <w:ind w:firstLine="0"/>
            </w:pPr>
            <w:r/>
            <w:r>
              <w:rPr>
                <w:rFonts w:ascii="Times New Roman" w:hAnsi="Times New Roman" w:eastAsia="宋体"/>
                <w:b w:val="0"/>
                <w:i w:val="0"/>
                <w:sz w:val="21"/>
              </w:rPr>
              <w:t>出库记录列表与运输方式分栏</w:t>
            </w:r>
          </w:p>
        </w:tc>
        <w:tc>
          <w:tcPr>
            <w:tcW w:type="dxa" w:w="3175"/>
          </w:tcPr>
          <w:p>
            <w:pPr>
              <w:spacing w:before="20" w:after="20" w:line="276" w:lineRule="auto"/>
              <w:ind w:firstLine="0"/>
            </w:pPr>
            <w:r/>
            <w:r>
              <w:rPr>
                <w:rFonts w:ascii="Times New Roman" w:hAnsi="Times New Roman" w:eastAsia="宋体"/>
                <w:b w:val="0"/>
                <w:i w:val="0"/>
                <w:sz w:val="21"/>
              </w:rPr>
              <w:t>出库记录主列表，按运输方式分栏并支持多条件筛选，表格展示出库日期、品类、数量、单价、车数、合同、业务线、收货单位、仓位等维度</w:t>
            </w:r>
          </w:p>
        </w:tc>
        <w:tc>
          <w:tcPr>
            <w:tcW w:type="dxa" w:w="4422"/>
          </w:tcPr>
          <w:p>
            <w:pPr>
              <w:spacing w:before="20" w:after="20" w:line="276" w:lineRule="auto"/>
              <w:ind w:firstLine="0"/>
            </w:pPr>
            <w:r/>
            <w:r>
              <w:rPr>
                <w:rFonts w:ascii="Times New Roman" w:hAnsi="Times New Roman" w:eastAsia="宋体"/>
                <w:b w:val="0"/>
                <w:i w:val="0"/>
                <w:sz w:val="21"/>
              </w:rPr>
              <w:t>分栏固定为全部、汽运、火运、船运 4 个且按运输方式过滤；每个分栏显示记录计数；筛选区共 9 个字段：编号、收货单位、出库日期、品类、仓位、货位、关联业务线状态、业务线号、数据类型、出库类型，其中出库类型选项为销售出库与盘亏出库</w:t>
            </w:r>
          </w:p>
        </w:tc>
      </w:tr>
      <w:tr>
        <w:tc>
          <w:tcPr>
            <w:tcW w:type="dxa" w:w="1474"/>
          </w:tcPr>
          <w:p>
            <w:pPr>
              <w:spacing w:before="20" w:after="20" w:line="276" w:lineRule="auto"/>
              <w:ind w:firstLine="0"/>
            </w:pPr>
            <w:r/>
            <w:r>
              <w:rPr>
                <w:rFonts w:ascii="Times New Roman" w:hAnsi="Times New Roman" w:eastAsia="宋体"/>
                <w:b w:val="0"/>
                <w:i w:val="0"/>
                <w:sz w:val="21"/>
              </w:rPr>
              <w:t>新增销售出库表单</w:t>
            </w:r>
          </w:p>
        </w:tc>
        <w:tc>
          <w:tcPr>
            <w:tcW w:type="dxa" w:w="3175"/>
          </w:tcPr>
          <w:p>
            <w:pPr>
              <w:spacing w:before="20" w:after="20" w:line="276" w:lineRule="auto"/>
              <w:ind w:firstLine="0"/>
            </w:pPr>
            <w:r/>
            <w:r>
              <w:rPr>
                <w:rFonts w:ascii="Times New Roman" w:hAnsi="Times New Roman" w:eastAsia="宋体"/>
                <w:b w:val="0"/>
                <w:i w:val="0"/>
                <w:sz w:val="21"/>
              </w:rPr>
              <w:t>6 区块的出库登记表单，由合同信息、业务线信息、放货指令、出库信息、备注、附件信息组成</w:t>
            </w:r>
          </w:p>
        </w:tc>
        <w:tc>
          <w:tcPr>
            <w:tcW w:type="dxa" w:w="4422"/>
          </w:tcPr>
          <w:p>
            <w:pPr>
              <w:spacing w:before="20" w:after="20" w:line="276" w:lineRule="auto"/>
              <w:ind w:firstLine="0"/>
            </w:pPr>
            <w:r/>
            <w:r>
              <w:rPr>
                <w:rFonts w:ascii="Times New Roman" w:hAnsi="Times New Roman" w:eastAsia="宋体"/>
                <w:b w:val="0"/>
                <w:i w:val="0"/>
                <w:sz w:val="21"/>
              </w:rPr>
              <w:t>区块固定为合同信息 9 字段、业务线信息 3 字段、放货指令、出库信息、备注、附件信息 2 行；备注上限 200 字；运输方式使用下拉选择控件且默认汽运；业务线信息第 3 列为上游采购合同编号</w:t>
            </w:r>
          </w:p>
        </w:tc>
      </w:tr>
      <w:tr>
        <w:tc>
          <w:tcPr>
            <w:tcW w:type="dxa" w:w="1474"/>
          </w:tcPr>
          <w:p>
            <w:pPr>
              <w:spacing w:before="20" w:after="20" w:line="276" w:lineRule="auto"/>
              <w:ind w:firstLine="0"/>
            </w:pPr>
            <w:r/>
            <w:r>
              <w:rPr>
                <w:rFonts w:ascii="Times New Roman" w:hAnsi="Times New Roman" w:eastAsia="宋体"/>
                <w:b w:val="0"/>
                <w:i w:val="0"/>
                <w:sz w:val="21"/>
              </w:rPr>
              <w:t>放货指令单选关联</w:t>
            </w:r>
          </w:p>
        </w:tc>
        <w:tc>
          <w:tcPr>
            <w:tcW w:type="dxa" w:w="3175"/>
          </w:tcPr>
          <w:p>
            <w:pPr>
              <w:spacing w:before="20" w:after="20" w:line="276" w:lineRule="auto"/>
              <w:ind w:firstLine="0"/>
            </w:pPr>
            <w:r/>
            <w:r>
              <w:rPr>
                <w:rFonts w:ascii="Times New Roman" w:hAnsi="Times New Roman" w:eastAsia="宋体"/>
                <w:b w:val="0"/>
                <w:i w:val="0"/>
                <w:sz w:val="21"/>
              </w:rPr>
              <w:t>表单内置的放货指令区块，从合同对应的放货指令中单选本次出库所依据的指令记录</w:t>
            </w:r>
          </w:p>
        </w:tc>
        <w:tc>
          <w:tcPr>
            <w:tcW w:type="dxa" w:w="4422"/>
          </w:tcPr>
          <w:p>
            <w:pPr>
              <w:spacing w:before="20" w:after="20" w:line="276" w:lineRule="auto"/>
              <w:ind w:firstLine="0"/>
            </w:pPr>
            <w:r/>
            <w:r>
              <w:rPr>
                <w:rFonts w:ascii="Times New Roman" w:hAnsi="Times New Roman" w:eastAsia="宋体"/>
                <w:b w:val="0"/>
                <w:i w:val="0"/>
                <w:sz w:val="21"/>
              </w:rPr>
              <w:t>区块为 6 列表格加单选按钮，放货指令编号、放货日期、放货吨数、已出库吨数、提货联系人姓名、提货联系人电话号码；必须且只能选中 1 条，未选中时提交拦截并提示请选择放货指令</w:t>
            </w:r>
          </w:p>
        </w:tc>
      </w:tr>
      <w:tr>
        <w:tc>
          <w:tcPr>
            <w:tcW w:type="dxa" w:w="1474"/>
          </w:tcPr>
          <w:p>
            <w:pPr>
              <w:spacing w:before="20" w:after="20" w:line="276" w:lineRule="auto"/>
              <w:ind w:firstLine="0"/>
            </w:pPr>
            <w:r/>
            <w:r>
              <w:rPr>
                <w:rFonts w:ascii="Times New Roman" w:hAnsi="Times New Roman" w:eastAsia="宋体"/>
                <w:b w:val="0"/>
                <w:i w:val="0"/>
                <w:sz w:val="21"/>
              </w:rPr>
              <w:t>运输方式与出库车数</w:t>
            </w:r>
          </w:p>
        </w:tc>
        <w:tc>
          <w:tcPr>
            <w:tcW w:type="dxa" w:w="3175"/>
          </w:tcPr>
          <w:p>
            <w:pPr>
              <w:spacing w:before="20" w:after="20" w:line="276" w:lineRule="auto"/>
              <w:ind w:firstLine="0"/>
            </w:pPr>
            <w:r/>
            <w:r>
              <w:rPr>
                <w:rFonts w:ascii="Times New Roman" w:hAnsi="Times New Roman" w:eastAsia="宋体"/>
                <w:b w:val="0"/>
                <w:i w:val="0"/>
                <w:sz w:val="21"/>
              </w:rPr>
              <w:t>出库车数是否填写由运输方式决定，切换运输方式时字段显隐联动</w:t>
            </w:r>
          </w:p>
        </w:tc>
        <w:tc>
          <w:tcPr>
            <w:tcW w:type="dxa" w:w="4422"/>
          </w:tcPr>
          <w:p>
            <w:pPr>
              <w:spacing w:before="20" w:after="20" w:line="276" w:lineRule="auto"/>
              <w:ind w:firstLine="0"/>
            </w:pPr>
            <w:r/>
            <w:r>
              <w:rPr>
                <w:rFonts w:ascii="Times New Roman" w:hAnsi="Times New Roman" w:eastAsia="宋体"/>
                <w:b w:val="0"/>
                <w:i w:val="0"/>
                <w:sz w:val="21"/>
              </w:rPr>
              <w:t>运输方式为汽运或火运时出库车数必填；切换为船运时隐藏出库车数并同步清空已填值；船运只登记最重货物存放的仓房与货位，且为选填</w:t>
            </w:r>
          </w:p>
        </w:tc>
      </w:tr>
      <w:tr>
        <w:tc>
          <w:tcPr>
            <w:tcW w:type="dxa" w:w="1474"/>
          </w:tcPr>
          <w:p>
            <w:pPr>
              <w:spacing w:before="20" w:after="20" w:line="276" w:lineRule="auto"/>
              <w:ind w:firstLine="0"/>
            </w:pPr>
            <w:r/>
            <w:r>
              <w:rPr>
                <w:rFonts w:ascii="Times New Roman" w:hAnsi="Times New Roman" w:eastAsia="宋体"/>
                <w:b w:val="0"/>
                <w:i w:val="0"/>
                <w:sz w:val="21"/>
              </w:rPr>
              <w:t>出库货值自动计算</w:t>
            </w:r>
          </w:p>
        </w:tc>
        <w:tc>
          <w:tcPr>
            <w:tcW w:type="dxa" w:w="3175"/>
          </w:tcPr>
          <w:p>
            <w:pPr>
              <w:spacing w:before="20" w:after="20" w:line="276" w:lineRule="auto"/>
              <w:ind w:firstLine="0"/>
            </w:pPr>
            <w:r/>
            <w:r>
              <w:rPr>
                <w:rFonts w:ascii="Times New Roman" w:hAnsi="Times New Roman" w:eastAsia="宋体"/>
                <w:b w:val="0"/>
                <w:i w:val="0"/>
                <w:sz w:val="21"/>
              </w:rPr>
              <w:t>出库信息区提供出库货值字段，由录入的出库数量与出库单价自动得出</w:t>
            </w:r>
          </w:p>
        </w:tc>
        <w:tc>
          <w:tcPr>
            <w:tcW w:type="dxa" w:w="4422"/>
          </w:tcPr>
          <w:p>
            <w:pPr>
              <w:spacing w:before="20" w:after="20" w:line="276" w:lineRule="auto"/>
              <w:ind w:firstLine="0"/>
            </w:pPr>
            <w:r/>
            <w:r>
              <w:rPr>
                <w:rFonts w:ascii="Times New Roman" w:hAnsi="Times New Roman" w:eastAsia="宋体"/>
                <w:b w:val="0"/>
                <w:i w:val="0"/>
                <w:sz w:val="21"/>
              </w:rPr>
              <w:t>出库货值为只读字段，计算式为出库数量乘以出库单价，不允许手工录入或修改</w:t>
            </w:r>
          </w:p>
        </w:tc>
      </w:tr>
      <w:tr>
        <w:tc>
          <w:tcPr>
            <w:tcW w:type="dxa" w:w="1474"/>
          </w:tcPr>
          <w:p>
            <w:pPr>
              <w:spacing w:before="20" w:after="20" w:line="276" w:lineRule="auto"/>
              <w:ind w:firstLine="0"/>
            </w:pPr>
            <w:r/>
            <w:r>
              <w:rPr>
                <w:rFonts w:ascii="Times New Roman" w:hAnsi="Times New Roman" w:eastAsia="宋体"/>
                <w:b w:val="0"/>
                <w:i w:val="0"/>
                <w:sz w:val="21"/>
              </w:rPr>
              <w:t>出库附件管理</w:t>
            </w:r>
          </w:p>
        </w:tc>
        <w:tc>
          <w:tcPr>
            <w:tcW w:type="dxa" w:w="3175"/>
          </w:tcPr>
          <w:p>
            <w:pPr>
              <w:spacing w:before="20" w:after="20" w:line="276" w:lineRule="auto"/>
              <w:ind w:firstLine="0"/>
            </w:pPr>
            <w:r/>
            <w:r>
              <w:rPr>
                <w:rFonts w:ascii="Times New Roman" w:hAnsi="Times New Roman" w:eastAsia="宋体"/>
                <w:b w:val="0"/>
                <w:i w:val="0"/>
                <w:sz w:val="21"/>
              </w:rPr>
              <w:t>出库单据的上传区，磅单与化验凭证两类单据</w:t>
            </w:r>
          </w:p>
        </w:tc>
        <w:tc>
          <w:tcPr>
            <w:tcW w:type="dxa" w:w="4422"/>
          </w:tcPr>
          <w:p>
            <w:pPr>
              <w:spacing w:before="20" w:after="20" w:line="276" w:lineRule="auto"/>
              <w:ind w:firstLine="0"/>
            </w:pPr>
            <w:r/>
            <w:r>
              <w:rPr>
                <w:rFonts w:ascii="Times New Roman" w:hAnsi="Times New Roman" w:eastAsia="宋体"/>
                <w:b w:val="0"/>
                <w:i w:val="0"/>
                <w:sz w:val="21"/>
              </w:rPr>
              <w:t>磅单与化验凭证均为必传；每类支持多张附件，格式按各自白名单校验，单个附件大小不得超过 100M；上传区提示条支持收起与展开</w:t>
            </w:r>
          </w:p>
        </w:tc>
      </w:tr>
      <w:tr>
        <w:tc>
          <w:tcPr>
            <w:tcW w:type="dxa" w:w="1474"/>
          </w:tcPr>
          <w:p>
            <w:pPr>
              <w:spacing w:before="20" w:after="20" w:line="276" w:lineRule="auto"/>
              <w:ind w:firstLine="0"/>
            </w:pPr>
            <w:r/>
            <w:r>
              <w:rPr>
                <w:rFonts w:ascii="Times New Roman" w:hAnsi="Times New Roman" w:eastAsia="宋体"/>
                <w:b w:val="0"/>
                <w:i w:val="0"/>
                <w:sz w:val="21"/>
              </w:rPr>
              <w:t>出库详情</w:t>
            </w:r>
          </w:p>
        </w:tc>
        <w:tc>
          <w:tcPr>
            <w:tcW w:type="dxa" w:w="3175"/>
          </w:tcPr>
          <w:p>
            <w:pPr>
              <w:spacing w:before="20" w:after="20" w:line="276" w:lineRule="auto"/>
              <w:ind w:firstLine="0"/>
            </w:pPr>
            <w:r/>
            <w:r>
              <w:rPr>
                <w:rFonts w:ascii="Times New Roman" w:hAnsi="Times New Roman" w:eastAsia="宋体"/>
                <w:b w:val="0"/>
                <w:i w:val="0"/>
                <w:sz w:val="21"/>
              </w:rPr>
              <w:t>出库单据的详情视图，按三个页签呈现单据主体、逐车明细与操作轨迹</w:t>
            </w:r>
          </w:p>
        </w:tc>
        <w:tc>
          <w:tcPr>
            <w:tcW w:type="dxa" w:w="4422"/>
          </w:tcPr>
          <w:p>
            <w:pPr>
              <w:spacing w:before="20" w:after="20" w:line="276" w:lineRule="auto"/>
              <w:ind w:firstLine="0"/>
            </w:pPr>
            <w:r/>
            <w:r>
              <w:rPr>
                <w:rFonts w:ascii="Times New Roman" w:hAnsi="Times New Roman" w:eastAsia="宋体"/>
                <w:b w:val="0"/>
                <w:i w:val="0"/>
                <w:sz w:val="21"/>
              </w:rPr>
              <w:t>固定 3 个页签：出库信息、出库明细、操作记录，默认停留在出库信息；出库信息与附件之间含放货指令区块；详情页只提供复制与下载两类动作</w:t>
            </w:r>
          </w:p>
        </w:tc>
      </w:tr>
      <w:tr>
        <w:tc>
          <w:tcPr>
            <w:tcW w:type="dxa" w:w="1474"/>
          </w:tcPr>
          <w:p>
            <w:pPr>
              <w:spacing w:before="20" w:after="20" w:line="276" w:lineRule="auto"/>
              <w:ind w:firstLine="0"/>
            </w:pPr>
            <w:r/>
            <w:r>
              <w:rPr>
                <w:rFonts w:ascii="Times New Roman" w:hAnsi="Times New Roman" w:eastAsia="宋体"/>
                <w:b w:val="0"/>
                <w:i w:val="0"/>
                <w:sz w:val="21"/>
              </w:rPr>
              <w:t>出库记录编辑与删除</w:t>
            </w:r>
          </w:p>
        </w:tc>
        <w:tc>
          <w:tcPr>
            <w:tcW w:type="dxa" w:w="3175"/>
          </w:tcPr>
          <w:p>
            <w:pPr>
              <w:spacing w:before="20" w:after="20" w:line="276" w:lineRule="auto"/>
              <w:ind w:firstLine="0"/>
            </w:pPr>
            <w:r/>
            <w:r>
              <w:rPr>
                <w:rFonts w:ascii="Times New Roman" w:hAnsi="Times New Roman" w:eastAsia="宋体"/>
                <w:b w:val="0"/>
                <w:i w:val="0"/>
                <w:sz w:val="21"/>
              </w:rPr>
              <w:t>列表行内的编辑与删除操作</w:t>
            </w:r>
          </w:p>
        </w:tc>
        <w:tc>
          <w:tcPr>
            <w:tcW w:type="dxa" w:w="4422"/>
          </w:tcPr>
          <w:p>
            <w:pPr>
              <w:spacing w:before="20" w:after="20" w:line="276" w:lineRule="auto"/>
              <w:ind w:firstLine="0"/>
            </w:pPr>
            <w:r/>
            <w:r>
              <w:rPr>
                <w:rFonts w:ascii="Times New Roman" w:hAnsi="Times New Roman" w:eastAsia="宋体"/>
                <w:b w:val="0"/>
                <w:i w:val="0"/>
                <w:sz w:val="21"/>
              </w:rPr>
              <w:t>删除属于危险操作须二次确认，确认后删除该条出库记录；出库记录的可编辑字段白名单与删除后的库存回滚方向尚待业务方确认</w:t>
            </w:r>
          </w:p>
        </w:tc>
      </w:tr>
    </w:tbl>
    <w:p>
      <w:pPr>
        <w:spacing w:before="0" w:after="0" w:line="240" w:lineRule="auto"/>
      </w:pP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tblGrid>
      <w:tr>
        <w:trPr>
          <w:tblHeader w:val="true"/>
        </w:trPr>
        <w:tc>
          <w:tcPr>
            <w:tcW w:type="dxa" w:w="1247"/>
            <w:shd w:val="clear" w:color="auto" w:fill="DCE6F1"/>
          </w:tcPr>
          <w:p>
            <w:pPr>
              <w:spacing w:before="40" w:after="40" w:line="276" w:lineRule="auto"/>
              <w:jc w:val="center"/>
            </w:pPr>
            <w:r/>
            <w:r>
              <w:rPr>
                <w:rFonts w:ascii="Times New Roman" w:hAnsi="Times New Roman" w:eastAsia="黑体"/>
                <w:b/>
                <w:i w:val="0"/>
                <w:sz w:val="19"/>
              </w:rPr>
              <w:t>页面</w:t>
            </w:r>
          </w:p>
        </w:tc>
        <w:tc>
          <w:tcPr>
            <w:tcW w:type="dxa" w:w="1474"/>
            <w:shd w:val="clear" w:color="auto" w:fill="DCE6F1"/>
          </w:tcPr>
          <w:p>
            <w:pPr>
              <w:spacing w:before="40" w:after="40" w:line="276" w:lineRule="auto"/>
              <w:jc w:val="center"/>
            </w:pPr>
            <w:r/>
            <w:r>
              <w:rPr>
                <w:rFonts w:ascii="Times New Roman" w:hAnsi="Times New Roman" w:eastAsia="黑体"/>
                <w:b/>
                <w:i w:val="0"/>
                <w:sz w:val="19"/>
              </w:rPr>
              <w:t>文件</w:t>
            </w:r>
          </w:p>
        </w:tc>
        <w:tc>
          <w:tcPr>
            <w:tcW w:type="dxa" w:w="1134"/>
            <w:shd w:val="clear" w:color="auto" w:fill="DCE6F1"/>
          </w:tcPr>
          <w:p>
            <w:pPr>
              <w:spacing w:before="40" w:after="40" w:line="276" w:lineRule="auto"/>
              <w:jc w:val="center"/>
            </w:pPr>
            <w:r/>
            <w:r>
              <w:rPr>
                <w:rFonts w:ascii="Times New Roman" w:hAnsi="Times New Roman" w:eastAsia="黑体"/>
                <w:b/>
                <w:i w:val="0"/>
                <w:sz w:val="19"/>
              </w:rPr>
              <w:t>入口</w:t>
            </w:r>
          </w:p>
        </w:tc>
        <w:tc>
          <w:tcPr>
            <w:tcW w:type="dxa" w:w="2041"/>
            <w:shd w:val="clear" w:color="auto" w:fill="DCE6F1"/>
          </w:tcPr>
          <w:p>
            <w:pPr>
              <w:spacing w:before="40" w:after="40" w:line="276" w:lineRule="auto"/>
              <w:jc w:val="center"/>
            </w:pPr>
            <w:r/>
            <w:r>
              <w:rPr>
                <w:rFonts w:ascii="Times New Roman" w:hAnsi="Times New Roman" w:eastAsia="黑体"/>
                <w:b/>
                <w:i w:val="0"/>
                <w:sz w:val="19"/>
              </w:rPr>
              <w:t>主要区块</w:t>
            </w:r>
          </w:p>
        </w:tc>
        <w:tc>
          <w:tcPr>
            <w:tcW w:type="dxa" w:w="1701"/>
            <w:shd w:val="clear" w:color="auto" w:fill="DCE6F1"/>
          </w:tcPr>
          <w:p>
            <w:pPr>
              <w:spacing w:before="40" w:after="40" w:line="276" w:lineRule="auto"/>
              <w:jc w:val="center"/>
            </w:pPr>
            <w:r/>
            <w:r>
              <w:rPr>
                <w:rFonts w:ascii="Times New Roman" w:hAnsi="Times New Roman" w:eastAsia="黑体"/>
                <w:b/>
                <w:i w:val="0"/>
                <w:sz w:val="19"/>
              </w:rPr>
              <w:t>主要操作</w:t>
            </w:r>
          </w:p>
        </w:tc>
        <w:tc>
          <w:tcPr>
            <w:tcW w:type="dxa" w:w="1474"/>
            <w:shd w:val="clear" w:color="auto" w:fill="DCE6F1"/>
          </w:tcPr>
          <w:p>
            <w:pPr>
              <w:spacing w:before="40" w:after="40" w:line="276" w:lineRule="auto"/>
              <w:jc w:val="center"/>
            </w:pPr>
            <w:r/>
            <w:r>
              <w:rPr>
                <w:rFonts w:ascii="Times New Roman" w:hAnsi="Times New Roman" w:eastAsia="黑体"/>
                <w:b/>
                <w:i w:val="0"/>
                <w:sz w:val="19"/>
              </w:rPr>
              <w:t>跳转</w:t>
            </w:r>
          </w:p>
        </w:tc>
      </w:tr>
      <w:tr>
        <w:tc>
          <w:tcPr>
            <w:tcW w:type="dxa" w:w="1247"/>
          </w:tcPr>
          <w:p>
            <w:pPr>
              <w:spacing w:before="20" w:after="20" w:line="276" w:lineRule="auto"/>
              <w:ind w:firstLine="0"/>
            </w:pPr>
            <w:r/>
            <w:r>
              <w:rPr>
                <w:rFonts w:ascii="Times New Roman" w:hAnsi="Times New Roman" w:eastAsia="宋体"/>
                <w:b w:val="0"/>
                <w:i w:val="0"/>
                <w:sz w:val="19"/>
              </w:rPr>
              <w:t>出库记录（列表）</w:t>
            </w:r>
          </w:p>
        </w:tc>
        <w:tc>
          <w:tcPr>
            <w:tcW w:type="dxa" w:w="1474"/>
          </w:tcPr>
          <w:p>
            <w:pPr>
              <w:spacing w:before="20" w:after="20" w:line="276" w:lineRule="auto"/>
              <w:ind w:firstLine="0"/>
            </w:pPr>
            <w:r/>
            <w:r>
              <w:rPr>
                <w:rFonts w:ascii="Times New Roman" w:hAnsi="Times New Roman" w:eastAsia="宋体"/>
                <w:b w:val="0"/>
                <w:i w:val="0"/>
                <w:sz w:val="19"/>
              </w:rPr>
              <w:t>warehouse-outbound.html</w:t>
            </w:r>
          </w:p>
        </w:tc>
        <w:tc>
          <w:tcPr>
            <w:tcW w:type="dxa" w:w="1134"/>
          </w:tcPr>
          <w:p>
            <w:pPr>
              <w:spacing w:before="20" w:after="20" w:line="276" w:lineRule="auto"/>
              <w:ind w:firstLine="0"/>
            </w:pPr>
            <w:r/>
            <w:r>
              <w:rPr>
                <w:rFonts w:ascii="Times New Roman" w:hAnsi="Times New Roman" w:eastAsia="宋体"/>
                <w:b w:val="0"/>
                <w:i w:val="0"/>
                <w:sz w:val="19"/>
              </w:rPr>
              <w:t>仓储管理 → 出库管理</w:t>
            </w:r>
          </w:p>
        </w:tc>
        <w:tc>
          <w:tcPr>
            <w:tcW w:type="dxa" w:w="2041"/>
          </w:tcPr>
          <w:p>
            <w:pPr>
              <w:spacing w:before="20" w:after="20" w:line="276" w:lineRule="auto"/>
              <w:ind w:firstLine="0"/>
            </w:pPr>
            <w:r/>
            <w:r>
              <w:rPr>
                <w:rFonts w:ascii="Times New Roman" w:hAnsi="Times New Roman" w:eastAsia="宋体"/>
                <w:b w:val="0"/>
                <w:i w:val="0"/>
                <w:sz w:val="19"/>
              </w:rPr>
              <w:t>9 个字段筛选区、运输方式 4 分栏（全部、汽运、火运、船运）、11 列表格、分页</w:t>
            </w:r>
          </w:p>
        </w:tc>
        <w:tc>
          <w:tcPr>
            <w:tcW w:type="dxa" w:w="1701"/>
          </w:tcPr>
          <w:p>
            <w:pPr>
              <w:spacing w:before="20" w:after="20" w:line="276" w:lineRule="auto"/>
              <w:ind w:firstLine="0"/>
            </w:pPr>
            <w:r/>
            <w:r>
              <w:rPr>
                <w:rFonts w:ascii="Times New Roman" w:hAnsi="Times New Roman" w:eastAsia="宋体"/>
                <w:b w:val="0"/>
                <w:i w:val="0"/>
                <w:sz w:val="19"/>
              </w:rPr>
              <w:t>新增出库、搜索筛选、数据导出；行内：详情、编辑、删除</w:t>
            </w:r>
          </w:p>
        </w:tc>
        <w:tc>
          <w:tcPr>
            <w:tcW w:type="dxa" w:w="1474"/>
          </w:tcPr>
          <w:p>
            <w:pPr>
              <w:spacing w:before="20" w:after="20" w:line="276" w:lineRule="auto"/>
              <w:ind w:firstLine="0"/>
            </w:pPr>
            <w:r/>
            <w:r>
              <w:rPr>
                <w:rFonts w:ascii="Times New Roman" w:hAnsi="Times New Roman" w:eastAsia="宋体"/>
                <w:b w:val="0"/>
                <w:i w:val="0"/>
                <w:sz w:val="19"/>
              </w:rPr>
              <w:t>新增出库 → 新增销售出库表单；详情 → 出库信息详情页</w:t>
            </w:r>
          </w:p>
        </w:tc>
      </w:tr>
      <w:tr>
        <w:tc>
          <w:tcPr>
            <w:tcW w:type="dxa" w:w="1247"/>
          </w:tcPr>
          <w:p>
            <w:pPr>
              <w:spacing w:before="20" w:after="20" w:line="276" w:lineRule="auto"/>
              <w:ind w:firstLine="0"/>
            </w:pPr>
            <w:r/>
            <w:r>
              <w:rPr>
                <w:rFonts w:ascii="Times New Roman" w:hAnsi="Times New Roman" w:eastAsia="宋体"/>
                <w:b w:val="0"/>
                <w:i w:val="0"/>
                <w:sz w:val="19"/>
              </w:rPr>
              <w:t>新增销售出库（表单）</w:t>
            </w:r>
          </w:p>
        </w:tc>
        <w:tc>
          <w:tcPr>
            <w:tcW w:type="dxa" w:w="1474"/>
          </w:tcPr>
          <w:p>
            <w:pPr>
              <w:spacing w:before="20" w:after="20" w:line="276" w:lineRule="auto"/>
              <w:ind w:firstLine="0"/>
            </w:pPr>
            <w:r/>
            <w:r>
              <w:rPr>
                <w:rFonts w:ascii="Times New Roman" w:hAnsi="Times New Roman" w:eastAsia="宋体"/>
                <w:b w:val="0"/>
                <w:i w:val="0"/>
                <w:sz w:val="19"/>
              </w:rPr>
              <w:t>warehouse-outbound-new.html</w:t>
            </w:r>
          </w:p>
        </w:tc>
        <w:tc>
          <w:tcPr>
            <w:tcW w:type="dxa" w:w="1134"/>
          </w:tcPr>
          <w:p>
            <w:pPr>
              <w:spacing w:before="20" w:after="20" w:line="276" w:lineRule="auto"/>
              <w:ind w:firstLine="0"/>
            </w:pPr>
            <w:r/>
            <w:r>
              <w:rPr>
                <w:rFonts w:ascii="Times New Roman" w:hAnsi="Times New Roman" w:eastAsia="宋体"/>
                <w:b w:val="0"/>
                <w:i w:val="0"/>
                <w:sz w:val="19"/>
              </w:rPr>
              <w:t>出库记录列表 → 新增出库</w:t>
            </w:r>
          </w:p>
        </w:tc>
        <w:tc>
          <w:tcPr>
            <w:tcW w:type="dxa" w:w="2041"/>
          </w:tcPr>
          <w:p>
            <w:pPr>
              <w:spacing w:before="20" w:after="20" w:line="276" w:lineRule="auto"/>
              <w:ind w:firstLine="0"/>
            </w:pPr>
            <w:r/>
            <w:r>
              <w:rPr>
                <w:rFonts w:ascii="Times New Roman" w:hAnsi="Times New Roman" w:eastAsia="宋体"/>
                <w:b w:val="0"/>
                <w:i w:val="0"/>
                <w:sz w:val="19"/>
              </w:rPr>
              <w:t>合同信息 9 字段、业务线信息 3 字段、放货指令 6 列表格、出库信息 12 格、备注、附件信息 2 行与上传格式提示</w:t>
            </w:r>
          </w:p>
        </w:tc>
        <w:tc>
          <w:tcPr>
            <w:tcW w:type="dxa" w:w="1701"/>
          </w:tcPr>
          <w:p>
            <w:pPr>
              <w:spacing w:before="20" w:after="20" w:line="276" w:lineRule="auto"/>
              <w:ind w:firstLine="0"/>
            </w:pPr>
            <w:r/>
            <w:r>
              <w:rPr>
                <w:rFonts w:ascii="Times New Roman" w:hAnsi="Times New Roman" w:eastAsia="宋体"/>
                <w:b w:val="0"/>
                <w:i w:val="0"/>
                <w:sz w:val="19"/>
              </w:rPr>
              <w:t>提交、取消、附件上传与移除、附件提示条收起展开</w:t>
            </w:r>
          </w:p>
        </w:tc>
        <w:tc>
          <w:tcPr>
            <w:tcW w:type="dxa" w:w="1474"/>
          </w:tcPr>
          <w:p>
            <w:pPr>
              <w:spacing w:before="20" w:after="20" w:line="276" w:lineRule="auto"/>
              <w:ind w:firstLine="0"/>
            </w:pPr>
            <w:r/>
            <w:r>
              <w:rPr>
                <w:rFonts w:ascii="Times New Roman" w:hAnsi="Times New Roman" w:eastAsia="宋体"/>
                <w:b w:val="0"/>
                <w:i w:val="0"/>
                <w:sz w:val="19"/>
              </w:rPr>
              <w:t>提交成功 → 出库记录列表</w:t>
            </w:r>
          </w:p>
        </w:tc>
      </w:tr>
      <w:tr>
        <w:tc>
          <w:tcPr>
            <w:tcW w:type="dxa" w:w="1247"/>
          </w:tcPr>
          <w:p>
            <w:pPr>
              <w:spacing w:before="20" w:after="20" w:line="276" w:lineRule="auto"/>
              <w:ind w:firstLine="0"/>
            </w:pPr>
            <w:r/>
            <w:r>
              <w:rPr>
                <w:rFonts w:ascii="Times New Roman" w:hAnsi="Times New Roman" w:eastAsia="宋体"/>
                <w:b w:val="0"/>
                <w:i w:val="0"/>
                <w:sz w:val="19"/>
              </w:rPr>
              <w:t>出库信息详情</w:t>
            </w:r>
          </w:p>
        </w:tc>
        <w:tc>
          <w:tcPr>
            <w:tcW w:type="dxa" w:w="1474"/>
          </w:tcPr>
          <w:p>
            <w:pPr>
              <w:spacing w:before="20" w:after="20" w:line="276" w:lineRule="auto"/>
              <w:ind w:firstLine="0"/>
            </w:pPr>
            <w:r/>
            <w:r>
              <w:rPr>
                <w:rFonts w:ascii="Times New Roman" w:hAnsi="Times New Roman" w:eastAsia="宋体"/>
                <w:b w:val="0"/>
                <w:i w:val="0"/>
                <w:sz w:val="19"/>
              </w:rPr>
              <w:t>warehouse-outbound-detail.html</w:t>
            </w:r>
          </w:p>
        </w:tc>
        <w:tc>
          <w:tcPr>
            <w:tcW w:type="dxa" w:w="1134"/>
          </w:tcPr>
          <w:p>
            <w:pPr>
              <w:spacing w:before="20" w:after="20" w:line="276" w:lineRule="auto"/>
              <w:ind w:firstLine="0"/>
            </w:pPr>
            <w:r/>
            <w:r>
              <w:rPr>
                <w:rFonts w:ascii="Times New Roman" w:hAnsi="Times New Roman" w:eastAsia="宋体"/>
                <w:b w:val="0"/>
                <w:i w:val="0"/>
                <w:sz w:val="19"/>
              </w:rPr>
              <w:t>出库记录列表行内 → 详情</w:t>
            </w:r>
          </w:p>
        </w:tc>
        <w:tc>
          <w:tcPr>
            <w:tcW w:type="dxa" w:w="2041"/>
          </w:tcPr>
          <w:p>
            <w:pPr>
              <w:spacing w:before="20" w:after="20" w:line="276" w:lineRule="auto"/>
              <w:ind w:firstLine="0"/>
            </w:pPr>
            <w:r/>
            <w:r>
              <w:rPr>
                <w:rFonts w:ascii="Times New Roman" w:hAnsi="Times New Roman" w:eastAsia="宋体"/>
                <w:b w:val="0"/>
                <w:i w:val="0"/>
                <w:sz w:val="19"/>
              </w:rPr>
              <w:t>页头信息条、出库信息与放货指令区块、附件 3 列 3 行、页签二出库明细、页签三操作记录</w:t>
            </w:r>
          </w:p>
        </w:tc>
        <w:tc>
          <w:tcPr>
            <w:tcW w:type="dxa" w:w="1701"/>
          </w:tcPr>
          <w:p>
            <w:pPr>
              <w:spacing w:before="20" w:after="20" w:line="276" w:lineRule="auto"/>
              <w:ind w:firstLine="0"/>
            </w:pPr>
            <w:r/>
            <w:r>
              <w:rPr>
                <w:rFonts w:ascii="Times New Roman" w:hAnsi="Times New Roman" w:eastAsia="宋体"/>
                <w:b w:val="0"/>
                <w:i w:val="0"/>
                <w:sz w:val="19"/>
              </w:rPr>
              <w:t>复制、下载附件、数据导出</w:t>
            </w:r>
          </w:p>
        </w:tc>
        <w:tc>
          <w:tcPr>
            <w:tcW w:type="dxa" w:w="1474"/>
          </w:tcPr>
          <w:p>
            <w:pPr>
              <w:spacing w:before="20" w:after="20" w:line="276" w:lineRule="auto"/>
              <w:ind w:firstLine="0"/>
            </w:pPr>
            <w:r/>
            <w:r>
              <w:rPr>
                <w:rFonts w:ascii="Times New Roman" w:hAnsi="Times New Roman" w:eastAsia="宋体"/>
                <w:b w:val="0"/>
                <w:i w:val="0"/>
                <w:sz w:val="19"/>
              </w:rPr>
              <w:t>复制与下载为页面内动作，不发生页面跳转</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4.21.5　数据关系</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474"/>
            <w:shd w:val="clear" w:color="auto" w:fill="DCE6F1"/>
          </w:tcPr>
          <w:p>
            <w:pPr>
              <w:spacing w:before="40" w:after="40" w:line="276" w:lineRule="auto"/>
              <w:jc w:val="center"/>
            </w:pPr>
            <w:r/>
            <w:r>
              <w:rPr>
                <w:rFonts w:ascii="Times New Roman" w:hAnsi="Times New Roman" w:eastAsia="黑体"/>
                <w:b/>
                <w:i w:val="0"/>
                <w:sz w:val="21"/>
              </w:rPr>
              <w:t>业务对象</w:t>
            </w:r>
          </w:p>
        </w:tc>
        <w:tc>
          <w:tcPr>
            <w:tcW w:type="dxa" w:w="4195"/>
            <w:shd w:val="clear" w:color="auto" w:fill="DCE6F1"/>
          </w:tcPr>
          <w:p>
            <w:pPr>
              <w:spacing w:before="40" w:after="40" w:line="276" w:lineRule="auto"/>
              <w:jc w:val="center"/>
            </w:pPr>
            <w:r/>
            <w:r>
              <w:rPr>
                <w:rFonts w:ascii="Times New Roman" w:hAnsi="Times New Roman" w:eastAsia="黑体"/>
                <w:b/>
                <w:i w:val="0"/>
                <w:sz w:val="21"/>
              </w:rPr>
              <w:t>关键字段与口径</w:t>
            </w:r>
          </w:p>
        </w:tc>
        <w:tc>
          <w:tcPr>
            <w:tcW w:type="dxa" w:w="3402"/>
            <w:shd w:val="clear" w:color="auto" w:fill="DCE6F1"/>
          </w:tcPr>
          <w:p>
            <w:pPr>
              <w:spacing w:before="40" w:after="40" w:line="276" w:lineRule="auto"/>
              <w:jc w:val="center"/>
            </w:pPr>
            <w:r/>
            <w:r>
              <w:rPr>
                <w:rFonts w:ascii="Times New Roman" w:hAnsi="Times New Roman" w:eastAsia="黑体"/>
                <w:b/>
                <w:i w:val="0"/>
                <w:sz w:val="21"/>
              </w:rPr>
              <w:t>与其他对象的关系</w:t>
            </w:r>
          </w:p>
        </w:tc>
      </w:tr>
      <w:tr>
        <w:tc>
          <w:tcPr>
            <w:tcW w:type="dxa" w:w="1474"/>
          </w:tcPr>
          <w:p>
            <w:pPr>
              <w:spacing w:before="20" w:after="20" w:line="276" w:lineRule="auto"/>
              <w:ind w:firstLine="0"/>
            </w:pPr>
            <w:r/>
            <w:r>
              <w:rPr>
                <w:rFonts w:ascii="Times New Roman" w:hAnsi="Times New Roman" w:eastAsia="宋体"/>
                <w:b w:val="0"/>
                <w:i w:val="0"/>
                <w:sz w:val="21"/>
              </w:rPr>
              <w:t>出库登记单</w:t>
            </w:r>
          </w:p>
        </w:tc>
        <w:tc>
          <w:tcPr>
            <w:tcW w:type="dxa" w:w="4195"/>
          </w:tcPr>
          <w:p>
            <w:pPr>
              <w:spacing w:before="20" w:after="20" w:line="276" w:lineRule="auto"/>
              <w:ind w:firstLine="0"/>
            </w:pPr>
            <w:r/>
            <w:r>
              <w:rPr>
                <w:rFonts w:ascii="Times New Roman" w:hAnsi="Times New Roman" w:eastAsia="宋体"/>
                <w:b w:val="0"/>
                <w:i w:val="0"/>
                <w:sz w:val="21"/>
              </w:rPr>
              <w:t>出库单号：varchar(32)，取号规则待确认</w:t>
            </w:r>
            <w:r>
              <w:br/>
            </w:r>
            <w:r>
              <w:rPr>
                <w:rFonts w:ascii="Times New Roman" w:hAnsi="Times New Roman" w:eastAsia="宋体"/>
                <w:b w:val="0"/>
                <w:i w:val="0"/>
                <w:sz w:val="21"/>
              </w:rPr>
              <w:t>出库数量：decimal(20,4)</w:t>
            </w:r>
            <w:r>
              <w:br/>
            </w:r>
            <w:r>
              <w:rPr>
                <w:rFonts w:ascii="Times New Roman" w:hAnsi="Times New Roman" w:eastAsia="宋体"/>
                <w:b w:val="0"/>
                <w:i w:val="0"/>
                <w:sz w:val="21"/>
              </w:rPr>
              <w:t>出库单价与出库货值：出库货值只读，由数量与单价自动计算</w:t>
            </w:r>
            <w:r>
              <w:br/>
            </w:r>
            <w:r>
              <w:rPr>
                <w:rFonts w:ascii="Times New Roman" w:hAnsi="Times New Roman" w:eastAsia="宋体"/>
                <w:b w:val="0"/>
                <w:i w:val="0"/>
                <w:sz w:val="21"/>
              </w:rPr>
              <w:t>出库日期：date，必填</w:t>
            </w:r>
            <w:r>
              <w:br/>
            </w:r>
            <w:r>
              <w:rPr>
                <w:rFonts w:ascii="Times New Roman" w:hAnsi="Times New Roman" w:eastAsia="宋体"/>
                <w:b w:val="0"/>
                <w:i w:val="0"/>
                <w:sz w:val="21"/>
              </w:rPr>
              <w:t>出库类型：sales 销售出库、transfer 调拨出库、loss 损耗；列表筛选项为销售出库与盘亏出库</w:t>
            </w:r>
            <w:r>
              <w:br/>
            </w:r>
            <w:r>
              <w:rPr>
                <w:rFonts w:ascii="Times New Roman" w:hAnsi="Times New Roman" w:eastAsia="宋体"/>
                <w:b w:val="0"/>
                <w:i w:val="0"/>
                <w:sz w:val="21"/>
              </w:rPr>
              <w:t>运输方式：truck 汽运、rail 火运、ship 船运</w:t>
            </w:r>
            <w:r>
              <w:br/>
            </w:r>
            <w:r>
              <w:rPr>
                <w:rFonts w:ascii="Times New Roman" w:hAnsi="Times New Roman" w:eastAsia="宋体"/>
                <w:b w:val="0"/>
                <w:i w:val="0"/>
                <w:sz w:val="21"/>
              </w:rPr>
              <w:t>出库车数：汽运与火运必填，船运无此字段</w:t>
            </w:r>
            <w:r>
              <w:br/>
            </w:r>
            <w:r>
              <w:rPr>
                <w:rFonts w:ascii="Times New Roman" w:hAnsi="Times New Roman" w:eastAsia="宋体"/>
                <w:b w:val="0"/>
                <w:i w:val="0"/>
                <w:sz w:val="21"/>
              </w:rPr>
              <w:t>关联放货指令：出库单关联放货指令编号</w:t>
            </w:r>
            <w:r>
              <w:br/>
            </w:r>
            <w:r>
              <w:rPr>
                <w:rFonts w:ascii="Times New Roman" w:hAnsi="Times New Roman" w:eastAsia="宋体"/>
                <w:b w:val="0"/>
                <w:i w:val="0"/>
                <w:sz w:val="21"/>
              </w:rPr>
              <w:t>收货地址：带定位图标的必填字段</w:t>
            </w:r>
            <w:r>
              <w:br/>
            </w:r>
            <w:r>
              <w:rPr>
                <w:rFonts w:ascii="Times New Roman" w:hAnsi="Times New Roman" w:eastAsia="宋体"/>
                <w:b w:val="0"/>
                <w:i w:val="0"/>
                <w:sz w:val="21"/>
              </w:rPr>
              <w:t>状态：pending 待登记、draft 草稿、wh_review 仓储部审核、outbound_done 已出库、inventory_updated 库存更新、rejected 已驳回</w:t>
            </w:r>
          </w:p>
        </w:tc>
        <w:tc>
          <w:tcPr>
            <w:tcW w:type="dxa" w:w="3402"/>
          </w:tcPr>
          <w:p>
            <w:pPr>
              <w:spacing w:before="20" w:after="20" w:line="276" w:lineRule="auto"/>
              <w:ind w:firstLine="0"/>
            </w:pPr>
            <w:r/>
            <w:r>
              <w:rPr>
                <w:rFonts w:ascii="Times New Roman" w:hAnsi="Times New Roman" w:eastAsia="宋体"/>
                <w:b w:val="0"/>
                <w:i w:val="0"/>
                <w:sz w:val="21"/>
              </w:rPr>
              <w:t>出库单关联销售合同、业务线与放货指令；提交后扣减库存台账并回写合同已发数量与业务线货物进度</w:t>
            </w:r>
          </w:p>
        </w:tc>
      </w:tr>
      <w:tr>
        <w:tc>
          <w:tcPr>
            <w:tcW w:type="dxa" w:w="1474"/>
          </w:tcPr>
          <w:p>
            <w:pPr>
              <w:spacing w:before="20" w:after="20" w:line="276" w:lineRule="auto"/>
              <w:ind w:firstLine="0"/>
            </w:pPr>
            <w:r/>
            <w:r>
              <w:rPr>
                <w:rFonts w:ascii="Times New Roman" w:hAnsi="Times New Roman" w:eastAsia="宋体"/>
                <w:b w:val="0"/>
                <w:i w:val="0"/>
                <w:sz w:val="21"/>
              </w:rPr>
              <w:t>放货指令</w:t>
            </w:r>
          </w:p>
        </w:tc>
        <w:tc>
          <w:tcPr>
            <w:tcW w:type="dxa" w:w="4195"/>
          </w:tcPr>
          <w:p>
            <w:pPr>
              <w:spacing w:before="20" w:after="20" w:line="276" w:lineRule="auto"/>
              <w:ind w:firstLine="0"/>
            </w:pPr>
            <w:r/>
            <w:r>
              <w:rPr>
                <w:rFonts w:ascii="Times New Roman" w:hAnsi="Times New Roman" w:eastAsia="宋体"/>
                <w:b w:val="0"/>
                <w:i w:val="0"/>
                <w:sz w:val="21"/>
              </w:rPr>
              <w:t>放货指令编号、放货日期、放货吨数、已出库吨数</w:t>
            </w:r>
            <w:r>
              <w:br/>
            </w:r>
            <w:r>
              <w:rPr>
                <w:rFonts w:ascii="Times New Roman" w:hAnsi="Times New Roman" w:eastAsia="宋体"/>
                <w:b w:val="0"/>
                <w:i w:val="0"/>
                <w:sz w:val="21"/>
              </w:rPr>
              <w:t>提货联系人姓名、提货联系人电话号码</w:t>
            </w:r>
            <w:r>
              <w:br/>
            </w:r>
            <w:r>
              <w:rPr>
                <w:rFonts w:ascii="Times New Roman" w:hAnsi="Times New Roman" w:eastAsia="宋体"/>
                <w:b w:val="0"/>
                <w:i w:val="0"/>
                <w:sz w:val="21"/>
              </w:rPr>
              <w:t>放货数量与累计已出库数量：累计已出库量无数据时显示占位符</w:t>
            </w:r>
          </w:p>
        </w:tc>
        <w:tc>
          <w:tcPr>
            <w:tcW w:type="dxa" w:w="3402"/>
          </w:tcPr>
          <w:p>
            <w:pPr>
              <w:spacing w:before="20" w:after="20" w:line="276" w:lineRule="auto"/>
              <w:ind w:firstLine="0"/>
            </w:pPr>
            <w:r/>
            <w:r>
              <w:rPr>
                <w:rFonts w:ascii="Times New Roman" w:hAnsi="Times New Roman" w:eastAsia="宋体"/>
                <w:b w:val="0"/>
                <w:i w:val="0"/>
                <w:sz w:val="21"/>
              </w:rPr>
              <w:t>出库登记必须勾选 1 条放货指令；放货执行完成后由系统联动生成出库登记</w:t>
            </w:r>
          </w:p>
        </w:tc>
      </w:tr>
      <w:tr>
        <w:tc>
          <w:tcPr>
            <w:tcW w:type="dxa" w:w="1474"/>
          </w:tcPr>
          <w:p>
            <w:pPr>
              <w:spacing w:before="20" w:after="20" w:line="276" w:lineRule="auto"/>
              <w:ind w:firstLine="0"/>
            </w:pPr>
            <w:r/>
            <w:r>
              <w:rPr>
                <w:rFonts w:ascii="Times New Roman" w:hAnsi="Times New Roman" w:eastAsia="宋体"/>
                <w:b w:val="0"/>
                <w:i w:val="0"/>
                <w:sz w:val="21"/>
              </w:rPr>
              <w:t>库存台账</w:t>
            </w:r>
          </w:p>
        </w:tc>
        <w:tc>
          <w:tcPr>
            <w:tcW w:type="dxa" w:w="4195"/>
          </w:tcPr>
          <w:p>
            <w:pPr>
              <w:spacing w:before="20" w:after="20" w:line="276" w:lineRule="auto"/>
              <w:ind w:firstLine="0"/>
            </w:pPr>
            <w:r/>
            <w:r>
              <w:rPr>
                <w:rFonts w:ascii="Times New Roman" w:hAnsi="Times New Roman" w:eastAsia="宋体"/>
                <w:b w:val="0"/>
                <w:i w:val="0"/>
                <w:sz w:val="21"/>
              </w:rPr>
              <w:t>库存总量：decimal(20,4)</w:t>
            </w:r>
            <w:r>
              <w:br/>
            </w:r>
            <w:r>
              <w:rPr>
                <w:rFonts w:ascii="Times New Roman" w:hAnsi="Times New Roman" w:eastAsia="宋体"/>
                <w:b w:val="0"/>
                <w:i w:val="0"/>
                <w:sz w:val="21"/>
              </w:rPr>
              <w:t>锁定数量：已下单但未出库的数量</w:t>
            </w:r>
            <w:r>
              <w:br/>
            </w:r>
            <w:r>
              <w:rPr>
                <w:rFonts w:ascii="Times New Roman" w:hAnsi="Times New Roman" w:eastAsia="宋体"/>
                <w:b w:val="0"/>
                <w:i w:val="0"/>
                <w:sz w:val="21"/>
              </w:rPr>
              <w:t>可用数量：库存总量减锁定数量</w:t>
            </w:r>
            <w:r>
              <w:br/>
            </w:r>
            <w:r>
              <w:rPr>
                <w:rFonts w:ascii="Times New Roman" w:hAnsi="Times New Roman" w:eastAsia="宋体"/>
                <w:b w:val="0"/>
                <w:i w:val="0"/>
                <w:sz w:val="21"/>
              </w:rPr>
              <w:t>最后出库日期</w:t>
            </w:r>
          </w:p>
        </w:tc>
        <w:tc>
          <w:tcPr>
            <w:tcW w:type="dxa" w:w="3402"/>
          </w:tcPr>
          <w:p>
            <w:pPr>
              <w:spacing w:before="20" w:after="20" w:line="276" w:lineRule="auto"/>
              <w:ind w:firstLine="0"/>
            </w:pPr>
            <w:r/>
            <w:r>
              <w:rPr>
                <w:rFonts w:ascii="Times New Roman" w:hAnsi="Times New Roman" w:eastAsia="宋体"/>
                <w:b w:val="0"/>
                <w:i w:val="0"/>
                <w:sz w:val="21"/>
              </w:rPr>
              <w:t>出库完成后按出库数量扣减实际库存；出库数量超过可用数量或扣减后为负时阻止提交</w:t>
            </w:r>
          </w:p>
        </w:tc>
      </w:tr>
      <w:tr>
        <w:tc>
          <w:tcPr>
            <w:tcW w:type="dxa" w:w="1474"/>
          </w:tcPr>
          <w:p>
            <w:pPr>
              <w:spacing w:before="20" w:after="20" w:line="276" w:lineRule="auto"/>
              <w:ind w:firstLine="0"/>
            </w:pPr>
            <w:r/>
            <w:r>
              <w:rPr>
                <w:rFonts w:ascii="Times New Roman" w:hAnsi="Times New Roman" w:eastAsia="宋体"/>
                <w:b w:val="0"/>
                <w:i w:val="0"/>
                <w:sz w:val="21"/>
              </w:rPr>
              <w:t>出库附件单据</w:t>
            </w:r>
          </w:p>
        </w:tc>
        <w:tc>
          <w:tcPr>
            <w:tcW w:type="dxa" w:w="4195"/>
          </w:tcPr>
          <w:p>
            <w:pPr>
              <w:spacing w:before="20" w:after="20" w:line="276" w:lineRule="auto"/>
              <w:ind w:firstLine="0"/>
            </w:pPr>
            <w:r/>
            <w:r>
              <w:rPr>
                <w:rFonts w:ascii="Times New Roman" w:hAnsi="Times New Roman" w:eastAsia="宋体"/>
                <w:b w:val="0"/>
                <w:i w:val="0"/>
                <w:sz w:val="21"/>
              </w:rPr>
              <w:t>附件类型：磅单、化验凭证，均为必传</w:t>
            </w:r>
            <w:r>
              <w:br/>
            </w:r>
            <w:r>
              <w:rPr>
                <w:rFonts w:ascii="Times New Roman" w:hAnsi="Times New Roman" w:eastAsia="宋体"/>
                <w:b w:val="0"/>
                <w:i w:val="0"/>
                <w:sz w:val="21"/>
              </w:rPr>
              <w:t>支持格式：jpg、jpeg、png、pdf</w:t>
            </w:r>
            <w:r>
              <w:br/>
            </w:r>
            <w:r>
              <w:rPr>
                <w:rFonts w:ascii="Times New Roman" w:hAnsi="Times New Roman" w:eastAsia="宋体"/>
                <w:b w:val="0"/>
                <w:i w:val="0"/>
                <w:sz w:val="21"/>
              </w:rPr>
              <w:t>文件大小：单个附件不得超过 100M</w:t>
            </w:r>
            <w:r>
              <w:br/>
            </w:r>
            <w:r>
              <w:rPr>
                <w:rFonts w:ascii="Times New Roman" w:hAnsi="Times New Roman" w:eastAsia="宋体"/>
                <w:b w:val="0"/>
                <w:i w:val="0"/>
                <w:sz w:val="21"/>
              </w:rPr>
              <w:t>已上传文件名：超长文件名按 320 宽度截断</w:t>
            </w:r>
          </w:p>
        </w:tc>
        <w:tc>
          <w:tcPr>
            <w:tcW w:type="dxa" w:w="3402"/>
          </w:tcPr>
          <w:p>
            <w:pPr>
              <w:spacing w:before="20" w:after="20" w:line="276" w:lineRule="auto"/>
              <w:ind w:firstLine="0"/>
            </w:pPr>
            <w:r/>
            <w:r>
              <w:rPr>
                <w:rFonts w:ascii="Times New Roman" w:hAnsi="Times New Roman" w:eastAsia="宋体"/>
                <w:b w:val="0"/>
                <w:i w:val="0"/>
                <w:sz w:val="21"/>
              </w:rPr>
              <w:t>与出库单绑定，详情页只展示已上传的附件</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4.21.6　角色权限与数据权限</w:t>
      </w:r>
    </w:p>
    <w:p>
      <w:pPr>
        <w:spacing w:before="0" w:after="120" w:line="360" w:lineRule="auto"/>
      </w:pPr>
      <w:r>
        <w:rPr>
          <w:rFonts w:ascii="Times New Roman" w:hAnsi="Times New Roman" w:eastAsia="宋体"/>
          <w:b w:val="0"/>
          <w:i w:val="0"/>
          <w:sz w:val="24"/>
        </w:rPr>
        <w:t>本期为系统全量权限（业务方裁决 D17 / QA-012）；下表角色为典型使用角色，非权限分级。本期仅交付 WEB 端（业务方裁决 D9 / QA-004），仓储现场装卸与出库登记在 PC 端网页完成，不提供移动端或巡库 App。</w:t>
      </w:r>
    </w:p>
    <w:p>
      <w:pPr>
        <w:spacing w:before="0" w:after="80" w:line="360" w:lineRule="auto"/>
      </w:pPr>
      <w:r>
        <w:rPr>
          <w:rFonts w:ascii="Times New Roman" w:hAnsi="Times New Roman" w:eastAsia="宋体"/>
          <w:b w:val="0"/>
          <w:i w:val="0"/>
          <w:sz w:val="24"/>
        </w:rPr>
        <w:t>数据可见性：按单据归属与业务筛选查看；手机号、统一社会信用代码等敏感字段默认打码，手动点击查看完整值且查看行为留痕。</w:t>
      </w:r>
    </w:p>
    <w:p>
      <w:pPr>
        <w:pStyle w:val="Heading3"/>
        <w:keepNext/>
        <w:spacing w:before="160" w:after="80" w:line="312" w:lineRule="auto"/>
        <w:ind w:firstLine="0"/>
      </w:pPr>
      <w:r>
        <w:rPr>
          <w:rFonts w:ascii="Times New Roman" w:hAnsi="Times New Roman" w:eastAsia="黑体"/>
          <w:b/>
          <w:i w:val="0"/>
          <w:sz w:val="24"/>
        </w:rPr>
        <w:t>4.21.7　业务流程与页面</w:t>
      </w:r>
    </w:p>
    <w:p>
      <w:pPr>
        <w:spacing w:before="120" w:after="60"/>
        <w:ind w:firstLine="0"/>
        <w:jc w:val="center"/>
      </w:pPr>
      <w:r>
        <w:drawing>
          <wp:inline xmlns:a="http://schemas.openxmlformats.org/drawingml/2006/main" xmlns:pic="http://schemas.openxmlformats.org/drawingml/2006/picture">
            <wp:extent cx="5616000" cy="1371724"/>
            <wp:docPr id="45" name="Picture 45"/>
            <wp:cNvGraphicFramePr>
              <a:graphicFrameLocks noChangeAspect="1"/>
            </wp:cNvGraphicFramePr>
            <a:graphic>
              <a:graphicData uri="http://schemas.openxmlformats.org/drawingml/2006/picture">
                <pic:pic>
                  <pic:nvPicPr>
                    <pic:cNvPr id="0" name="mermaid-warehouse-outbound.png"/>
                    <pic:cNvPicPr/>
                  </pic:nvPicPr>
                  <pic:blipFill>
                    <a:blip r:embed="rId55"/>
                    <a:stretch>
                      <a:fillRect/>
                    </a:stretch>
                  </pic:blipFill>
                  <pic:spPr>
                    <a:xfrm>
                      <a:off x="0" y="0"/>
                      <a:ext cx="5616000" cy="1371724"/>
                    </a:xfrm>
                    <a:prstGeom prst="rect"/>
                  </pic:spPr>
                </pic:pic>
              </a:graphicData>
            </a:graphic>
          </wp:inline>
        </w:drawing>
      </w:r>
    </w:p>
    <w:p>
      <w:pPr>
        <w:spacing w:before="0" w:after="200" w:line="240" w:lineRule="auto"/>
        <w:ind w:firstLine="0"/>
        <w:jc w:val="center"/>
      </w:pPr>
      <w:r>
        <w:rPr>
          <w:rFonts w:ascii="Times New Roman" w:hAnsi="Times New Roman" w:eastAsia="宋体"/>
          <w:b w:val="0"/>
          <w:i w:val="0"/>
          <w:sz w:val="21"/>
        </w:rPr>
        <w:t>图 4-21-1　出库管理 主业务流程</w:t>
      </w:r>
    </w:p>
    <w:p>
      <w:pPr>
        <w:spacing w:before="0" w:after="60" w:line="360" w:lineRule="auto"/>
      </w:pPr>
      <w:r>
        <w:rPr>
          <w:rFonts w:ascii="Times New Roman" w:hAnsi="Times New Roman" w:eastAsia="宋体"/>
          <w:b/>
          <w:i w:val="0"/>
          <w:sz w:val="24"/>
        </w:rPr>
        <w:t>主流程步骤：</w:t>
      </w:r>
    </w:p>
    <w:p>
      <w:pPr>
        <w:spacing w:before="0" w:after="60" w:line="336" w:lineRule="auto"/>
        <w:ind w:left="510" w:hanging="510"/>
      </w:pPr>
      <w:r>
        <w:rPr>
          <w:rFonts w:ascii="Times New Roman" w:hAnsi="Times New Roman" w:eastAsia="宋体"/>
          <w:b w:val="0"/>
          <w:i w:val="0"/>
          <w:sz w:val="24"/>
        </w:rPr>
        <w:t>1. 收发货模块生成放货指令，触发出库登记</w:t>
      </w:r>
    </w:p>
    <w:p>
      <w:pPr>
        <w:spacing w:before="0" w:after="60" w:line="336" w:lineRule="auto"/>
        <w:ind w:left="510" w:hanging="510"/>
      </w:pPr>
      <w:r>
        <w:rPr>
          <w:rFonts w:ascii="Times New Roman" w:hAnsi="Times New Roman" w:eastAsia="宋体"/>
          <w:b w:val="0"/>
          <w:i w:val="0"/>
          <w:sz w:val="24"/>
        </w:rPr>
        <w:t>2. 在出库记录列表点击「新增出库」</w:t>
      </w:r>
    </w:p>
    <w:p>
      <w:pPr>
        <w:spacing w:before="0" w:after="60" w:line="336" w:lineRule="auto"/>
        <w:ind w:left="510" w:hanging="510"/>
      </w:pPr>
      <w:r>
        <w:rPr>
          <w:rFonts w:ascii="Times New Roman" w:hAnsi="Times New Roman" w:eastAsia="宋体"/>
          <w:b w:val="0"/>
          <w:i w:val="0"/>
          <w:sz w:val="24"/>
        </w:rPr>
        <w:t>3. 表单带出合同信息（销售合同）与业务线信息（上游采购合同编号）</w:t>
      </w:r>
    </w:p>
    <w:p>
      <w:pPr>
        <w:spacing w:before="0" w:after="60" w:line="336" w:lineRule="auto"/>
        <w:ind w:left="510" w:hanging="510"/>
      </w:pPr>
      <w:r>
        <w:rPr>
          <w:rFonts w:ascii="Times New Roman" w:hAnsi="Times New Roman" w:eastAsia="宋体"/>
          <w:b w:val="0"/>
          <w:i w:val="0"/>
          <w:sz w:val="24"/>
        </w:rPr>
        <w:t>4. 在放货指令区块单选 1 条本次出库依据的放货指令记录</w:t>
      </w:r>
    </w:p>
    <w:p>
      <w:pPr>
        <w:spacing w:before="0" w:after="60" w:line="336" w:lineRule="auto"/>
        <w:ind w:left="510" w:hanging="510"/>
      </w:pPr>
      <w:r>
        <w:rPr>
          <w:rFonts w:ascii="Times New Roman" w:hAnsi="Times New Roman" w:eastAsia="宋体"/>
          <w:b w:val="0"/>
          <w:i w:val="0"/>
          <w:sz w:val="24"/>
        </w:rPr>
        <w:t>5. 录入出库数量、出库单价、出库日期、品名、发货单位、收货单位与收货地址，出库货值自动计算</w:t>
      </w:r>
    </w:p>
    <w:p>
      <w:pPr>
        <w:spacing w:before="0" w:after="60" w:line="336" w:lineRule="auto"/>
        <w:ind w:left="510" w:hanging="510"/>
      </w:pPr>
      <w:r>
        <w:rPr>
          <w:rFonts w:ascii="Times New Roman" w:hAnsi="Times New Roman" w:eastAsia="宋体"/>
          <w:b w:val="0"/>
          <w:i w:val="0"/>
          <w:sz w:val="24"/>
        </w:rPr>
        <w:t>6. 选择运输方式：汽运与火运填写出库车数，船运不出车数并只登记仓房货位</w:t>
      </w:r>
    </w:p>
    <w:p>
      <w:pPr>
        <w:spacing w:before="0" w:after="60" w:line="336" w:lineRule="auto"/>
        <w:ind w:left="510" w:hanging="510"/>
      </w:pPr>
      <w:r>
        <w:rPr>
          <w:rFonts w:ascii="Times New Roman" w:hAnsi="Times New Roman" w:eastAsia="宋体"/>
          <w:b w:val="0"/>
          <w:i w:val="0"/>
          <w:sz w:val="24"/>
        </w:rPr>
        <w:t>7. 填写备注说明，选填且不超过 200 字</w:t>
      </w:r>
    </w:p>
    <w:p>
      <w:pPr>
        <w:spacing w:before="0" w:after="60" w:line="336" w:lineRule="auto"/>
        <w:ind w:left="510" w:hanging="510"/>
      </w:pPr>
      <w:r>
        <w:rPr>
          <w:rFonts w:ascii="Times New Roman" w:hAnsi="Times New Roman" w:eastAsia="宋体"/>
          <w:b w:val="0"/>
          <w:i w:val="0"/>
          <w:sz w:val="24"/>
        </w:rPr>
        <w:t>8. 上传磅单与化验凭证，两类均为必传，单个附件不超过 100M</w:t>
      </w:r>
    </w:p>
    <w:p>
      <w:pPr>
        <w:spacing w:before="0" w:after="60" w:line="336" w:lineRule="auto"/>
        <w:ind w:left="510" w:hanging="510"/>
      </w:pPr>
      <w:r>
        <w:rPr>
          <w:rFonts w:ascii="Times New Roman" w:hAnsi="Times New Roman" w:eastAsia="宋体"/>
          <w:b w:val="0"/>
          <w:i w:val="0"/>
          <w:sz w:val="24"/>
        </w:rPr>
        <w:t>9. 提交，系统校验已选放货指令、出库数量不超过库存可用数量且扣减后库存不为负</w:t>
      </w:r>
    </w:p>
    <w:p>
      <w:pPr>
        <w:spacing w:before="0" w:after="60" w:line="336" w:lineRule="auto"/>
        <w:ind w:left="510" w:hanging="510"/>
      </w:pPr>
      <w:r>
        <w:rPr>
          <w:rFonts w:ascii="Times New Roman" w:hAnsi="Times New Roman" w:eastAsia="宋体"/>
          <w:b w:val="0"/>
          <w:i w:val="0"/>
          <w:sz w:val="24"/>
        </w:rPr>
        <w:t>10. 出库完成，更新库存台账、合同已发数量与业务线货物进度</w:t>
      </w:r>
    </w:p>
    <w:p>
      <w:pPr>
        <w:spacing w:before="120" w:after="60" w:line="360" w:lineRule="auto"/>
      </w:pPr>
      <w:r>
        <w:rPr>
          <w:rFonts w:ascii="Times New Roman" w:hAnsi="Times New Roman" w:eastAsia="宋体"/>
          <w:b/>
          <w:i w:val="0"/>
          <w:sz w:val="24"/>
        </w:rPr>
        <w:t>异常分支：</w:t>
      </w:r>
    </w:p>
    <w:tbl>
      <w:tblPr>
        <w:tblStyle w:val="TableGrid"/>
        <w:tblW w:type="auto" w:w="0"/>
        <w:jc w:val="center"/>
        <w:tblLayout w:type="fixed"/>
        <w:tblLook w:firstColumn="1" w:firstRow="1" w:lastColumn="0" w:lastRow="0" w:noHBand="0" w:noVBand="1" w:val="04A0"/>
      </w:tblPr>
      <w:tblGrid>
        <w:gridCol w:w="4479"/>
        <w:gridCol w:w="4479"/>
      </w:tblGrid>
      <w:tr>
        <w:trPr>
          <w:tblHeader w:val="true"/>
        </w:trPr>
        <w:tc>
          <w:tcPr>
            <w:tcW w:type="dxa" w:w="2835"/>
            <w:shd w:val="clear" w:color="auto" w:fill="DCE6F1"/>
          </w:tcPr>
          <w:p>
            <w:pPr>
              <w:spacing w:before="40" w:after="40" w:line="276" w:lineRule="auto"/>
              <w:jc w:val="center"/>
            </w:pPr>
            <w:r/>
            <w:r>
              <w:rPr>
                <w:rFonts w:ascii="Times New Roman" w:hAnsi="Times New Roman" w:eastAsia="黑体"/>
                <w:b/>
                <w:i w:val="0"/>
                <w:sz w:val="21"/>
              </w:rPr>
              <w:t>异常场景</w:t>
            </w:r>
          </w:p>
        </w:tc>
        <w:tc>
          <w:tcPr>
            <w:tcW w:type="dxa" w:w="6236"/>
            <w:shd w:val="clear" w:color="auto" w:fill="DCE6F1"/>
          </w:tcPr>
          <w:p>
            <w:pPr>
              <w:spacing w:before="40" w:after="40" w:line="276" w:lineRule="auto"/>
              <w:jc w:val="center"/>
            </w:pPr>
            <w:r/>
            <w:r>
              <w:rPr>
                <w:rFonts w:ascii="Times New Roman" w:hAnsi="Times New Roman" w:eastAsia="黑体"/>
                <w:b/>
                <w:i w:val="0"/>
                <w:sz w:val="21"/>
              </w:rPr>
              <w:t>系统处理</w:t>
            </w:r>
          </w:p>
        </w:tc>
      </w:tr>
      <w:tr>
        <w:tc>
          <w:tcPr>
            <w:tcW w:type="dxa" w:w="2835"/>
          </w:tcPr>
          <w:p>
            <w:pPr>
              <w:spacing w:before="20" w:after="20" w:line="276" w:lineRule="auto"/>
              <w:ind w:firstLine="0"/>
            </w:pPr>
            <w:r/>
            <w:r>
              <w:rPr>
                <w:rFonts w:ascii="Times New Roman" w:hAnsi="Times New Roman" w:eastAsia="宋体"/>
                <w:b w:val="0"/>
                <w:i w:val="0"/>
                <w:sz w:val="21"/>
              </w:rPr>
              <w:t>出库数量超过库存可用数量</w:t>
            </w:r>
          </w:p>
        </w:tc>
        <w:tc>
          <w:tcPr>
            <w:tcW w:type="dxa" w:w="6236"/>
          </w:tcPr>
          <w:p>
            <w:pPr>
              <w:spacing w:before="20" w:after="20" w:line="276" w:lineRule="auto"/>
              <w:ind w:firstLine="0"/>
            </w:pPr>
            <w:r/>
            <w:r>
              <w:rPr>
                <w:rFonts w:ascii="Times New Roman" w:hAnsi="Times New Roman" w:eastAsia="宋体"/>
                <w:b w:val="0"/>
                <w:i w:val="0"/>
                <w:sz w:val="21"/>
              </w:rPr>
              <w:t>阻止提交，提示「出库数量 X 超过库存可用数量 Y」</w:t>
            </w:r>
          </w:p>
        </w:tc>
      </w:tr>
      <w:tr>
        <w:tc>
          <w:tcPr>
            <w:tcW w:type="dxa" w:w="2835"/>
          </w:tcPr>
          <w:p>
            <w:pPr>
              <w:spacing w:before="20" w:after="20" w:line="276" w:lineRule="auto"/>
              <w:ind w:firstLine="0"/>
            </w:pPr>
            <w:r/>
            <w:r>
              <w:rPr>
                <w:rFonts w:ascii="Times New Roman" w:hAnsi="Times New Roman" w:eastAsia="宋体"/>
                <w:b w:val="0"/>
                <w:i w:val="0"/>
                <w:sz w:val="21"/>
              </w:rPr>
              <w:t>扣减后库存为负</w:t>
            </w:r>
          </w:p>
        </w:tc>
        <w:tc>
          <w:tcPr>
            <w:tcW w:type="dxa" w:w="6236"/>
          </w:tcPr>
          <w:p>
            <w:pPr>
              <w:spacing w:before="20" w:after="20" w:line="276" w:lineRule="auto"/>
              <w:ind w:firstLine="0"/>
            </w:pPr>
            <w:r/>
            <w:r>
              <w:rPr>
                <w:rFonts w:ascii="Times New Roman" w:hAnsi="Times New Roman" w:eastAsia="宋体"/>
                <w:b w:val="0"/>
                <w:i w:val="0"/>
                <w:sz w:val="21"/>
              </w:rPr>
              <w:t>阻止提交，提示「出库后库存 X &lt; 0，不允许出库」</w:t>
            </w:r>
          </w:p>
        </w:tc>
      </w:tr>
      <w:tr>
        <w:tc>
          <w:tcPr>
            <w:tcW w:type="dxa" w:w="2835"/>
          </w:tcPr>
          <w:p>
            <w:pPr>
              <w:spacing w:before="20" w:after="20" w:line="276" w:lineRule="auto"/>
              <w:ind w:firstLine="0"/>
            </w:pPr>
            <w:r/>
            <w:r>
              <w:rPr>
                <w:rFonts w:ascii="Times New Roman" w:hAnsi="Times New Roman" w:eastAsia="宋体"/>
                <w:b w:val="0"/>
                <w:i w:val="0"/>
                <w:sz w:val="21"/>
              </w:rPr>
              <w:t>未勾选放货指令记录</w:t>
            </w:r>
          </w:p>
        </w:tc>
        <w:tc>
          <w:tcPr>
            <w:tcW w:type="dxa" w:w="6236"/>
          </w:tcPr>
          <w:p>
            <w:pPr>
              <w:spacing w:before="20" w:after="20" w:line="276" w:lineRule="auto"/>
              <w:ind w:firstLine="0"/>
            </w:pPr>
            <w:r/>
            <w:r>
              <w:rPr>
                <w:rFonts w:ascii="Times New Roman" w:hAnsi="Times New Roman" w:eastAsia="宋体"/>
                <w:b w:val="0"/>
                <w:i w:val="0"/>
                <w:sz w:val="21"/>
              </w:rPr>
              <w:t>提交时拦截并提示请选择放货指令</w:t>
            </w:r>
          </w:p>
        </w:tc>
      </w:tr>
      <w:tr>
        <w:tc>
          <w:tcPr>
            <w:tcW w:type="dxa" w:w="2835"/>
          </w:tcPr>
          <w:p>
            <w:pPr>
              <w:spacing w:before="20" w:after="20" w:line="276" w:lineRule="auto"/>
              <w:ind w:firstLine="0"/>
            </w:pPr>
            <w:r/>
            <w:r>
              <w:rPr>
                <w:rFonts w:ascii="Times New Roman" w:hAnsi="Times New Roman" w:eastAsia="宋体"/>
                <w:b w:val="0"/>
                <w:i w:val="0"/>
                <w:sz w:val="21"/>
              </w:rPr>
              <w:t>运输方式为船运时仍填写出库车数</w:t>
            </w:r>
          </w:p>
        </w:tc>
        <w:tc>
          <w:tcPr>
            <w:tcW w:type="dxa" w:w="6236"/>
          </w:tcPr>
          <w:p>
            <w:pPr>
              <w:spacing w:before="20" w:after="20" w:line="276" w:lineRule="auto"/>
              <w:ind w:firstLine="0"/>
            </w:pPr>
            <w:r/>
            <w:r>
              <w:rPr>
                <w:rFonts w:ascii="Times New Roman" w:hAnsi="Times New Roman" w:eastAsia="宋体"/>
                <w:b w:val="0"/>
                <w:i w:val="0"/>
                <w:sz w:val="21"/>
              </w:rPr>
              <w:t>切换到船运即隐藏出库车数并清空已填值</w:t>
            </w:r>
          </w:p>
        </w:tc>
      </w:tr>
      <w:tr>
        <w:tc>
          <w:tcPr>
            <w:tcW w:type="dxa" w:w="2835"/>
          </w:tcPr>
          <w:p>
            <w:pPr>
              <w:spacing w:before="20" w:after="20" w:line="276" w:lineRule="auto"/>
              <w:ind w:firstLine="0"/>
            </w:pPr>
            <w:r/>
            <w:r>
              <w:rPr>
                <w:rFonts w:ascii="Times New Roman" w:hAnsi="Times New Roman" w:eastAsia="宋体"/>
                <w:b w:val="0"/>
                <w:i w:val="0"/>
                <w:sz w:val="21"/>
              </w:rPr>
              <w:t>附件格式不符或单个附件超过 100M</w:t>
            </w:r>
          </w:p>
        </w:tc>
        <w:tc>
          <w:tcPr>
            <w:tcW w:type="dxa" w:w="6236"/>
          </w:tcPr>
          <w:p>
            <w:pPr>
              <w:spacing w:before="20" w:after="20" w:line="276" w:lineRule="auto"/>
              <w:ind w:firstLine="0"/>
            </w:pPr>
            <w:r/>
            <w:r>
              <w:rPr>
                <w:rFonts w:ascii="Times New Roman" w:hAnsi="Times New Roman" w:eastAsia="宋体"/>
                <w:b w:val="0"/>
                <w:i w:val="0"/>
                <w:sz w:val="21"/>
              </w:rPr>
              <w:t>按格式白名单校验并拦截，提示单个附件大小不得超过 100M</w:t>
            </w:r>
          </w:p>
        </w:tc>
      </w:tr>
    </w:tbl>
    <w:p>
      <w:pPr>
        <w:spacing w:before="0" w:after="0" w:line="240" w:lineRule="auto"/>
      </w:pPr>
    </w:p>
    <w:p>
      <w:pPr>
        <w:spacing w:before="120" w:after="60"/>
        <w:ind w:firstLine="0"/>
        <w:jc w:val="center"/>
      </w:pPr>
      <w:r>
        <w:drawing>
          <wp:inline xmlns:a="http://schemas.openxmlformats.org/drawingml/2006/main" xmlns:pic="http://schemas.openxmlformats.org/drawingml/2006/picture">
            <wp:extent cx="5616000" cy="3334500"/>
            <wp:docPr id="46" name="Picture 46"/>
            <wp:cNvGraphicFramePr>
              <a:graphicFrameLocks noChangeAspect="1"/>
            </wp:cNvGraphicFramePr>
            <a:graphic>
              <a:graphicData uri="http://schemas.openxmlformats.org/drawingml/2006/picture">
                <pic:pic>
                  <pic:nvPicPr>
                    <pic:cNvPr id="0" name="warehouse-outbound.png"/>
                    <pic:cNvPicPr/>
                  </pic:nvPicPr>
                  <pic:blipFill>
                    <a:blip r:embed="rId56"/>
                    <a:stretch>
                      <a:fillRect/>
                    </a:stretch>
                  </pic:blipFill>
                  <pic:spPr>
                    <a:xfrm>
                      <a:off x="0" y="0"/>
                      <a:ext cx="5616000" cy="3334500"/>
                    </a:xfrm>
                    <a:prstGeom prst="rect"/>
                  </pic:spPr>
                </pic:pic>
              </a:graphicData>
            </a:graphic>
          </wp:inline>
        </w:drawing>
      </w:r>
    </w:p>
    <w:p>
      <w:pPr>
        <w:spacing w:before="0" w:after="200" w:line="240" w:lineRule="auto"/>
        <w:ind w:firstLine="0"/>
        <w:jc w:val="center"/>
      </w:pPr>
      <w:r>
        <w:rPr>
          <w:rFonts w:ascii="Times New Roman" w:hAnsi="Times New Roman" w:eastAsia="宋体"/>
          <w:b w:val="0"/>
          <w:i w:val="0"/>
          <w:sz w:val="21"/>
        </w:rPr>
        <w:t>图 4-21-2　出库管理 原型页面</w:t>
      </w:r>
    </w:p>
    <w:p>
      <w:pPr>
        <w:spacing w:before="80" w:after="60" w:line="360" w:lineRule="auto"/>
      </w:pPr>
      <w:r>
        <w:rPr>
          <w:rFonts w:ascii="Times New Roman" w:hAnsi="Times New Roman" w:eastAsia="宋体"/>
          <w:b/>
          <w:i w:val="0"/>
          <w:sz w:val="24"/>
        </w:rPr>
        <w:t>页面级说明：</w:t>
      </w: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tblGrid>
      <w:tr>
        <w:trPr>
          <w:tblHeader w:val="true"/>
        </w:trPr>
        <w:tc>
          <w:tcPr>
            <w:tcW w:type="dxa" w:w="1178"/>
            <w:shd w:val="clear" w:color="auto" w:fill="DCE6F1"/>
          </w:tcPr>
          <w:p>
            <w:pPr>
              <w:spacing w:before="40" w:after="40" w:line="276" w:lineRule="auto"/>
              <w:jc w:val="center"/>
            </w:pPr>
            <w:r/>
            <w:r>
              <w:rPr>
                <w:rFonts w:ascii="Times New Roman" w:hAnsi="Times New Roman" w:eastAsia="黑体"/>
                <w:b/>
                <w:i w:val="0"/>
                <w:sz w:val="19"/>
              </w:rPr>
              <w:t>页面</w:t>
            </w:r>
          </w:p>
        </w:tc>
        <w:tc>
          <w:tcPr>
            <w:tcW w:type="dxa" w:w="1531"/>
            <w:shd w:val="clear" w:color="auto" w:fill="DCE6F1"/>
          </w:tcPr>
          <w:p>
            <w:pPr>
              <w:spacing w:before="40" w:after="40" w:line="276" w:lineRule="auto"/>
              <w:jc w:val="center"/>
            </w:pPr>
            <w:r/>
            <w:r>
              <w:rPr>
                <w:rFonts w:ascii="Times New Roman" w:hAnsi="Times New Roman" w:eastAsia="黑体"/>
                <w:b/>
                <w:i w:val="0"/>
                <w:sz w:val="19"/>
              </w:rPr>
              <w:t>原型文件</w:t>
            </w:r>
          </w:p>
        </w:tc>
        <w:tc>
          <w:tcPr>
            <w:tcW w:type="dxa" w:w="1119"/>
            <w:shd w:val="clear" w:color="auto" w:fill="DCE6F1"/>
          </w:tcPr>
          <w:p>
            <w:pPr>
              <w:spacing w:before="40" w:after="40" w:line="276" w:lineRule="auto"/>
              <w:jc w:val="center"/>
            </w:pPr>
            <w:r/>
            <w:r>
              <w:rPr>
                <w:rFonts w:ascii="Times New Roman" w:hAnsi="Times New Roman" w:eastAsia="黑体"/>
                <w:b/>
                <w:i w:val="0"/>
                <w:sz w:val="19"/>
              </w:rPr>
              <w:t>进入方式</w:t>
            </w:r>
          </w:p>
        </w:tc>
        <w:tc>
          <w:tcPr>
            <w:tcW w:type="dxa" w:w="2062"/>
            <w:shd w:val="clear" w:color="auto" w:fill="DCE6F1"/>
          </w:tcPr>
          <w:p>
            <w:pPr>
              <w:spacing w:before="40" w:after="40" w:line="276" w:lineRule="auto"/>
              <w:jc w:val="center"/>
            </w:pPr>
            <w:r/>
            <w:r>
              <w:rPr>
                <w:rFonts w:ascii="Times New Roman" w:hAnsi="Times New Roman" w:eastAsia="黑体"/>
                <w:b/>
                <w:i w:val="0"/>
                <w:sz w:val="19"/>
              </w:rPr>
              <w:t>关键区块</w:t>
            </w:r>
          </w:p>
        </w:tc>
        <w:tc>
          <w:tcPr>
            <w:tcW w:type="dxa" w:w="1767"/>
            <w:shd w:val="clear" w:color="auto" w:fill="DCE6F1"/>
          </w:tcPr>
          <w:p>
            <w:pPr>
              <w:spacing w:before="40" w:after="40" w:line="276" w:lineRule="auto"/>
              <w:jc w:val="center"/>
            </w:pPr>
            <w:r/>
            <w:r>
              <w:rPr>
                <w:rFonts w:ascii="Times New Roman" w:hAnsi="Times New Roman" w:eastAsia="黑体"/>
                <w:b/>
                <w:i w:val="0"/>
                <w:sz w:val="19"/>
              </w:rPr>
              <w:t>主要按钮与行为</w:t>
            </w:r>
          </w:p>
        </w:tc>
        <w:tc>
          <w:tcPr>
            <w:tcW w:type="dxa" w:w="1414"/>
            <w:shd w:val="clear" w:color="auto" w:fill="DCE6F1"/>
          </w:tcPr>
          <w:p>
            <w:pPr>
              <w:spacing w:before="40" w:after="40" w:line="276" w:lineRule="auto"/>
              <w:jc w:val="center"/>
            </w:pPr>
            <w:r/>
            <w:r>
              <w:rPr>
                <w:rFonts w:ascii="Times New Roman" w:hAnsi="Times New Roman" w:eastAsia="黑体"/>
                <w:b/>
                <w:i w:val="0"/>
                <w:sz w:val="19"/>
              </w:rPr>
              <w:t>跳转去向</w:t>
            </w:r>
          </w:p>
        </w:tc>
      </w:tr>
      <w:tr>
        <w:tc>
          <w:tcPr>
            <w:tcW w:type="dxa" w:w="1178"/>
          </w:tcPr>
          <w:p>
            <w:pPr>
              <w:spacing w:before="20" w:after="20" w:line="276" w:lineRule="auto"/>
              <w:ind w:firstLine="0"/>
            </w:pPr>
            <w:r/>
            <w:r>
              <w:rPr>
                <w:rFonts w:ascii="Times New Roman" w:hAnsi="Times New Roman" w:eastAsia="宋体"/>
                <w:b w:val="0"/>
                <w:i w:val="0"/>
                <w:sz w:val="19"/>
              </w:rPr>
              <w:t>出库记录（列表）</w:t>
            </w:r>
          </w:p>
        </w:tc>
        <w:tc>
          <w:tcPr>
            <w:tcW w:type="dxa" w:w="1531"/>
          </w:tcPr>
          <w:p>
            <w:pPr>
              <w:spacing w:before="20" w:after="20" w:line="276" w:lineRule="auto"/>
              <w:ind w:firstLine="0"/>
            </w:pPr>
            <w:r/>
            <w:r>
              <w:rPr>
                <w:rFonts w:ascii="Times New Roman" w:hAnsi="Times New Roman" w:eastAsia="宋体"/>
                <w:b w:val="0"/>
                <w:i w:val="0"/>
                <w:sz w:val="19"/>
              </w:rPr>
              <w:t>warehouse-outbound.html</w:t>
            </w:r>
          </w:p>
        </w:tc>
        <w:tc>
          <w:tcPr>
            <w:tcW w:type="dxa" w:w="1119"/>
          </w:tcPr>
          <w:p>
            <w:pPr>
              <w:spacing w:before="20" w:after="20" w:line="276" w:lineRule="auto"/>
              <w:ind w:firstLine="0"/>
            </w:pPr>
            <w:r/>
            <w:r>
              <w:rPr>
                <w:rFonts w:ascii="Times New Roman" w:hAnsi="Times New Roman" w:eastAsia="宋体"/>
                <w:b w:val="0"/>
                <w:i w:val="0"/>
                <w:sz w:val="19"/>
              </w:rPr>
              <w:t>仓储管理 → 出库管理</w:t>
            </w:r>
          </w:p>
        </w:tc>
        <w:tc>
          <w:tcPr>
            <w:tcW w:type="dxa" w:w="2062"/>
          </w:tcPr>
          <w:p>
            <w:pPr>
              <w:spacing w:before="20" w:after="20" w:line="276" w:lineRule="auto"/>
              <w:ind w:firstLine="0"/>
            </w:pPr>
            <w:r/>
            <w:r>
              <w:rPr>
                <w:rFonts w:ascii="Times New Roman" w:hAnsi="Times New Roman" w:eastAsia="宋体"/>
                <w:b w:val="0"/>
                <w:i w:val="0"/>
                <w:sz w:val="19"/>
              </w:rPr>
              <w:t>9 个字段筛选区、运输方式 4 分栏（全部、汽运、火运、船运）、11 列表格、分页</w:t>
            </w:r>
          </w:p>
        </w:tc>
        <w:tc>
          <w:tcPr>
            <w:tcW w:type="dxa" w:w="1767"/>
          </w:tcPr>
          <w:p>
            <w:pPr>
              <w:spacing w:before="20" w:after="20" w:line="276" w:lineRule="auto"/>
              <w:ind w:firstLine="0"/>
            </w:pPr>
            <w:r/>
            <w:r>
              <w:rPr>
                <w:rFonts w:ascii="Times New Roman" w:hAnsi="Times New Roman" w:eastAsia="宋体"/>
                <w:b w:val="0"/>
                <w:i w:val="0"/>
                <w:sz w:val="19"/>
              </w:rPr>
              <w:t>新增出库、搜索筛选、数据导出；行内：详情、编辑、删除</w:t>
            </w:r>
          </w:p>
        </w:tc>
        <w:tc>
          <w:tcPr>
            <w:tcW w:type="dxa" w:w="1414"/>
          </w:tcPr>
          <w:p>
            <w:pPr>
              <w:spacing w:before="20" w:after="20" w:line="276" w:lineRule="auto"/>
              <w:ind w:firstLine="0"/>
            </w:pPr>
            <w:r/>
            <w:r>
              <w:rPr>
                <w:rFonts w:ascii="Times New Roman" w:hAnsi="Times New Roman" w:eastAsia="宋体"/>
                <w:b w:val="0"/>
                <w:i w:val="0"/>
                <w:sz w:val="19"/>
              </w:rPr>
              <w:t>新增出库 → 新增销售出库表单；详情 → 出库信息详情页</w:t>
            </w:r>
          </w:p>
        </w:tc>
      </w:tr>
      <w:tr>
        <w:tc>
          <w:tcPr>
            <w:tcW w:type="dxa" w:w="1178"/>
          </w:tcPr>
          <w:p>
            <w:pPr>
              <w:spacing w:before="20" w:after="20" w:line="276" w:lineRule="auto"/>
              <w:ind w:firstLine="0"/>
            </w:pPr>
            <w:r/>
            <w:r>
              <w:rPr>
                <w:rFonts w:ascii="Times New Roman" w:hAnsi="Times New Roman" w:eastAsia="宋体"/>
                <w:b w:val="0"/>
                <w:i w:val="0"/>
                <w:sz w:val="19"/>
              </w:rPr>
              <w:t>新增销售出库（表单）</w:t>
            </w:r>
          </w:p>
        </w:tc>
        <w:tc>
          <w:tcPr>
            <w:tcW w:type="dxa" w:w="1531"/>
          </w:tcPr>
          <w:p>
            <w:pPr>
              <w:spacing w:before="20" w:after="20" w:line="276" w:lineRule="auto"/>
              <w:ind w:firstLine="0"/>
            </w:pPr>
            <w:r/>
            <w:r>
              <w:rPr>
                <w:rFonts w:ascii="Times New Roman" w:hAnsi="Times New Roman" w:eastAsia="宋体"/>
                <w:b w:val="0"/>
                <w:i w:val="0"/>
                <w:sz w:val="19"/>
              </w:rPr>
              <w:t>warehouse-outbound-new.html</w:t>
            </w:r>
          </w:p>
        </w:tc>
        <w:tc>
          <w:tcPr>
            <w:tcW w:type="dxa" w:w="1119"/>
          </w:tcPr>
          <w:p>
            <w:pPr>
              <w:spacing w:before="20" w:after="20" w:line="276" w:lineRule="auto"/>
              <w:ind w:firstLine="0"/>
            </w:pPr>
            <w:r/>
            <w:r>
              <w:rPr>
                <w:rFonts w:ascii="Times New Roman" w:hAnsi="Times New Roman" w:eastAsia="宋体"/>
                <w:b w:val="0"/>
                <w:i w:val="0"/>
                <w:sz w:val="19"/>
              </w:rPr>
              <w:t>出库记录列表 → 新增出库</w:t>
            </w:r>
          </w:p>
        </w:tc>
        <w:tc>
          <w:tcPr>
            <w:tcW w:type="dxa" w:w="2062"/>
          </w:tcPr>
          <w:p>
            <w:pPr>
              <w:spacing w:before="20" w:after="20" w:line="276" w:lineRule="auto"/>
              <w:ind w:firstLine="0"/>
            </w:pPr>
            <w:r/>
            <w:r>
              <w:rPr>
                <w:rFonts w:ascii="Times New Roman" w:hAnsi="Times New Roman" w:eastAsia="宋体"/>
                <w:b w:val="0"/>
                <w:i w:val="0"/>
                <w:sz w:val="19"/>
              </w:rPr>
              <w:t>合同信息 9 字段、业务线信息 3 字段、放货指令 6 列表格、出库信息 12 格、备注、附件信息 2 行与上传格式提示</w:t>
            </w:r>
          </w:p>
        </w:tc>
        <w:tc>
          <w:tcPr>
            <w:tcW w:type="dxa" w:w="1767"/>
          </w:tcPr>
          <w:p>
            <w:pPr>
              <w:spacing w:before="20" w:after="20" w:line="276" w:lineRule="auto"/>
              <w:ind w:firstLine="0"/>
            </w:pPr>
            <w:r/>
            <w:r>
              <w:rPr>
                <w:rFonts w:ascii="Times New Roman" w:hAnsi="Times New Roman" w:eastAsia="宋体"/>
                <w:b w:val="0"/>
                <w:i w:val="0"/>
                <w:sz w:val="19"/>
              </w:rPr>
              <w:t>提交、取消、附件上传与移除、附件提示条收起展开</w:t>
            </w:r>
          </w:p>
        </w:tc>
        <w:tc>
          <w:tcPr>
            <w:tcW w:type="dxa" w:w="1414"/>
          </w:tcPr>
          <w:p>
            <w:pPr>
              <w:spacing w:before="20" w:after="20" w:line="276" w:lineRule="auto"/>
              <w:ind w:firstLine="0"/>
            </w:pPr>
            <w:r/>
            <w:r>
              <w:rPr>
                <w:rFonts w:ascii="Times New Roman" w:hAnsi="Times New Roman" w:eastAsia="宋体"/>
                <w:b w:val="0"/>
                <w:i w:val="0"/>
                <w:sz w:val="19"/>
              </w:rPr>
              <w:t>提交成功 → 出库记录列表</w:t>
            </w:r>
          </w:p>
        </w:tc>
      </w:tr>
      <w:tr>
        <w:tc>
          <w:tcPr>
            <w:tcW w:type="dxa" w:w="1178"/>
          </w:tcPr>
          <w:p>
            <w:pPr>
              <w:spacing w:before="20" w:after="20" w:line="276" w:lineRule="auto"/>
              <w:ind w:firstLine="0"/>
            </w:pPr>
            <w:r/>
            <w:r>
              <w:rPr>
                <w:rFonts w:ascii="Times New Roman" w:hAnsi="Times New Roman" w:eastAsia="宋体"/>
                <w:b w:val="0"/>
                <w:i w:val="0"/>
                <w:sz w:val="19"/>
              </w:rPr>
              <w:t>出库信息详情</w:t>
            </w:r>
          </w:p>
        </w:tc>
        <w:tc>
          <w:tcPr>
            <w:tcW w:type="dxa" w:w="1531"/>
          </w:tcPr>
          <w:p>
            <w:pPr>
              <w:spacing w:before="20" w:after="20" w:line="276" w:lineRule="auto"/>
              <w:ind w:firstLine="0"/>
            </w:pPr>
            <w:r/>
            <w:r>
              <w:rPr>
                <w:rFonts w:ascii="Times New Roman" w:hAnsi="Times New Roman" w:eastAsia="宋体"/>
                <w:b w:val="0"/>
                <w:i w:val="0"/>
                <w:sz w:val="19"/>
              </w:rPr>
              <w:t>warehouse-outbound-detail.html</w:t>
            </w:r>
          </w:p>
        </w:tc>
        <w:tc>
          <w:tcPr>
            <w:tcW w:type="dxa" w:w="1119"/>
          </w:tcPr>
          <w:p>
            <w:pPr>
              <w:spacing w:before="20" w:after="20" w:line="276" w:lineRule="auto"/>
              <w:ind w:firstLine="0"/>
            </w:pPr>
            <w:r/>
            <w:r>
              <w:rPr>
                <w:rFonts w:ascii="Times New Roman" w:hAnsi="Times New Roman" w:eastAsia="宋体"/>
                <w:b w:val="0"/>
                <w:i w:val="0"/>
                <w:sz w:val="19"/>
              </w:rPr>
              <w:t>出库记录列表行内 → 详情</w:t>
            </w:r>
          </w:p>
        </w:tc>
        <w:tc>
          <w:tcPr>
            <w:tcW w:type="dxa" w:w="2062"/>
          </w:tcPr>
          <w:p>
            <w:pPr>
              <w:spacing w:before="20" w:after="20" w:line="276" w:lineRule="auto"/>
              <w:ind w:firstLine="0"/>
            </w:pPr>
            <w:r/>
            <w:r>
              <w:rPr>
                <w:rFonts w:ascii="Times New Roman" w:hAnsi="Times New Roman" w:eastAsia="宋体"/>
                <w:b w:val="0"/>
                <w:i w:val="0"/>
                <w:sz w:val="19"/>
              </w:rPr>
              <w:t>页头信息条、出库信息与放货指令区块、附件 3 列 3 行、页签二出库明细、页签三操作记录</w:t>
            </w:r>
          </w:p>
        </w:tc>
        <w:tc>
          <w:tcPr>
            <w:tcW w:type="dxa" w:w="1767"/>
          </w:tcPr>
          <w:p>
            <w:pPr>
              <w:spacing w:before="20" w:after="20" w:line="276" w:lineRule="auto"/>
              <w:ind w:firstLine="0"/>
            </w:pPr>
            <w:r/>
            <w:r>
              <w:rPr>
                <w:rFonts w:ascii="Times New Roman" w:hAnsi="Times New Roman" w:eastAsia="宋体"/>
                <w:b w:val="0"/>
                <w:i w:val="0"/>
                <w:sz w:val="19"/>
              </w:rPr>
              <w:t>复制、下载附件、数据导出</w:t>
            </w:r>
          </w:p>
        </w:tc>
        <w:tc>
          <w:tcPr>
            <w:tcW w:type="dxa" w:w="1414"/>
          </w:tcPr>
          <w:p>
            <w:pPr>
              <w:spacing w:before="20" w:after="20" w:line="276" w:lineRule="auto"/>
              <w:ind w:firstLine="0"/>
            </w:pPr>
            <w:r/>
            <w:r>
              <w:rPr>
                <w:rFonts w:ascii="Times New Roman" w:hAnsi="Times New Roman" w:eastAsia="宋体"/>
                <w:b w:val="0"/>
                <w:i w:val="0"/>
                <w:sz w:val="19"/>
              </w:rPr>
              <w:t>复制与下载为页面内动作，不发生页面跳转</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4.21.8　验收标准与待确认项</w:t>
      </w:r>
    </w:p>
    <w:tbl>
      <w:tblPr>
        <w:tblStyle w:val="TableGrid"/>
        <w:tblW w:type="auto" w:w="0"/>
        <w:jc w:val="center"/>
        <w:tblLayout w:type="fixed"/>
        <w:tblLook w:firstColumn="1" w:firstRow="1" w:lastColumn="0" w:lastRow="0" w:noHBand="0" w:noVBand="1" w:val="04A0"/>
      </w:tblPr>
      <w:tblGrid>
        <w:gridCol w:w="4479"/>
        <w:gridCol w:w="4479"/>
      </w:tblGrid>
      <w:tr>
        <w:trPr>
          <w:tblHeader w:val="true"/>
        </w:trPr>
        <w:tc>
          <w:tcPr>
            <w:tcW w:type="dxa" w:w="1701"/>
            <w:shd w:val="clear" w:color="auto" w:fill="DCE6F1"/>
          </w:tcPr>
          <w:p>
            <w:pPr>
              <w:spacing w:before="40" w:after="40" w:line="276" w:lineRule="auto"/>
              <w:jc w:val="center"/>
            </w:pPr>
            <w:r/>
            <w:r>
              <w:rPr>
                <w:rFonts w:ascii="Times New Roman" w:hAnsi="Times New Roman" w:eastAsia="黑体"/>
                <w:b/>
                <w:i w:val="0"/>
                <w:sz w:val="21"/>
              </w:rPr>
              <w:t>功能</w:t>
            </w:r>
          </w:p>
        </w:tc>
        <w:tc>
          <w:tcPr>
            <w:tcW w:type="dxa" w:w="7370"/>
            <w:shd w:val="clear" w:color="auto" w:fill="DCE6F1"/>
          </w:tcPr>
          <w:p>
            <w:pPr>
              <w:spacing w:before="40" w:after="40" w:line="276" w:lineRule="auto"/>
              <w:jc w:val="center"/>
            </w:pPr>
            <w:r/>
            <w:r>
              <w:rPr>
                <w:rFonts w:ascii="Times New Roman" w:hAnsi="Times New Roman" w:eastAsia="黑体"/>
                <w:b/>
                <w:i w:val="0"/>
                <w:sz w:val="21"/>
              </w:rPr>
              <w:t>验收要点（由关键规则转写）</w:t>
            </w:r>
          </w:p>
        </w:tc>
      </w:tr>
      <w:tr>
        <w:tc>
          <w:tcPr>
            <w:tcW w:type="dxa" w:w="1701"/>
          </w:tcPr>
          <w:p>
            <w:pPr>
              <w:spacing w:before="20" w:after="20" w:line="276" w:lineRule="auto"/>
              <w:ind w:firstLine="0"/>
            </w:pPr>
            <w:r/>
            <w:r>
              <w:rPr>
                <w:rFonts w:ascii="Times New Roman" w:hAnsi="Times New Roman" w:eastAsia="宋体"/>
                <w:b w:val="0"/>
                <w:i w:val="0"/>
                <w:sz w:val="21"/>
              </w:rPr>
              <w:t>出库记录列表与运输方式分栏</w:t>
            </w:r>
          </w:p>
        </w:tc>
        <w:tc>
          <w:tcPr>
            <w:tcW w:type="dxa" w:w="7370"/>
          </w:tcPr>
          <w:p>
            <w:pPr>
              <w:spacing w:before="20" w:after="20" w:line="276" w:lineRule="auto"/>
              <w:ind w:firstLine="0"/>
            </w:pPr>
            <w:r/>
            <w:r>
              <w:rPr>
                <w:rFonts w:ascii="Times New Roman" w:hAnsi="Times New Roman" w:eastAsia="宋体"/>
                <w:b w:val="0"/>
                <w:i w:val="0"/>
                <w:sz w:val="21"/>
              </w:rPr>
              <w:t>分栏固定为全部、汽运、火运、船运 4 个且按运输方式过滤；每个分栏显示记录计数；筛选区共 9 个字段：编号、收货单位、出库日期、品类、仓位、货位、关联业务线状态、业务线号、数据类型、出库类型，其中出库类型选项为销售出库与盘亏出库</w:t>
            </w:r>
          </w:p>
        </w:tc>
      </w:tr>
      <w:tr>
        <w:tc>
          <w:tcPr>
            <w:tcW w:type="dxa" w:w="1701"/>
          </w:tcPr>
          <w:p>
            <w:pPr>
              <w:spacing w:before="20" w:after="20" w:line="276" w:lineRule="auto"/>
              <w:ind w:firstLine="0"/>
            </w:pPr>
            <w:r/>
            <w:r>
              <w:rPr>
                <w:rFonts w:ascii="Times New Roman" w:hAnsi="Times New Roman" w:eastAsia="宋体"/>
                <w:b w:val="0"/>
                <w:i w:val="0"/>
                <w:sz w:val="21"/>
              </w:rPr>
              <w:t>新增销售出库表单</w:t>
            </w:r>
          </w:p>
        </w:tc>
        <w:tc>
          <w:tcPr>
            <w:tcW w:type="dxa" w:w="7370"/>
          </w:tcPr>
          <w:p>
            <w:pPr>
              <w:spacing w:before="20" w:after="20" w:line="276" w:lineRule="auto"/>
              <w:ind w:firstLine="0"/>
            </w:pPr>
            <w:r/>
            <w:r>
              <w:rPr>
                <w:rFonts w:ascii="Times New Roman" w:hAnsi="Times New Roman" w:eastAsia="宋体"/>
                <w:b w:val="0"/>
                <w:i w:val="0"/>
                <w:sz w:val="21"/>
              </w:rPr>
              <w:t>区块固定为合同信息 9 字段、业务线信息 3 字段、放货指令、出库信息、备注、附件信息 2 行；备注上限 200 字；运输方式使用下拉选择控件且默认汽运；业务线信息第 3 列为上游采购合同编号</w:t>
            </w:r>
          </w:p>
        </w:tc>
      </w:tr>
      <w:tr>
        <w:tc>
          <w:tcPr>
            <w:tcW w:type="dxa" w:w="1701"/>
          </w:tcPr>
          <w:p>
            <w:pPr>
              <w:spacing w:before="20" w:after="20" w:line="276" w:lineRule="auto"/>
              <w:ind w:firstLine="0"/>
            </w:pPr>
            <w:r/>
            <w:r>
              <w:rPr>
                <w:rFonts w:ascii="Times New Roman" w:hAnsi="Times New Roman" w:eastAsia="宋体"/>
                <w:b w:val="0"/>
                <w:i w:val="0"/>
                <w:sz w:val="21"/>
              </w:rPr>
              <w:t>放货指令单选关联</w:t>
            </w:r>
          </w:p>
        </w:tc>
        <w:tc>
          <w:tcPr>
            <w:tcW w:type="dxa" w:w="7370"/>
          </w:tcPr>
          <w:p>
            <w:pPr>
              <w:spacing w:before="20" w:after="20" w:line="276" w:lineRule="auto"/>
              <w:ind w:firstLine="0"/>
            </w:pPr>
            <w:r/>
            <w:r>
              <w:rPr>
                <w:rFonts w:ascii="Times New Roman" w:hAnsi="Times New Roman" w:eastAsia="宋体"/>
                <w:b w:val="0"/>
                <w:i w:val="0"/>
                <w:sz w:val="21"/>
              </w:rPr>
              <w:t>区块为 6 列表格加单选按钮，放货指令编号、放货日期、放货吨数、已出库吨数、提货联系人姓名、提货联系人电话号码；必须且只能选中 1 条，未选中时提交拦截并提示请选择放货指令</w:t>
            </w:r>
          </w:p>
        </w:tc>
      </w:tr>
      <w:tr>
        <w:tc>
          <w:tcPr>
            <w:tcW w:type="dxa" w:w="1701"/>
          </w:tcPr>
          <w:p>
            <w:pPr>
              <w:spacing w:before="20" w:after="20" w:line="276" w:lineRule="auto"/>
              <w:ind w:firstLine="0"/>
            </w:pPr>
            <w:r/>
            <w:r>
              <w:rPr>
                <w:rFonts w:ascii="Times New Roman" w:hAnsi="Times New Roman" w:eastAsia="宋体"/>
                <w:b w:val="0"/>
                <w:i w:val="0"/>
                <w:sz w:val="21"/>
              </w:rPr>
              <w:t>运输方式与出库车数</w:t>
            </w:r>
          </w:p>
        </w:tc>
        <w:tc>
          <w:tcPr>
            <w:tcW w:type="dxa" w:w="7370"/>
          </w:tcPr>
          <w:p>
            <w:pPr>
              <w:spacing w:before="20" w:after="20" w:line="276" w:lineRule="auto"/>
              <w:ind w:firstLine="0"/>
            </w:pPr>
            <w:r/>
            <w:r>
              <w:rPr>
                <w:rFonts w:ascii="Times New Roman" w:hAnsi="Times New Roman" w:eastAsia="宋体"/>
                <w:b w:val="0"/>
                <w:i w:val="0"/>
                <w:sz w:val="21"/>
              </w:rPr>
              <w:t>运输方式为汽运或火运时出库车数必填；切换为船运时隐藏出库车数并同步清空已填值；船运只登记最重货物存放的仓房与货位，且为选填</w:t>
            </w:r>
          </w:p>
        </w:tc>
      </w:tr>
      <w:tr>
        <w:tc>
          <w:tcPr>
            <w:tcW w:type="dxa" w:w="1701"/>
          </w:tcPr>
          <w:p>
            <w:pPr>
              <w:spacing w:before="20" w:after="20" w:line="276" w:lineRule="auto"/>
              <w:ind w:firstLine="0"/>
            </w:pPr>
            <w:r/>
            <w:r>
              <w:rPr>
                <w:rFonts w:ascii="Times New Roman" w:hAnsi="Times New Roman" w:eastAsia="宋体"/>
                <w:b w:val="0"/>
                <w:i w:val="0"/>
                <w:sz w:val="21"/>
              </w:rPr>
              <w:t>出库货值自动计算</w:t>
            </w:r>
          </w:p>
        </w:tc>
        <w:tc>
          <w:tcPr>
            <w:tcW w:type="dxa" w:w="7370"/>
          </w:tcPr>
          <w:p>
            <w:pPr>
              <w:spacing w:before="20" w:after="20" w:line="276" w:lineRule="auto"/>
              <w:ind w:firstLine="0"/>
            </w:pPr>
            <w:r/>
            <w:r>
              <w:rPr>
                <w:rFonts w:ascii="Times New Roman" w:hAnsi="Times New Roman" w:eastAsia="宋体"/>
                <w:b w:val="0"/>
                <w:i w:val="0"/>
                <w:sz w:val="21"/>
              </w:rPr>
              <w:t>出库货值为只读字段，计算式为出库数量乘以出库单价，不允许手工录入或修改</w:t>
            </w:r>
          </w:p>
        </w:tc>
      </w:tr>
      <w:tr>
        <w:tc>
          <w:tcPr>
            <w:tcW w:type="dxa" w:w="1701"/>
          </w:tcPr>
          <w:p>
            <w:pPr>
              <w:spacing w:before="20" w:after="20" w:line="276" w:lineRule="auto"/>
              <w:ind w:firstLine="0"/>
            </w:pPr>
            <w:r/>
            <w:r>
              <w:rPr>
                <w:rFonts w:ascii="Times New Roman" w:hAnsi="Times New Roman" w:eastAsia="宋体"/>
                <w:b w:val="0"/>
                <w:i w:val="0"/>
                <w:sz w:val="21"/>
              </w:rPr>
              <w:t>出库附件管理</w:t>
            </w:r>
          </w:p>
        </w:tc>
        <w:tc>
          <w:tcPr>
            <w:tcW w:type="dxa" w:w="7370"/>
          </w:tcPr>
          <w:p>
            <w:pPr>
              <w:spacing w:before="20" w:after="20" w:line="276" w:lineRule="auto"/>
              <w:ind w:firstLine="0"/>
            </w:pPr>
            <w:r/>
            <w:r>
              <w:rPr>
                <w:rFonts w:ascii="Times New Roman" w:hAnsi="Times New Roman" w:eastAsia="宋体"/>
                <w:b w:val="0"/>
                <w:i w:val="0"/>
                <w:sz w:val="21"/>
              </w:rPr>
              <w:t>磅单与化验凭证均为必传；每类支持多张附件，格式按各自白名单校验，单个附件大小不得超过 100M；上传区提示条支持收起与展开</w:t>
            </w:r>
          </w:p>
        </w:tc>
      </w:tr>
      <w:tr>
        <w:tc>
          <w:tcPr>
            <w:tcW w:type="dxa" w:w="1701"/>
          </w:tcPr>
          <w:p>
            <w:pPr>
              <w:spacing w:before="20" w:after="20" w:line="276" w:lineRule="auto"/>
              <w:ind w:firstLine="0"/>
            </w:pPr>
            <w:r/>
            <w:r>
              <w:rPr>
                <w:rFonts w:ascii="Times New Roman" w:hAnsi="Times New Roman" w:eastAsia="宋体"/>
                <w:b w:val="0"/>
                <w:i w:val="0"/>
                <w:sz w:val="21"/>
              </w:rPr>
              <w:t>出库详情</w:t>
            </w:r>
          </w:p>
        </w:tc>
        <w:tc>
          <w:tcPr>
            <w:tcW w:type="dxa" w:w="7370"/>
          </w:tcPr>
          <w:p>
            <w:pPr>
              <w:spacing w:before="20" w:after="20" w:line="276" w:lineRule="auto"/>
              <w:ind w:firstLine="0"/>
            </w:pPr>
            <w:r/>
            <w:r>
              <w:rPr>
                <w:rFonts w:ascii="Times New Roman" w:hAnsi="Times New Roman" w:eastAsia="宋体"/>
                <w:b w:val="0"/>
                <w:i w:val="0"/>
                <w:sz w:val="21"/>
              </w:rPr>
              <w:t>固定 3 个页签：出库信息、出库明细、操作记录，默认停留在出库信息；出库信息与附件之间含放货指令区块；详情页只提供复制与下载两类动作</w:t>
            </w:r>
          </w:p>
        </w:tc>
      </w:tr>
      <w:tr>
        <w:tc>
          <w:tcPr>
            <w:tcW w:type="dxa" w:w="1701"/>
          </w:tcPr>
          <w:p>
            <w:pPr>
              <w:spacing w:before="20" w:after="20" w:line="276" w:lineRule="auto"/>
              <w:ind w:firstLine="0"/>
            </w:pPr>
            <w:r/>
            <w:r>
              <w:rPr>
                <w:rFonts w:ascii="Times New Roman" w:hAnsi="Times New Roman" w:eastAsia="宋体"/>
                <w:b w:val="0"/>
                <w:i w:val="0"/>
                <w:sz w:val="21"/>
              </w:rPr>
              <w:t>出库记录编辑与删除</w:t>
            </w:r>
          </w:p>
        </w:tc>
        <w:tc>
          <w:tcPr>
            <w:tcW w:type="dxa" w:w="7370"/>
          </w:tcPr>
          <w:p>
            <w:pPr>
              <w:spacing w:before="20" w:after="20" w:line="276" w:lineRule="auto"/>
              <w:ind w:firstLine="0"/>
            </w:pPr>
            <w:r/>
            <w:r>
              <w:rPr>
                <w:rFonts w:ascii="Times New Roman" w:hAnsi="Times New Roman" w:eastAsia="宋体"/>
                <w:b w:val="0"/>
                <w:i w:val="0"/>
                <w:sz w:val="21"/>
              </w:rPr>
              <w:t>删除属于危险操作须二次确认，确认后删除该条出库记录；出库记录的可编辑字段白名单与删除后的库存回滚方向尚待业务方确认</w:t>
            </w:r>
          </w:p>
        </w:tc>
      </w:tr>
    </w:tbl>
    <w:p>
      <w:pPr>
        <w:spacing w:before="0" w:after="0" w:line="240" w:lineRule="auto"/>
      </w:pPr>
    </w:p>
    <w:p>
      <w:pPr>
        <w:spacing w:before="120" w:after="60" w:line="360" w:lineRule="auto"/>
      </w:pPr>
      <w:r>
        <w:rPr>
          <w:rFonts w:ascii="Times New Roman" w:hAnsi="Times New Roman" w:eastAsia="宋体"/>
          <w:b/>
          <w:i w:val="0"/>
          <w:sz w:val="24"/>
        </w:rPr>
        <w:t>待业务方确认：</w:t>
      </w:r>
    </w:p>
    <w:p>
      <w:pPr>
        <w:spacing w:before="0" w:after="60" w:line="336" w:lineRule="auto"/>
        <w:ind w:left="340" w:firstLine="0"/>
      </w:pPr>
      <w:r>
        <w:rPr>
          <w:rFonts w:ascii="Times New Roman" w:hAnsi="Times New Roman" w:eastAsia="宋体"/>
          <w:b w:val="0"/>
          <w:i w:val="0"/>
          <w:sz w:val="24"/>
        </w:rPr>
        <w:t>· 待业务方确认：出库记录的可编辑字段白名单是仅出库单价还是包含更多字段，以及删除出库记录后的库存回滚方向是回补还是扣减</w:t>
      </w:r>
    </w:p>
    <w:p>
      <w:pPr>
        <w:spacing w:before="0" w:after="60" w:line="336" w:lineRule="auto"/>
        <w:ind w:left="340" w:firstLine="0"/>
      </w:pPr>
      <w:r>
        <w:rPr>
          <w:rFonts w:ascii="Times New Roman" w:hAnsi="Times New Roman" w:eastAsia="宋体"/>
          <w:b w:val="0"/>
          <w:i w:val="0"/>
          <w:sz w:val="24"/>
        </w:rPr>
        <w:t>· 待业务方确认：出库是否保留仓储部审核环节与对应审核按钮，状态枚举中审核与驳回两个节点的存废</w:t>
      </w:r>
    </w:p>
    <w:p>
      <w:pPr>
        <w:spacing w:before="0" w:after="60" w:line="336" w:lineRule="auto"/>
        <w:ind w:left="340" w:firstLine="0"/>
      </w:pPr>
      <w:r>
        <w:rPr>
          <w:rFonts w:ascii="Times New Roman" w:hAnsi="Times New Roman" w:eastAsia="宋体"/>
          <w:b w:val="0"/>
          <w:i w:val="0"/>
          <w:sz w:val="24"/>
        </w:rPr>
        <w:t>· 待业务方确认：出库单号的取号规则、唯一性约束与并发取号策略</w:t>
      </w:r>
    </w:p>
    <w:p>
      <w:pPr>
        <w:spacing w:before="0" w:after="60" w:line="336" w:lineRule="auto"/>
        <w:ind w:left="340" w:firstLine="0"/>
      </w:pPr>
      <w:r>
        <w:rPr>
          <w:rFonts w:ascii="Times New Roman" w:hAnsi="Times New Roman" w:eastAsia="宋体"/>
          <w:b w:val="0"/>
          <w:i w:val="0"/>
          <w:sz w:val="24"/>
        </w:rPr>
        <w:t>· 待业务方确认：出库信息区块标称 12 个字段但实际列出 11 项，第 12 个字段的取值是什么</w:t>
      </w:r>
    </w:p>
    <w:p>
      <w:pPr>
        <w:spacing w:before="0" w:after="60" w:line="336" w:lineRule="auto"/>
        <w:ind w:left="340" w:firstLine="0"/>
      </w:pPr>
      <w:r>
        <w:rPr>
          <w:rFonts w:ascii="Times New Roman" w:hAnsi="Times New Roman" w:eastAsia="宋体"/>
          <w:b w:val="0"/>
          <w:i w:val="0"/>
          <w:sz w:val="24"/>
        </w:rPr>
        <w:t>· 待业务方确认：附件格式不符、超过 100M、上传中断、删除已上传附件四类场景的提示文案与是否需要二次确认</w:t>
      </w:r>
    </w:p>
    <w:p>
      <w:pPr>
        <w:spacing w:before="0" w:after="60" w:line="336" w:lineRule="auto"/>
        <w:ind w:left="340" w:firstLine="0"/>
      </w:pPr>
      <w:r>
        <w:rPr>
          <w:rFonts w:ascii="Times New Roman" w:hAnsi="Times New Roman" w:eastAsia="宋体"/>
          <w:b w:val="0"/>
          <w:i w:val="0"/>
          <w:sz w:val="24"/>
        </w:rPr>
        <w:t>· 待业务方确认：放货指令是否允许对应多条出库记录，已出库吨数由系统回写还是由仓库手工维护</w:t>
      </w:r>
    </w:p>
    <w:p>
      <w:pPr>
        <w:spacing w:before="0" w:after="60" w:line="336" w:lineRule="auto"/>
        <w:ind w:left="340" w:firstLine="0"/>
      </w:pPr>
      <w:r>
        <w:rPr>
          <w:rFonts w:ascii="Times New Roman" w:hAnsi="Times New Roman" w:eastAsia="宋体"/>
          <w:b w:val="0"/>
          <w:i w:val="0"/>
          <w:sz w:val="24"/>
        </w:rPr>
        <w:t>· 待业务方确认：出库与放货指令的关联是否强制必选，以及未关联时是否允许提交</w:t>
      </w:r>
    </w:p>
    <w:p>
      <w:r>
        <w:br w:type="page"/>
      </w:r>
    </w:p>
    <w:p>
      <w:pPr>
        <w:pStyle w:val="Heading2"/>
        <w:keepNext/>
        <w:spacing w:before="240" w:after="120" w:line="312" w:lineRule="auto"/>
        <w:ind w:firstLine="0"/>
      </w:pPr>
      <w:r>
        <w:rPr>
          <w:rFonts w:ascii="Times New Roman" w:hAnsi="Times New Roman" w:eastAsia="黑体"/>
          <w:b/>
          <w:i w:val="0"/>
          <w:sz w:val="28"/>
        </w:rPr>
        <w:t>4.22　提放货管理</w:t>
      </w:r>
    </w:p>
    <w:p>
      <w:pPr>
        <w:spacing w:before="0" w:after="160" w:line="360" w:lineRule="auto"/>
      </w:pPr>
      <w:r>
        <w:rPr>
          <w:rFonts w:ascii="Times New Roman" w:hAnsi="Times New Roman" w:eastAsia="宋体"/>
          <w:b w:val="0"/>
          <w:i w:val="0"/>
          <w:color w:val="595959"/>
          <w:sz w:val="21"/>
        </w:rPr>
        <w:t>菜单路径：仓储管理 / 提放货管理</w:t>
      </w:r>
    </w:p>
    <w:p>
      <w:pPr>
        <w:pStyle w:val="Heading3"/>
        <w:keepNext/>
        <w:spacing w:before="160" w:after="80" w:line="312" w:lineRule="auto"/>
        <w:ind w:firstLine="0"/>
      </w:pPr>
      <w:r>
        <w:rPr>
          <w:rFonts w:ascii="Times New Roman" w:hAnsi="Times New Roman" w:eastAsia="黑体"/>
          <w:b/>
          <w:i w:val="0"/>
          <w:sz w:val="24"/>
        </w:rPr>
        <w:t>4.22.1　一页结论</w:t>
      </w:r>
    </w:p>
    <w:p>
      <w:pPr>
        <w:spacing w:before="0" w:after="120" w:line="360" w:lineRule="auto"/>
      </w:pPr>
      <w:r>
        <w:rPr>
          <w:rFonts w:ascii="Times New Roman" w:hAnsi="Times New Roman" w:eastAsia="宋体"/>
          <w:b w:val="0"/>
          <w:i w:val="0"/>
          <w:sz w:val="24"/>
        </w:rPr>
        <w:t>承载货物出厂的两条并行通道：下游客户开具提货单由仓库发货，以及仓储方生成放货指令并联动出库，统一管理出厂指令与执行状态。</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928"/>
            <w:shd w:val="clear" w:color="auto" w:fill="DCE6F1"/>
          </w:tcPr>
          <w:p>
            <w:pPr>
              <w:spacing w:before="40" w:after="40" w:line="276" w:lineRule="auto"/>
              <w:jc w:val="center"/>
            </w:pPr>
            <w:r/>
            <w:r>
              <w:rPr>
                <w:rFonts w:ascii="Times New Roman" w:hAnsi="Times New Roman" w:eastAsia="黑体"/>
                <w:b/>
                <w:i w:val="0"/>
                <w:sz w:val="21"/>
              </w:rPr>
              <w:t>问题</w:t>
            </w:r>
          </w:p>
        </w:tc>
        <w:tc>
          <w:tcPr>
            <w:tcW w:type="dxa" w:w="3572"/>
            <w:shd w:val="clear" w:color="auto" w:fill="DCE6F1"/>
          </w:tcPr>
          <w:p>
            <w:pPr>
              <w:spacing w:before="40" w:after="40" w:line="276" w:lineRule="auto"/>
              <w:jc w:val="center"/>
            </w:pPr>
            <w:r/>
            <w:r>
              <w:rPr>
                <w:rFonts w:ascii="Times New Roman" w:hAnsi="Times New Roman" w:eastAsia="黑体"/>
                <w:b/>
                <w:i w:val="0"/>
                <w:sz w:val="21"/>
              </w:rPr>
              <w:t>当前做法</w:t>
            </w:r>
          </w:p>
        </w:tc>
        <w:tc>
          <w:tcPr>
            <w:tcW w:type="dxa" w:w="3572"/>
            <w:shd w:val="clear" w:color="auto" w:fill="DCE6F1"/>
          </w:tcPr>
          <w:p>
            <w:pPr>
              <w:spacing w:before="40" w:after="40" w:line="276" w:lineRule="auto"/>
              <w:jc w:val="center"/>
            </w:pPr>
            <w:r/>
            <w:r>
              <w:rPr>
                <w:rFonts w:ascii="Times New Roman" w:hAnsi="Times New Roman" w:eastAsia="黑体"/>
                <w:b/>
                <w:i w:val="0"/>
                <w:sz w:val="21"/>
              </w:rPr>
              <w:t>本模块解法</w:t>
            </w:r>
          </w:p>
        </w:tc>
      </w:tr>
      <w:tr>
        <w:tc>
          <w:tcPr>
            <w:tcW w:type="dxa" w:w="1928"/>
          </w:tcPr>
          <w:p>
            <w:pPr>
              <w:spacing w:before="20" w:after="20" w:line="276" w:lineRule="auto"/>
              <w:ind w:firstLine="0"/>
            </w:pPr>
            <w:r/>
            <w:r>
              <w:rPr>
                <w:rFonts w:ascii="Times New Roman" w:hAnsi="Times New Roman" w:eastAsia="宋体"/>
                <w:b w:val="0"/>
                <w:i w:val="0"/>
                <w:sz w:val="21"/>
              </w:rPr>
              <w:t>提货与放货两套出厂口径分散，状态互不相通</w:t>
            </w:r>
          </w:p>
        </w:tc>
        <w:tc>
          <w:tcPr>
            <w:tcW w:type="dxa" w:w="3572"/>
          </w:tcPr>
          <w:p>
            <w:pPr>
              <w:spacing w:before="20" w:after="20" w:line="276" w:lineRule="auto"/>
              <w:ind w:firstLine="0"/>
            </w:pPr>
            <w:r/>
            <w:r>
              <w:rPr>
                <w:rFonts w:ascii="Times New Roman" w:hAnsi="Times New Roman" w:eastAsia="宋体"/>
                <w:b w:val="0"/>
                <w:i w:val="0"/>
                <w:sz w:val="21"/>
              </w:rPr>
              <w:t>提货单与放货指令分属不同单据体系，审核与执行状态各自维护，出厂环节没有统一视图</w:t>
            </w:r>
          </w:p>
        </w:tc>
        <w:tc>
          <w:tcPr>
            <w:tcW w:type="dxa" w:w="3572"/>
          </w:tcPr>
          <w:p>
            <w:pPr>
              <w:spacing w:before="20" w:after="20" w:line="276" w:lineRule="auto"/>
              <w:ind w:firstLine="0"/>
            </w:pPr>
            <w:r/>
            <w:r>
              <w:rPr>
                <w:rFonts w:ascii="Times New Roman" w:hAnsi="Times New Roman" w:eastAsia="宋体"/>
                <w:b w:val="0"/>
                <w:i w:val="0"/>
                <w:sz w:val="21"/>
              </w:rPr>
              <w:t>在同一菜单下并列呈现两套出厂通道，提货按已开具与已收到两态流转，放货指令按 7 个状态分栏集中管理</w:t>
            </w:r>
          </w:p>
        </w:tc>
      </w:tr>
      <w:tr>
        <w:tc>
          <w:tcPr>
            <w:tcW w:type="dxa" w:w="1928"/>
          </w:tcPr>
          <w:p>
            <w:pPr>
              <w:spacing w:before="20" w:after="20" w:line="276" w:lineRule="auto"/>
              <w:ind w:firstLine="0"/>
            </w:pPr>
            <w:r/>
            <w:r>
              <w:rPr>
                <w:rFonts w:ascii="Times New Roman" w:hAnsi="Times New Roman" w:eastAsia="宋体"/>
                <w:b w:val="0"/>
                <w:i w:val="0"/>
                <w:sz w:val="21"/>
              </w:rPr>
              <w:t>放货指令是否生效、是否超额不透明</w:t>
            </w:r>
          </w:p>
        </w:tc>
        <w:tc>
          <w:tcPr>
            <w:tcW w:type="dxa" w:w="3572"/>
          </w:tcPr>
          <w:p>
            <w:pPr>
              <w:spacing w:before="20" w:after="20" w:line="276" w:lineRule="auto"/>
              <w:ind w:firstLine="0"/>
            </w:pPr>
            <w:r/>
            <w:r>
              <w:rPr>
                <w:rFonts w:ascii="Times New Roman" w:hAnsi="Times New Roman" w:eastAsia="宋体"/>
                <w:b w:val="0"/>
                <w:i w:val="0"/>
                <w:sz w:val="21"/>
              </w:rPr>
              <w:t>指令是否走完审批、出货量是否超过放货量，仓库与业务都靠线下追问</w:t>
            </w:r>
          </w:p>
        </w:tc>
        <w:tc>
          <w:tcPr>
            <w:tcW w:type="dxa" w:w="3572"/>
          </w:tcPr>
          <w:p>
            <w:pPr>
              <w:spacing w:before="20" w:after="20" w:line="276" w:lineRule="auto"/>
              <w:ind w:firstLine="0"/>
            </w:pPr>
            <w:r/>
            <w:r>
              <w:rPr>
                <w:rFonts w:ascii="Times New Roman" w:hAnsi="Times New Roman" w:eastAsia="宋体"/>
                <w:b w:val="0"/>
                <w:i w:val="0"/>
                <w:sz w:val="21"/>
              </w:rPr>
              <w:t>放货指令列表按全部、审批中、生效中、已超额、已完结、已驳回、已作废 7 个状态分栏，异常状态集中呈现</w:t>
            </w:r>
          </w:p>
        </w:tc>
      </w:tr>
      <w:tr>
        <w:tc>
          <w:tcPr>
            <w:tcW w:type="dxa" w:w="1928"/>
          </w:tcPr>
          <w:p>
            <w:pPr>
              <w:spacing w:before="20" w:after="20" w:line="276" w:lineRule="auto"/>
              <w:ind w:firstLine="0"/>
            </w:pPr>
            <w:r/>
            <w:r>
              <w:rPr>
                <w:rFonts w:ascii="Times New Roman" w:hAnsi="Times New Roman" w:eastAsia="宋体"/>
                <w:b w:val="0"/>
                <w:i w:val="0"/>
                <w:sz w:val="21"/>
              </w:rPr>
              <w:t>放货与出库脱节，出库结果要另查</w:t>
            </w:r>
          </w:p>
        </w:tc>
        <w:tc>
          <w:tcPr>
            <w:tcW w:type="dxa" w:w="3572"/>
          </w:tcPr>
          <w:p>
            <w:pPr>
              <w:spacing w:before="20" w:after="20" w:line="276" w:lineRule="auto"/>
              <w:ind w:firstLine="0"/>
            </w:pPr>
            <w:r/>
            <w:r>
              <w:rPr>
                <w:rFonts w:ascii="Times New Roman" w:hAnsi="Times New Roman" w:eastAsia="宋体"/>
                <w:b w:val="0"/>
                <w:i w:val="0"/>
                <w:sz w:val="21"/>
              </w:rPr>
              <w:t>放货完成后出库另行登记，两边数据对不上，差异要人工核</w:t>
            </w:r>
          </w:p>
        </w:tc>
        <w:tc>
          <w:tcPr>
            <w:tcW w:type="dxa" w:w="3572"/>
          </w:tcPr>
          <w:p>
            <w:pPr>
              <w:spacing w:before="20" w:after="20" w:line="276" w:lineRule="auto"/>
              <w:ind w:firstLine="0"/>
            </w:pPr>
            <w:r/>
            <w:r>
              <w:rPr>
                <w:rFonts w:ascii="Times New Roman" w:hAnsi="Times New Roman" w:eastAsia="宋体"/>
                <w:b w:val="0"/>
                <w:i w:val="0"/>
                <w:sz w:val="21"/>
              </w:rPr>
              <w:t>放货指令详情内置出库记录页签，回显 6 列出库明细并在表格下方给出放货数量与出库数量汇总</w:t>
            </w:r>
          </w:p>
        </w:tc>
      </w:tr>
      <w:tr>
        <w:tc>
          <w:tcPr>
            <w:tcW w:type="dxa" w:w="1928"/>
          </w:tcPr>
          <w:p>
            <w:pPr>
              <w:spacing w:before="20" w:after="20" w:line="276" w:lineRule="auto"/>
              <w:ind w:firstLine="0"/>
            </w:pPr>
            <w:r/>
            <w:r>
              <w:rPr>
                <w:rFonts w:ascii="Times New Roman" w:hAnsi="Times New Roman" w:eastAsia="宋体"/>
                <w:b w:val="0"/>
                <w:i w:val="0"/>
                <w:sz w:val="21"/>
              </w:rPr>
              <w:t>放货前的回款条件靠人工核</w:t>
            </w:r>
          </w:p>
        </w:tc>
        <w:tc>
          <w:tcPr>
            <w:tcW w:type="dxa" w:w="3572"/>
          </w:tcPr>
          <w:p>
            <w:pPr>
              <w:spacing w:before="20" w:after="20" w:line="276" w:lineRule="auto"/>
              <w:ind w:firstLine="0"/>
            </w:pPr>
            <w:r/>
            <w:r>
              <w:rPr>
                <w:rFonts w:ascii="Times New Roman" w:hAnsi="Times New Roman" w:eastAsia="宋体"/>
                <w:b w:val="0"/>
                <w:i w:val="0"/>
                <w:sz w:val="21"/>
              </w:rPr>
              <w:t>剩余可出库货值、下游回款认领情况靠人工汇总，出货时才发现超认领</w:t>
            </w:r>
          </w:p>
        </w:tc>
        <w:tc>
          <w:tcPr>
            <w:tcW w:type="dxa" w:w="3572"/>
          </w:tcPr>
          <w:p>
            <w:pPr>
              <w:spacing w:before="20" w:after="20" w:line="276" w:lineRule="auto"/>
              <w:ind w:firstLine="0"/>
            </w:pPr>
            <w:r/>
            <w:r>
              <w:rPr>
                <w:rFonts w:ascii="Times New Roman" w:hAnsi="Times New Roman" w:eastAsia="宋体"/>
                <w:b w:val="0"/>
                <w:i w:val="0"/>
                <w:sz w:val="21"/>
              </w:rPr>
              <w:t>放货指令表单与详情均给出下游回款三项汇总与逐笔认领明细，认领状态分已认领与未认领</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4.22.2　背景与目标</w:t>
      </w:r>
    </w:p>
    <w:tbl>
      <w:tblPr>
        <w:tblStyle w:val="TableGrid"/>
        <w:tblW w:type="auto" w:w="0"/>
        <w:jc w:val="center"/>
        <w:tblLayout w:type="fixed"/>
        <w:tblLook w:firstColumn="1" w:firstRow="1" w:lastColumn="0" w:lastRow="0" w:noHBand="0" w:noVBand="1" w:val="04A0"/>
      </w:tblPr>
      <w:tblGrid>
        <w:gridCol w:w="8958"/>
      </w:tblGrid>
      <w:tr>
        <w:trPr>
          <w:tblHeader w:val="true"/>
        </w:trPr>
        <w:tc>
          <w:tcPr>
            <w:tcW w:type="dxa" w:w="9071"/>
            <w:shd w:val="clear" w:color="auto" w:fill="DCE6F1"/>
          </w:tcPr>
          <w:p>
            <w:pPr>
              <w:spacing w:before="40" w:after="40" w:line="276" w:lineRule="auto"/>
              <w:jc w:val="center"/>
            </w:pPr>
            <w:r/>
            <w:r>
              <w:rPr>
                <w:rFonts w:ascii="Times New Roman" w:hAnsi="Times New Roman" w:eastAsia="黑体"/>
                <w:b/>
                <w:i w:val="0"/>
                <w:sz w:val="21"/>
              </w:rPr>
              <w:t>目标 / 衡量口径</w:t>
            </w:r>
          </w:p>
        </w:tc>
      </w:tr>
      <w:tr>
        <w:tc>
          <w:tcPr>
            <w:tcW w:type="dxa" w:w="9071"/>
          </w:tcPr>
          <w:p>
            <w:pPr>
              <w:spacing w:before="20" w:after="20" w:line="276" w:lineRule="auto"/>
              <w:ind w:firstLine="0"/>
            </w:pPr>
            <w:r/>
            <w:r>
              <w:rPr>
                <w:rFonts w:ascii="Times New Roman" w:hAnsi="Times New Roman" w:eastAsia="宋体"/>
                <w:b w:val="0"/>
                <w:i w:val="0"/>
                <w:sz w:val="21"/>
              </w:rPr>
              <w:t>提货与放货指令的状态在系统内可视，可按状态维度快速筛选与定位异常单据</w:t>
            </w:r>
          </w:p>
        </w:tc>
      </w:tr>
      <w:tr>
        <w:tc>
          <w:tcPr>
            <w:tcW w:type="dxa" w:w="9071"/>
          </w:tcPr>
          <w:p>
            <w:pPr>
              <w:spacing w:before="20" w:after="20" w:line="276" w:lineRule="auto"/>
              <w:ind w:firstLine="0"/>
            </w:pPr>
            <w:r/>
            <w:r>
              <w:rPr>
                <w:rFonts w:ascii="Times New Roman" w:hAnsi="Times New Roman" w:eastAsia="宋体"/>
                <w:b w:val="0"/>
                <w:i w:val="0"/>
                <w:sz w:val="21"/>
              </w:rPr>
              <w:t>放货指令生成时关联销售合同，剩余可出库货值与回款认领情况同步展示</w:t>
            </w:r>
          </w:p>
        </w:tc>
      </w:tr>
      <w:tr>
        <w:tc>
          <w:tcPr>
            <w:tcW w:type="dxa" w:w="9071"/>
          </w:tcPr>
          <w:p>
            <w:pPr>
              <w:spacing w:before="20" w:after="20" w:line="276" w:lineRule="auto"/>
              <w:ind w:firstLine="0"/>
            </w:pPr>
            <w:r/>
            <w:r>
              <w:rPr>
                <w:rFonts w:ascii="Times New Roman" w:hAnsi="Times New Roman" w:eastAsia="宋体"/>
                <w:b w:val="0"/>
                <w:i w:val="0"/>
                <w:sz w:val="21"/>
              </w:rPr>
              <w:t>放货执行完成后出库记录可在同一详情页追溯，放货数量与出库数量差额可核对</w:t>
            </w:r>
          </w:p>
        </w:tc>
      </w:tr>
      <w:tr>
        <w:tc>
          <w:tcPr>
            <w:tcW w:type="dxa" w:w="9071"/>
          </w:tcPr>
          <w:p>
            <w:pPr>
              <w:spacing w:before="20" w:after="20" w:line="276" w:lineRule="auto"/>
              <w:ind w:firstLine="0"/>
            </w:pPr>
            <w:r/>
            <w:r>
              <w:rPr>
                <w:rFonts w:ascii="Times New Roman" w:hAnsi="Times New Roman" w:eastAsia="宋体"/>
                <w:b w:val="0"/>
                <w:i w:val="0"/>
                <w:sz w:val="21"/>
              </w:rPr>
              <w:t>提货从已开具到已收到的状态流转在系统内闭环记录</w:t>
            </w:r>
          </w:p>
        </w:tc>
      </w:tr>
    </w:tbl>
    <w:p>
      <w:pPr>
        <w:spacing w:before="0" w:after="0" w:line="240" w:lineRule="auto"/>
      </w:pPr>
    </w:p>
    <w:p>
      <w:pPr>
        <w:spacing w:before="80" w:after="120" w:line="360" w:lineRule="auto"/>
      </w:pPr>
      <w:r>
        <w:rPr>
          <w:rFonts w:ascii="Times New Roman" w:hAnsi="Times New Roman" w:eastAsia="宋体"/>
          <w:b w:val="0"/>
          <w:i w:val="0"/>
          <w:color w:val="595959"/>
          <w:sz w:val="21"/>
        </w:rPr>
        <w:t>说明：文中口径以业务方已确认结论为准；未确认项集中列于本章末与第 5 章。</w:t>
      </w:r>
    </w:p>
    <w:p>
      <w:pPr>
        <w:pStyle w:val="Heading3"/>
        <w:keepNext/>
        <w:spacing w:before="160" w:after="80" w:line="312" w:lineRule="auto"/>
        <w:ind w:firstLine="0"/>
      </w:pPr>
      <w:r>
        <w:rPr>
          <w:rFonts w:ascii="Times New Roman" w:hAnsi="Times New Roman" w:eastAsia="黑体"/>
          <w:b/>
          <w:i w:val="0"/>
          <w:sz w:val="24"/>
        </w:rPr>
        <w:t>4.22.3　角色与用户需求</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361"/>
            <w:shd w:val="clear" w:color="auto" w:fill="DCE6F1"/>
          </w:tcPr>
          <w:p>
            <w:pPr>
              <w:spacing w:before="40" w:after="40" w:line="276" w:lineRule="auto"/>
              <w:jc w:val="center"/>
            </w:pPr>
            <w:r/>
            <w:r>
              <w:rPr>
                <w:rFonts w:ascii="Times New Roman" w:hAnsi="Times New Roman" w:eastAsia="黑体"/>
                <w:b/>
                <w:i w:val="0"/>
                <w:sz w:val="21"/>
              </w:rPr>
              <w:t>角色</w:t>
            </w:r>
          </w:p>
        </w:tc>
        <w:tc>
          <w:tcPr>
            <w:tcW w:type="dxa" w:w="1247"/>
            <w:shd w:val="clear" w:color="auto" w:fill="DCE6F1"/>
          </w:tcPr>
          <w:p>
            <w:pPr>
              <w:spacing w:before="40" w:after="40" w:line="276" w:lineRule="auto"/>
              <w:jc w:val="center"/>
            </w:pPr>
            <w:r/>
            <w:r>
              <w:rPr>
                <w:rFonts w:ascii="Times New Roman" w:hAnsi="Times New Roman" w:eastAsia="黑体"/>
                <w:b/>
                <w:i w:val="0"/>
                <w:sz w:val="21"/>
              </w:rPr>
              <w:t>所属部门</w:t>
            </w:r>
          </w:p>
        </w:tc>
        <w:tc>
          <w:tcPr>
            <w:tcW w:type="dxa" w:w="6463"/>
            <w:shd w:val="clear" w:color="auto" w:fill="DCE6F1"/>
          </w:tcPr>
          <w:p>
            <w:pPr>
              <w:spacing w:before="40" w:after="40" w:line="276" w:lineRule="auto"/>
              <w:jc w:val="center"/>
            </w:pPr>
            <w:r/>
            <w:r>
              <w:rPr>
                <w:rFonts w:ascii="Times New Roman" w:hAnsi="Times New Roman" w:eastAsia="黑体"/>
                <w:b/>
                <w:i w:val="0"/>
                <w:sz w:val="21"/>
              </w:rPr>
              <w:t>用户需求（我要…以便…）</w:t>
            </w:r>
          </w:p>
        </w:tc>
      </w:tr>
      <w:tr>
        <w:tc>
          <w:tcPr>
            <w:tcW w:type="dxa" w:w="1361"/>
          </w:tcPr>
          <w:p>
            <w:pPr>
              <w:spacing w:before="20" w:after="20" w:line="276" w:lineRule="auto"/>
              <w:ind w:firstLine="0"/>
            </w:pPr>
            <w:r/>
            <w:r>
              <w:rPr>
                <w:rFonts w:ascii="Times New Roman" w:hAnsi="Times New Roman" w:eastAsia="宋体"/>
                <w:b w:val="0"/>
                <w:i w:val="0"/>
                <w:sz w:val="21"/>
              </w:rPr>
              <w:t>仓储员</w:t>
            </w:r>
          </w:p>
        </w:tc>
        <w:tc>
          <w:tcPr>
            <w:tcW w:type="dxa" w:w="1247"/>
          </w:tcPr>
          <w:p>
            <w:pPr>
              <w:spacing w:before="20" w:after="20" w:line="276" w:lineRule="auto"/>
              <w:ind w:firstLine="0"/>
            </w:pPr>
            <w:r/>
            <w:r>
              <w:rPr>
                <w:rFonts w:ascii="Times New Roman" w:hAnsi="Times New Roman" w:eastAsia="宋体"/>
                <w:b w:val="0"/>
                <w:i w:val="0"/>
                <w:sz w:val="21"/>
              </w:rPr>
              <w:t>仓储部</w:t>
            </w:r>
          </w:p>
        </w:tc>
        <w:tc>
          <w:tcPr>
            <w:tcW w:type="dxa" w:w="6463"/>
          </w:tcPr>
          <w:p>
            <w:pPr>
              <w:spacing w:before="20" w:after="20" w:line="276" w:lineRule="auto"/>
              <w:ind w:firstLine="0"/>
            </w:pPr>
            <w:r/>
            <w:r>
              <w:rPr>
                <w:rFonts w:ascii="Times New Roman" w:hAnsi="Times New Roman" w:eastAsia="宋体"/>
                <w:b w:val="0"/>
                <w:i w:val="0"/>
                <w:sz w:val="21"/>
              </w:rPr>
              <w:t>我要按销售合同生成放货指令并维护发站到站，以便货物出厂有据可查</w:t>
            </w:r>
          </w:p>
        </w:tc>
      </w:tr>
      <w:tr>
        <w:tc>
          <w:tcPr>
            <w:tcW w:type="dxa" w:w="1361"/>
          </w:tcPr>
          <w:p>
            <w:pPr>
              <w:spacing w:before="20" w:after="20" w:line="276" w:lineRule="auto"/>
              <w:ind w:firstLine="0"/>
            </w:pPr>
            <w:r/>
            <w:r>
              <w:rPr>
                <w:rFonts w:ascii="Times New Roman" w:hAnsi="Times New Roman" w:eastAsia="宋体"/>
                <w:b w:val="0"/>
                <w:i w:val="0"/>
                <w:sz w:val="21"/>
              </w:rPr>
              <w:t>仓储方执行人员</w:t>
            </w:r>
          </w:p>
        </w:tc>
        <w:tc>
          <w:tcPr>
            <w:tcW w:type="dxa" w:w="1247"/>
          </w:tcPr>
          <w:p>
            <w:pPr>
              <w:spacing w:before="20" w:after="20" w:line="276" w:lineRule="auto"/>
              <w:ind w:firstLine="0"/>
            </w:pPr>
            <w:r/>
            <w:r>
              <w:rPr>
                <w:rFonts w:ascii="Times New Roman" w:hAnsi="Times New Roman" w:eastAsia="宋体"/>
                <w:b w:val="0"/>
                <w:i w:val="0"/>
                <w:sz w:val="21"/>
              </w:rPr>
              <w:t>第三方仓储方</w:t>
            </w:r>
          </w:p>
        </w:tc>
        <w:tc>
          <w:tcPr>
            <w:tcW w:type="dxa" w:w="6463"/>
          </w:tcPr>
          <w:p>
            <w:pPr>
              <w:spacing w:before="20" w:after="20" w:line="276" w:lineRule="auto"/>
              <w:ind w:firstLine="0"/>
            </w:pPr>
            <w:r/>
            <w:r>
              <w:rPr>
                <w:rFonts w:ascii="Times New Roman" w:hAnsi="Times New Roman" w:eastAsia="宋体"/>
                <w:b w:val="0"/>
                <w:i w:val="0"/>
                <w:sz w:val="21"/>
              </w:rPr>
              <w:t>我要按提货单发货并由收货方确认，以便提货状态及时流转到已收到</w:t>
            </w:r>
          </w:p>
        </w:tc>
      </w:tr>
      <w:tr>
        <w:tc>
          <w:tcPr>
            <w:tcW w:type="dxa" w:w="1361"/>
          </w:tcPr>
          <w:p>
            <w:pPr>
              <w:spacing w:before="20" w:after="20" w:line="276" w:lineRule="auto"/>
              <w:ind w:firstLine="0"/>
            </w:pPr>
            <w:r/>
            <w:r>
              <w:rPr>
                <w:rFonts w:ascii="Times New Roman" w:hAnsi="Times New Roman" w:eastAsia="宋体"/>
                <w:b w:val="0"/>
                <w:i w:val="0"/>
                <w:sz w:val="21"/>
              </w:rPr>
              <w:t>库管负责人</w:t>
            </w:r>
          </w:p>
        </w:tc>
        <w:tc>
          <w:tcPr>
            <w:tcW w:type="dxa" w:w="1247"/>
          </w:tcPr>
          <w:p>
            <w:pPr>
              <w:spacing w:before="20" w:after="20" w:line="276" w:lineRule="auto"/>
              <w:ind w:firstLine="0"/>
            </w:pPr>
            <w:r/>
            <w:r>
              <w:rPr>
                <w:rFonts w:ascii="Times New Roman" w:hAnsi="Times New Roman" w:eastAsia="宋体"/>
                <w:b w:val="0"/>
                <w:i w:val="0"/>
                <w:sz w:val="21"/>
              </w:rPr>
              <w:t>仓储部</w:t>
            </w:r>
          </w:p>
        </w:tc>
        <w:tc>
          <w:tcPr>
            <w:tcW w:type="dxa" w:w="6463"/>
          </w:tcPr>
          <w:p>
            <w:pPr>
              <w:spacing w:before="20" w:after="20" w:line="276" w:lineRule="auto"/>
              <w:ind w:firstLine="0"/>
            </w:pPr>
            <w:r/>
            <w:r>
              <w:rPr>
                <w:rFonts w:ascii="Times New Roman" w:hAnsi="Times New Roman" w:eastAsia="宋体"/>
                <w:b w:val="0"/>
                <w:i w:val="0"/>
                <w:sz w:val="21"/>
              </w:rPr>
              <w:t>我要查看放货指令的审批与超额状态，以便控制出货节奏与风险敞口</w:t>
            </w:r>
          </w:p>
        </w:tc>
      </w:tr>
      <w:tr>
        <w:tc>
          <w:tcPr>
            <w:tcW w:type="dxa" w:w="1361"/>
          </w:tcPr>
          <w:p>
            <w:pPr>
              <w:spacing w:before="20" w:after="20" w:line="276" w:lineRule="auto"/>
              <w:ind w:firstLine="0"/>
            </w:pPr>
            <w:r/>
            <w:r>
              <w:rPr>
                <w:rFonts w:ascii="Times New Roman" w:hAnsi="Times New Roman" w:eastAsia="宋体"/>
                <w:b w:val="0"/>
                <w:i w:val="0"/>
                <w:sz w:val="21"/>
              </w:rPr>
              <w:t>业务员</w:t>
            </w:r>
          </w:p>
        </w:tc>
        <w:tc>
          <w:tcPr>
            <w:tcW w:type="dxa" w:w="1247"/>
          </w:tcPr>
          <w:p>
            <w:pPr>
              <w:spacing w:before="20" w:after="20" w:line="276" w:lineRule="auto"/>
              <w:ind w:firstLine="0"/>
            </w:pPr>
            <w:r/>
            <w:r>
              <w:rPr>
                <w:rFonts w:ascii="Times New Roman" w:hAnsi="Times New Roman" w:eastAsia="宋体"/>
                <w:b w:val="0"/>
                <w:i w:val="0"/>
                <w:sz w:val="21"/>
              </w:rPr>
              <w:t>业务部</w:t>
            </w:r>
          </w:p>
        </w:tc>
        <w:tc>
          <w:tcPr>
            <w:tcW w:type="dxa" w:w="6463"/>
          </w:tcPr>
          <w:p>
            <w:pPr>
              <w:spacing w:before="20" w:after="20" w:line="276" w:lineRule="auto"/>
              <w:ind w:firstLine="0"/>
            </w:pPr>
            <w:r/>
            <w:r>
              <w:rPr>
                <w:rFonts w:ascii="Times New Roman" w:hAnsi="Times New Roman" w:eastAsia="宋体"/>
                <w:b w:val="0"/>
                <w:i w:val="0"/>
                <w:sz w:val="21"/>
              </w:rPr>
              <w:t>我要在放货前看到下游回款与剩余可出库货值，以便确认出货条件</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4.22.4　功能结构与范围</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474"/>
            <w:shd w:val="clear" w:color="auto" w:fill="DCE6F1"/>
          </w:tcPr>
          <w:p>
            <w:pPr>
              <w:spacing w:before="40" w:after="40" w:line="276" w:lineRule="auto"/>
              <w:jc w:val="center"/>
            </w:pPr>
            <w:r/>
            <w:r>
              <w:rPr>
                <w:rFonts w:ascii="Times New Roman" w:hAnsi="Times New Roman" w:eastAsia="黑体"/>
                <w:b/>
                <w:i w:val="0"/>
                <w:sz w:val="21"/>
              </w:rPr>
              <w:t>功能</w:t>
            </w:r>
          </w:p>
        </w:tc>
        <w:tc>
          <w:tcPr>
            <w:tcW w:type="dxa" w:w="3175"/>
            <w:shd w:val="clear" w:color="auto" w:fill="DCE6F1"/>
          </w:tcPr>
          <w:p>
            <w:pPr>
              <w:spacing w:before="40" w:after="40" w:line="276" w:lineRule="auto"/>
              <w:jc w:val="center"/>
            </w:pPr>
            <w:r/>
            <w:r>
              <w:rPr>
                <w:rFonts w:ascii="Times New Roman" w:hAnsi="Times New Roman" w:eastAsia="黑体"/>
                <w:b/>
                <w:i w:val="0"/>
                <w:sz w:val="21"/>
              </w:rPr>
              <w:t>功能说明</w:t>
            </w:r>
          </w:p>
        </w:tc>
        <w:tc>
          <w:tcPr>
            <w:tcW w:type="dxa" w:w="4422"/>
            <w:shd w:val="clear" w:color="auto" w:fill="DCE6F1"/>
          </w:tcPr>
          <w:p>
            <w:pPr>
              <w:spacing w:before="40" w:after="40" w:line="276" w:lineRule="auto"/>
              <w:jc w:val="center"/>
            </w:pPr>
            <w:r/>
            <w:r>
              <w:rPr>
                <w:rFonts w:ascii="Times New Roman" w:hAnsi="Times New Roman" w:eastAsia="黑体"/>
                <w:b/>
                <w:i w:val="0"/>
                <w:sz w:val="21"/>
              </w:rPr>
              <w:t>关键规则</w:t>
            </w:r>
          </w:p>
        </w:tc>
      </w:tr>
      <w:tr>
        <w:tc>
          <w:tcPr>
            <w:tcW w:type="dxa" w:w="1474"/>
          </w:tcPr>
          <w:p>
            <w:pPr>
              <w:spacing w:before="20" w:after="20" w:line="276" w:lineRule="auto"/>
              <w:ind w:firstLine="0"/>
            </w:pPr>
            <w:r/>
            <w:r>
              <w:rPr>
                <w:rFonts w:ascii="Times New Roman" w:hAnsi="Times New Roman" w:eastAsia="宋体"/>
                <w:b w:val="0"/>
                <w:i w:val="0"/>
                <w:sz w:val="21"/>
              </w:rPr>
              <w:t>提货管理列表与两态分栏</w:t>
            </w:r>
          </w:p>
        </w:tc>
        <w:tc>
          <w:tcPr>
            <w:tcW w:type="dxa" w:w="3175"/>
          </w:tcPr>
          <w:p>
            <w:pPr>
              <w:spacing w:before="20" w:after="20" w:line="276" w:lineRule="auto"/>
              <w:ind w:firstLine="0"/>
            </w:pPr>
            <w:r/>
            <w:r>
              <w:rPr>
                <w:rFonts w:ascii="Times New Roman" w:hAnsi="Times New Roman" w:eastAsia="宋体"/>
                <w:b w:val="0"/>
                <w:i w:val="0"/>
                <w:sz w:val="21"/>
              </w:rPr>
              <w:t>提货单列表，按开具与收到两个维度分栏，支持多条件筛选</w:t>
            </w:r>
          </w:p>
        </w:tc>
        <w:tc>
          <w:tcPr>
            <w:tcW w:type="dxa" w:w="4422"/>
          </w:tcPr>
          <w:p>
            <w:pPr>
              <w:spacing w:before="20" w:after="20" w:line="276" w:lineRule="auto"/>
              <w:ind w:firstLine="0"/>
            </w:pPr>
            <w:r/>
            <w:r>
              <w:rPr>
                <w:rFonts w:ascii="Times New Roman" w:hAnsi="Times New Roman" w:eastAsia="宋体"/>
                <w:b w:val="0"/>
                <w:i w:val="0"/>
                <w:sz w:val="21"/>
              </w:rPr>
              <w:t>分栏固定为已开具与已收到 2 个且不带计数；分栏维度是开具与收到而不是状态机审批；筛选区共 5 个字段：编号、提货开具方、提货接收方、提货日期、状态；列表共 9 列：合同编号、提货编号、提货开具方、提货接收方、提货日期、提货数量、状态、最新操作时间、操作</w:t>
            </w:r>
          </w:p>
        </w:tc>
      </w:tr>
      <w:tr>
        <w:tc>
          <w:tcPr>
            <w:tcW w:type="dxa" w:w="1474"/>
          </w:tcPr>
          <w:p>
            <w:pPr>
              <w:spacing w:before="20" w:after="20" w:line="276" w:lineRule="auto"/>
              <w:ind w:firstLine="0"/>
            </w:pPr>
            <w:r/>
            <w:r>
              <w:rPr>
                <w:rFonts w:ascii="Times New Roman" w:hAnsi="Times New Roman" w:eastAsia="宋体"/>
                <w:b w:val="0"/>
                <w:i w:val="0"/>
                <w:sz w:val="21"/>
              </w:rPr>
              <w:t>提货与合同编号规则</w:t>
            </w:r>
          </w:p>
        </w:tc>
        <w:tc>
          <w:tcPr>
            <w:tcW w:type="dxa" w:w="3175"/>
          </w:tcPr>
          <w:p>
            <w:pPr>
              <w:spacing w:before="20" w:after="20" w:line="276" w:lineRule="auto"/>
              <w:ind w:firstLine="0"/>
            </w:pPr>
            <w:r/>
            <w:r>
              <w:rPr>
                <w:rFonts w:ascii="Times New Roman" w:hAnsi="Times New Roman" w:eastAsia="宋体"/>
                <w:b w:val="0"/>
                <w:i w:val="0"/>
                <w:sz w:val="21"/>
              </w:rPr>
              <w:t>提货单与关联合同在系统内有统一的编号格式，便于检索与对账</w:t>
            </w:r>
          </w:p>
        </w:tc>
        <w:tc>
          <w:tcPr>
            <w:tcW w:type="dxa" w:w="4422"/>
          </w:tcPr>
          <w:p>
            <w:pPr>
              <w:spacing w:before="20" w:after="20" w:line="276" w:lineRule="auto"/>
              <w:ind w:firstLine="0"/>
            </w:pPr>
            <w:r/>
            <w:r>
              <w:rPr>
                <w:rFonts w:ascii="Times New Roman" w:hAnsi="Times New Roman" w:eastAsia="宋体"/>
                <w:b w:val="0"/>
                <w:i w:val="0"/>
                <w:sz w:val="21"/>
              </w:rPr>
              <w:t>提货编号格式为 TH 加年月日加四位序号；合同编号格式为业务前缀、业务类型、年月日、序号四段式；已开具与已收到两个分栏各自的记录集合独立渲染</w:t>
            </w:r>
          </w:p>
        </w:tc>
      </w:tr>
      <w:tr>
        <w:tc>
          <w:tcPr>
            <w:tcW w:type="dxa" w:w="1474"/>
          </w:tcPr>
          <w:p>
            <w:pPr>
              <w:spacing w:before="20" w:after="20" w:line="276" w:lineRule="auto"/>
              <w:ind w:firstLine="0"/>
            </w:pPr>
            <w:r/>
            <w:r>
              <w:rPr>
                <w:rFonts w:ascii="Times New Roman" w:hAnsi="Times New Roman" w:eastAsia="宋体"/>
                <w:b w:val="0"/>
                <w:i w:val="0"/>
                <w:sz w:val="21"/>
              </w:rPr>
              <w:t>放货指令列表与七态分栏</w:t>
            </w:r>
          </w:p>
        </w:tc>
        <w:tc>
          <w:tcPr>
            <w:tcW w:type="dxa" w:w="3175"/>
          </w:tcPr>
          <w:p>
            <w:pPr>
              <w:spacing w:before="20" w:after="20" w:line="276" w:lineRule="auto"/>
              <w:ind w:firstLine="0"/>
            </w:pPr>
            <w:r/>
            <w:r>
              <w:rPr>
                <w:rFonts w:ascii="Times New Roman" w:hAnsi="Times New Roman" w:eastAsia="宋体"/>
                <w:b w:val="0"/>
                <w:i w:val="0"/>
                <w:sz w:val="21"/>
              </w:rPr>
              <w:t>放货指令主列表，按指令生命周期状态分栏，配合关联销售合同抽屉选择合同</w:t>
            </w:r>
          </w:p>
        </w:tc>
        <w:tc>
          <w:tcPr>
            <w:tcW w:type="dxa" w:w="4422"/>
          </w:tcPr>
          <w:p>
            <w:pPr>
              <w:spacing w:before="20" w:after="20" w:line="276" w:lineRule="auto"/>
              <w:ind w:firstLine="0"/>
            </w:pPr>
            <w:r/>
            <w:r>
              <w:rPr>
                <w:rFonts w:ascii="Times New Roman" w:hAnsi="Times New Roman" w:eastAsia="宋体"/>
                <w:b w:val="0"/>
                <w:i w:val="0"/>
                <w:sz w:val="21"/>
              </w:rPr>
              <w:t>分栏固定为全部、审批中、生效中、已超额、已完结、已驳回、已作废 7 个且不带计数；列表共 10 列：放货指令编号、合同编号、卖方企业、买方企业、放货日期、放货数量、品名、最新操作时间、状态、操作；该分栏维度与提货管理的开具与收到维度不同</w:t>
            </w:r>
          </w:p>
        </w:tc>
      </w:tr>
      <w:tr>
        <w:tc>
          <w:tcPr>
            <w:tcW w:type="dxa" w:w="1474"/>
          </w:tcPr>
          <w:p>
            <w:pPr>
              <w:spacing w:before="20" w:after="20" w:line="276" w:lineRule="auto"/>
              <w:ind w:firstLine="0"/>
            </w:pPr>
            <w:r/>
            <w:r>
              <w:rPr>
                <w:rFonts w:ascii="Times New Roman" w:hAnsi="Times New Roman" w:eastAsia="宋体"/>
                <w:b w:val="0"/>
                <w:i w:val="0"/>
                <w:sz w:val="21"/>
              </w:rPr>
              <w:t>新增放货指令表单</w:t>
            </w:r>
          </w:p>
        </w:tc>
        <w:tc>
          <w:tcPr>
            <w:tcW w:type="dxa" w:w="3175"/>
          </w:tcPr>
          <w:p>
            <w:pPr>
              <w:spacing w:before="20" w:after="20" w:line="276" w:lineRule="auto"/>
              <w:ind w:firstLine="0"/>
            </w:pPr>
            <w:r/>
            <w:r>
              <w:rPr>
                <w:rFonts w:ascii="Times New Roman" w:hAnsi="Times New Roman" w:eastAsia="宋体"/>
                <w:b w:val="0"/>
                <w:i w:val="0"/>
                <w:sz w:val="21"/>
              </w:rPr>
              <w:t>6 区块的放货指令登记表单，由合同信息、放货信息、站点表格、备注、业务线下游回款信息、附件组成</w:t>
            </w:r>
          </w:p>
        </w:tc>
        <w:tc>
          <w:tcPr>
            <w:tcW w:type="dxa" w:w="4422"/>
          </w:tcPr>
          <w:p>
            <w:pPr>
              <w:spacing w:before="20" w:after="20" w:line="276" w:lineRule="auto"/>
              <w:ind w:firstLine="0"/>
            </w:pPr>
            <w:r/>
            <w:r>
              <w:rPr>
                <w:rFonts w:ascii="Times New Roman" w:hAnsi="Times New Roman" w:eastAsia="宋体"/>
                <w:b w:val="0"/>
                <w:i w:val="0"/>
                <w:sz w:val="21"/>
              </w:rPr>
              <w:t>区块固定为合同信息 9 字段、放货信息 7 字段、站点表格、备注 1 项、业务线下游回款信息、附件 2 行；备注上限 200 字；运输方式使用单选控件且默认火运；出库通知书附件为必传</w:t>
            </w:r>
          </w:p>
        </w:tc>
      </w:tr>
      <w:tr>
        <w:tc>
          <w:tcPr>
            <w:tcW w:type="dxa" w:w="1474"/>
          </w:tcPr>
          <w:p>
            <w:pPr>
              <w:spacing w:before="20" w:after="20" w:line="276" w:lineRule="auto"/>
              <w:ind w:firstLine="0"/>
            </w:pPr>
            <w:r/>
            <w:r>
              <w:rPr>
                <w:rFonts w:ascii="Times New Roman" w:hAnsi="Times New Roman" w:eastAsia="宋体"/>
                <w:b w:val="0"/>
                <w:i w:val="0"/>
                <w:sz w:val="21"/>
              </w:rPr>
              <w:t>站点表格动态加行</w:t>
            </w:r>
          </w:p>
        </w:tc>
        <w:tc>
          <w:tcPr>
            <w:tcW w:type="dxa" w:w="3175"/>
          </w:tcPr>
          <w:p>
            <w:pPr>
              <w:spacing w:before="20" w:after="20" w:line="276" w:lineRule="auto"/>
              <w:ind w:firstLine="0"/>
            </w:pPr>
            <w:r/>
            <w:r>
              <w:rPr>
                <w:rFonts w:ascii="Times New Roman" w:hAnsi="Times New Roman" w:eastAsia="宋体"/>
                <w:b w:val="0"/>
                <w:i w:val="0"/>
                <w:sz w:val="21"/>
              </w:rPr>
              <w:t>放货指令内的发站到站明细表，支持按需追加行</w:t>
            </w:r>
          </w:p>
        </w:tc>
        <w:tc>
          <w:tcPr>
            <w:tcW w:type="dxa" w:w="4422"/>
          </w:tcPr>
          <w:p>
            <w:pPr>
              <w:spacing w:before="20" w:after="20" w:line="276" w:lineRule="auto"/>
              <w:ind w:firstLine="0"/>
            </w:pPr>
            <w:r/>
            <w:r>
              <w:rPr>
                <w:rFonts w:ascii="Times New Roman" w:hAnsi="Times New Roman" w:eastAsia="宋体"/>
                <w:b w:val="0"/>
                <w:i w:val="0"/>
                <w:sz w:val="21"/>
              </w:rPr>
              <w:t>表格列为序号、发站、到站、收货人、托运人、操作；发站与到站均为必填；点击操作列的新增按钮由脚本追加一行，可连续添加多行</w:t>
            </w:r>
          </w:p>
        </w:tc>
      </w:tr>
      <w:tr>
        <w:tc>
          <w:tcPr>
            <w:tcW w:type="dxa" w:w="1474"/>
          </w:tcPr>
          <w:p>
            <w:pPr>
              <w:spacing w:before="20" w:after="20" w:line="276" w:lineRule="auto"/>
              <w:ind w:firstLine="0"/>
            </w:pPr>
            <w:r/>
            <w:r>
              <w:rPr>
                <w:rFonts w:ascii="Times New Roman" w:hAnsi="Times New Roman" w:eastAsia="宋体"/>
                <w:b w:val="0"/>
                <w:i w:val="0"/>
                <w:sz w:val="21"/>
              </w:rPr>
              <w:t>业务线下游回款信息</w:t>
            </w:r>
          </w:p>
        </w:tc>
        <w:tc>
          <w:tcPr>
            <w:tcW w:type="dxa" w:w="3175"/>
          </w:tcPr>
          <w:p>
            <w:pPr>
              <w:spacing w:before="20" w:after="20" w:line="276" w:lineRule="auto"/>
              <w:ind w:firstLine="0"/>
            </w:pPr>
            <w:r/>
            <w:r>
              <w:rPr>
                <w:rFonts w:ascii="Times New Roman" w:hAnsi="Times New Roman" w:eastAsia="宋体"/>
                <w:b w:val="0"/>
                <w:i w:val="0"/>
                <w:sz w:val="21"/>
              </w:rPr>
              <w:t>放货指令表单与详情中展示的下游回款汇总与逐笔认领明细</w:t>
            </w:r>
          </w:p>
        </w:tc>
        <w:tc>
          <w:tcPr>
            <w:tcW w:type="dxa" w:w="4422"/>
          </w:tcPr>
          <w:p>
            <w:pPr>
              <w:spacing w:before="20" w:after="20" w:line="276" w:lineRule="auto"/>
              <w:ind w:firstLine="0"/>
            </w:pPr>
            <w:r/>
            <w:r>
              <w:rPr>
                <w:rFonts w:ascii="Times New Roman" w:hAnsi="Times New Roman" w:eastAsia="宋体"/>
                <w:b w:val="0"/>
                <w:i w:val="0"/>
                <w:sz w:val="21"/>
              </w:rPr>
              <w:t>汇总三项为下游企业累计已回款货款、累计已出库货值、剩余可出库货值；明细表列为收款编号、回款时间、回款金额、认领至本合同金额、可认领余额、回款方式、认领状态、操作；回款方式分电汇、票据、其他，认领状态分已认领、未认领；新增页与详情页的明细表列数不一致，以业务方确认口径为准</w:t>
            </w:r>
          </w:p>
        </w:tc>
      </w:tr>
      <w:tr>
        <w:tc>
          <w:tcPr>
            <w:tcW w:type="dxa" w:w="1474"/>
          </w:tcPr>
          <w:p>
            <w:pPr>
              <w:spacing w:before="20" w:after="20" w:line="276" w:lineRule="auto"/>
              <w:ind w:firstLine="0"/>
            </w:pPr>
            <w:r/>
            <w:r>
              <w:rPr>
                <w:rFonts w:ascii="Times New Roman" w:hAnsi="Times New Roman" w:eastAsia="宋体"/>
                <w:b w:val="0"/>
                <w:i w:val="0"/>
                <w:sz w:val="21"/>
              </w:rPr>
              <w:t>放货指令详情</w:t>
            </w:r>
          </w:p>
        </w:tc>
        <w:tc>
          <w:tcPr>
            <w:tcW w:type="dxa" w:w="3175"/>
          </w:tcPr>
          <w:p>
            <w:pPr>
              <w:spacing w:before="20" w:after="20" w:line="276" w:lineRule="auto"/>
              <w:ind w:firstLine="0"/>
            </w:pPr>
            <w:r/>
            <w:r>
              <w:rPr>
                <w:rFonts w:ascii="Times New Roman" w:hAnsi="Times New Roman" w:eastAsia="宋体"/>
                <w:b w:val="0"/>
                <w:i w:val="0"/>
                <w:sz w:val="21"/>
              </w:rPr>
              <w:t>放货指令的详情视图，按四个页签呈现指令主体、审批、出库与操作轨迹</w:t>
            </w:r>
          </w:p>
        </w:tc>
        <w:tc>
          <w:tcPr>
            <w:tcW w:type="dxa" w:w="4422"/>
          </w:tcPr>
          <w:p>
            <w:pPr>
              <w:spacing w:before="20" w:after="20" w:line="276" w:lineRule="auto"/>
              <w:ind w:firstLine="0"/>
            </w:pPr>
            <w:r/>
            <w:r>
              <w:rPr>
                <w:rFonts w:ascii="Times New Roman" w:hAnsi="Times New Roman" w:eastAsia="宋体"/>
                <w:b w:val="0"/>
                <w:i w:val="0"/>
                <w:sz w:val="21"/>
              </w:rPr>
              <w:t>页签为放货信息、审批管理、出库记录、操作记录，默认停留在放货信息；审批管理页签名随单据状态在审批管理与审批记录之间切换；出库记录为 6 列表格并附放货数量与出库数量汇总，无数据时展示暂无数据；操作记录为 5 列表格</w:t>
            </w:r>
          </w:p>
        </w:tc>
      </w:tr>
      <w:tr>
        <w:tc>
          <w:tcPr>
            <w:tcW w:type="dxa" w:w="1474"/>
          </w:tcPr>
          <w:p>
            <w:pPr>
              <w:spacing w:before="20" w:after="20" w:line="276" w:lineRule="auto"/>
              <w:ind w:firstLine="0"/>
            </w:pPr>
            <w:r/>
            <w:r>
              <w:rPr>
                <w:rFonts w:ascii="Times New Roman" w:hAnsi="Times New Roman" w:eastAsia="宋体"/>
                <w:b w:val="0"/>
                <w:i w:val="0"/>
                <w:sz w:val="21"/>
              </w:rPr>
              <w:t>放货与出库联动</w:t>
            </w:r>
          </w:p>
        </w:tc>
        <w:tc>
          <w:tcPr>
            <w:tcW w:type="dxa" w:w="3175"/>
          </w:tcPr>
          <w:p>
            <w:pPr>
              <w:spacing w:before="20" w:after="20" w:line="276" w:lineRule="auto"/>
              <w:ind w:firstLine="0"/>
            </w:pPr>
            <w:r/>
            <w:r>
              <w:rPr>
                <w:rFonts w:ascii="Times New Roman" w:hAnsi="Times New Roman" w:eastAsia="宋体"/>
                <w:b w:val="0"/>
                <w:i w:val="0"/>
                <w:sz w:val="21"/>
              </w:rPr>
              <w:t>放货执行完成后联动生成出库登记，并把出库结果回写到放货指令详情</w:t>
            </w:r>
          </w:p>
        </w:tc>
        <w:tc>
          <w:tcPr>
            <w:tcW w:type="dxa" w:w="4422"/>
          </w:tcPr>
          <w:p>
            <w:pPr>
              <w:spacing w:before="20" w:after="20" w:line="276" w:lineRule="auto"/>
              <w:ind w:firstLine="0"/>
            </w:pPr>
            <w:r/>
            <w:r>
              <w:rPr>
                <w:rFonts w:ascii="Times New Roman" w:hAnsi="Times New Roman" w:eastAsia="宋体"/>
                <w:b w:val="0"/>
                <w:i w:val="0"/>
                <w:sz w:val="21"/>
              </w:rPr>
              <w:t>放货执行后联动出库登记；出库记录页签回显出库编号、关联下煤计划编号、出库日期、仓房与货位、出库数量、车数；累计出库数量不得超过放货数量</w:t>
            </w:r>
          </w:p>
        </w:tc>
      </w:tr>
    </w:tbl>
    <w:p>
      <w:pPr>
        <w:spacing w:before="0" w:after="0" w:line="240" w:lineRule="auto"/>
      </w:pP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tblGrid>
      <w:tr>
        <w:trPr>
          <w:tblHeader w:val="true"/>
        </w:trPr>
        <w:tc>
          <w:tcPr>
            <w:tcW w:type="dxa" w:w="1247"/>
            <w:shd w:val="clear" w:color="auto" w:fill="DCE6F1"/>
          </w:tcPr>
          <w:p>
            <w:pPr>
              <w:spacing w:before="40" w:after="40" w:line="276" w:lineRule="auto"/>
              <w:jc w:val="center"/>
            </w:pPr>
            <w:r/>
            <w:r>
              <w:rPr>
                <w:rFonts w:ascii="Times New Roman" w:hAnsi="Times New Roman" w:eastAsia="黑体"/>
                <w:b/>
                <w:i w:val="0"/>
                <w:sz w:val="19"/>
              </w:rPr>
              <w:t>页面</w:t>
            </w:r>
          </w:p>
        </w:tc>
        <w:tc>
          <w:tcPr>
            <w:tcW w:type="dxa" w:w="1474"/>
            <w:shd w:val="clear" w:color="auto" w:fill="DCE6F1"/>
          </w:tcPr>
          <w:p>
            <w:pPr>
              <w:spacing w:before="40" w:after="40" w:line="276" w:lineRule="auto"/>
              <w:jc w:val="center"/>
            </w:pPr>
            <w:r/>
            <w:r>
              <w:rPr>
                <w:rFonts w:ascii="Times New Roman" w:hAnsi="Times New Roman" w:eastAsia="黑体"/>
                <w:b/>
                <w:i w:val="0"/>
                <w:sz w:val="19"/>
              </w:rPr>
              <w:t>文件</w:t>
            </w:r>
          </w:p>
        </w:tc>
        <w:tc>
          <w:tcPr>
            <w:tcW w:type="dxa" w:w="1134"/>
            <w:shd w:val="clear" w:color="auto" w:fill="DCE6F1"/>
          </w:tcPr>
          <w:p>
            <w:pPr>
              <w:spacing w:before="40" w:after="40" w:line="276" w:lineRule="auto"/>
              <w:jc w:val="center"/>
            </w:pPr>
            <w:r/>
            <w:r>
              <w:rPr>
                <w:rFonts w:ascii="Times New Roman" w:hAnsi="Times New Roman" w:eastAsia="黑体"/>
                <w:b/>
                <w:i w:val="0"/>
                <w:sz w:val="19"/>
              </w:rPr>
              <w:t>入口</w:t>
            </w:r>
          </w:p>
        </w:tc>
        <w:tc>
          <w:tcPr>
            <w:tcW w:type="dxa" w:w="2041"/>
            <w:shd w:val="clear" w:color="auto" w:fill="DCE6F1"/>
          </w:tcPr>
          <w:p>
            <w:pPr>
              <w:spacing w:before="40" w:after="40" w:line="276" w:lineRule="auto"/>
              <w:jc w:val="center"/>
            </w:pPr>
            <w:r/>
            <w:r>
              <w:rPr>
                <w:rFonts w:ascii="Times New Roman" w:hAnsi="Times New Roman" w:eastAsia="黑体"/>
                <w:b/>
                <w:i w:val="0"/>
                <w:sz w:val="19"/>
              </w:rPr>
              <w:t>主要区块</w:t>
            </w:r>
          </w:p>
        </w:tc>
        <w:tc>
          <w:tcPr>
            <w:tcW w:type="dxa" w:w="1701"/>
            <w:shd w:val="clear" w:color="auto" w:fill="DCE6F1"/>
          </w:tcPr>
          <w:p>
            <w:pPr>
              <w:spacing w:before="40" w:after="40" w:line="276" w:lineRule="auto"/>
              <w:jc w:val="center"/>
            </w:pPr>
            <w:r/>
            <w:r>
              <w:rPr>
                <w:rFonts w:ascii="Times New Roman" w:hAnsi="Times New Roman" w:eastAsia="黑体"/>
                <w:b/>
                <w:i w:val="0"/>
                <w:sz w:val="19"/>
              </w:rPr>
              <w:t>主要操作</w:t>
            </w:r>
          </w:p>
        </w:tc>
        <w:tc>
          <w:tcPr>
            <w:tcW w:type="dxa" w:w="1474"/>
            <w:shd w:val="clear" w:color="auto" w:fill="DCE6F1"/>
          </w:tcPr>
          <w:p>
            <w:pPr>
              <w:spacing w:before="40" w:after="40" w:line="276" w:lineRule="auto"/>
              <w:jc w:val="center"/>
            </w:pPr>
            <w:r/>
            <w:r>
              <w:rPr>
                <w:rFonts w:ascii="Times New Roman" w:hAnsi="Times New Roman" w:eastAsia="黑体"/>
                <w:b/>
                <w:i w:val="0"/>
                <w:sz w:val="19"/>
              </w:rPr>
              <w:t>跳转</w:t>
            </w:r>
          </w:p>
        </w:tc>
      </w:tr>
      <w:tr>
        <w:tc>
          <w:tcPr>
            <w:tcW w:type="dxa" w:w="1247"/>
          </w:tcPr>
          <w:p>
            <w:pPr>
              <w:spacing w:before="20" w:after="20" w:line="276" w:lineRule="auto"/>
              <w:ind w:firstLine="0"/>
            </w:pPr>
            <w:r/>
            <w:r>
              <w:rPr>
                <w:rFonts w:ascii="Times New Roman" w:hAnsi="Times New Roman" w:eastAsia="宋体"/>
                <w:b w:val="0"/>
                <w:i w:val="0"/>
                <w:sz w:val="19"/>
              </w:rPr>
              <w:t>提货管理（列表）</w:t>
            </w:r>
          </w:p>
        </w:tc>
        <w:tc>
          <w:tcPr>
            <w:tcW w:type="dxa" w:w="1474"/>
          </w:tcPr>
          <w:p>
            <w:pPr>
              <w:spacing w:before="20" w:after="20" w:line="276" w:lineRule="auto"/>
              <w:ind w:firstLine="0"/>
            </w:pPr>
            <w:r/>
            <w:r>
              <w:rPr>
                <w:rFonts w:ascii="Times New Roman" w:hAnsi="Times New Roman" w:eastAsia="宋体"/>
                <w:b w:val="0"/>
                <w:i w:val="0"/>
                <w:sz w:val="19"/>
              </w:rPr>
              <w:t>warehouse-pickup.html</w:t>
            </w:r>
          </w:p>
        </w:tc>
        <w:tc>
          <w:tcPr>
            <w:tcW w:type="dxa" w:w="1134"/>
          </w:tcPr>
          <w:p>
            <w:pPr>
              <w:spacing w:before="20" w:after="20" w:line="276" w:lineRule="auto"/>
              <w:ind w:firstLine="0"/>
            </w:pPr>
            <w:r/>
            <w:r>
              <w:rPr>
                <w:rFonts w:ascii="Times New Roman" w:hAnsi="Times New Roman" w:eastAsia="宋体"/>
                <w:b w:val="0"/>
                <w:i w:val="0"/>
                <w:sz w:val="19"/>
              </w:rPr>
              <w:t>仓储管理 → 提放货管理 → 提货管理</w:t>
            </w:r>
          </w:p>
        </w:tc>
        <w:tc>
          <w:tcPr>
            <w:tcW w:type="dxa" w:w="2041"/>
          </w:tcPr>
          <w:p>
            <w:pPr>
              <w:spacing w:before="20" w:after="20" w:line="276" w:lineRule="auto"/>
              <w:ind w:firstLine="0"/>
            </w:pPr>
            <w:r/>
            <w:r>
              <w:rPr>
                <w:rFonts w:ascii="Times New Roman" w:hAnsi="Times New Roman" w:eastAsia="宋体"/>
                <w:b w:val="0"/>
                <w:i w:val="0"/>
                <w:sz w:val="19"/>
              </w:rPr>
              <w:t>5 个字段筛选区、已开具与已收到 2 个分栏、9 列表格、分页</w:t>
            </w:r>
          </w:p>
        </w:tc>
        <w:tc>
          <w:tcPr>
            <w:tcW w:type="dxa" w:w="1701"/>
          </w:tcPr>
          <w:p>
            <w:pPr>
              <w:spacing w:before="20" w:after="20" w:line="276" w:lineRule="auto"/>
              <w:ind w:firstLine="0"/>
            </w:pPr>
            <w:r/>
            <w:r>
              <w:rPr>
                <w:rFonts w:ascii="Times New Roman" w:hAnsi="Times New Roman" w:eastAsia="宋体"/>
                <w:b w:val="0"/>
                <w:i w:val="0"/>
                <w:sz w:val="19"/>
              </w:rPr>
              <w:t>提货申请、数据导出；行内：查看</w:t>
            </w:r>
          </w:p>
        </w:tc>
        <w:tc>
          <w:tcPr>
            <w:tcW w:type="dxa" w:w="1474"/>
          </w:tcPr>
          <w:p>
            <w:pPr>
              <w:spacing w:before="20" w:after="20" w:line="276" w:lineRule="auto"/>
              <w:ind w:firstLine="0"/>
            </w:pPr>
            <w:r/>
            <w:r>
              <w:rPr>
                <w:rFonts w:ascii="Times New Roman" w:hAnsi="Times New Roman" w:eastAsia="宋体"/>
                <w:b w:val="0"/>
                <w:i w:val="0"/>
                <w:sz w:val="19"/>
              </w:rPr>
              <w:t>提货申请与查看分别指向提货申请页与提货详情页，两页本期尚未建设</w:t>
            </w:r>
          </w:p>
        </w:tc>
      </w:tr>
      <w:tr>
        <w:tc>
          <w:tcPr>
            <w:tcW w:type="dxa" w:w="1247"/>
          </w:tcPr>
          <w:p>
            <w:pPr>
              <w:spacing w:before="20" w:after="20" w:line="276" w:lineRule="auto"/>
              <w:ind w:firstLine="0"/>
            </w:pPr>
            <w:r/>
            <w:r>
              <w:rPr>
                <w:rFonts w:ascii="Times New Roman" w:hAnsi="Times New Roman" w:eastAsia="宋体"/>
                <w:b w:val="0"/>
                <w:i w:val="0"/>
                <w:sz w:val="19"/>
              </w:rPr>
              <w:t>放货指令（列表）</w:t>
            </w:r>
          </w:p>
        </w:tc>
        <w:tc>
          <w:tcPr>
            <w:tcW w:type="dxa" w:w="1474"/>
          </w:tcPr>
          <w:p>
            <w:pPr>
              <w:spacing w:before="20" w:after="20" w:line="276" w:lineRule="auto"/>
              <w:ind w:firstLine="0"/>
            </w:pPr>
            <w:r/>
            <w:r>
              <w:rPr>
                <w:rFonts w:ascii="Times New Roman" w:hAnsi="Times New Roman" w:eastAsia="宋体"/>
                <w:b w:val="0"/>
                <w:i w:val="0"/>
                <w:sz w:val="19"/>
              </w:rPr>
              <w:t>warehouse-release.html</w:t>
            </w:r>
          </w:p>
        </w:tc>
        <w:tc>
          <w:tcPr>
            <w:tcW w:type="dxa" w:w="1134"/>
          </w:tcPr>
          <w:p>
            <w:pPr>
              <w:spacing w:before="20" w:after="20" w:line="276" w:lineRule="auto"/>
              <w:ind w:firstLine="0"/>
            </w:pPr>
            <w:r/>
            <w:r>
              <w:rPr>
                <w:rFonts w:ascii="Times New Roman" w:hAnsi="Times New Roman" w:eastAsia="宋体"/>
                <w:b w:val="0"/>
                <w:i w:val="0"/>
                <w:sz w:val="19"/>
              </w:rPr>
              <w:t>仓储管理 → 提放货管理 → 放货管理</w:t>
            </w:r>
          </w:p>
        </w:tc>
        <w:tc>
          <w:tcPr>
            <w:tcW w:type="dxa" w:w="2041"/>
          </w:tcPr>
          <w:p>
            <w:pPr>
              <w:spacing w:before="20" w:after="20" w:line="276" w:lineRule="auto"/>
              <w:ind w:firstLine="0"/>
            </w:pPr>
            <w:r/>
            <w:r>
              <w:rPr>
                <w:rFonts w:ascii="Times New Roman" w:hAnsi="Times New Roman" w:eastAsia="宋体"/>
                <w:b w:val="0"/>
                <w:i w:val="0"/>
                <w:sz w:val="19"/>
              </w:rPr>
              <w:t>4 个字段筛选区、7 个状态分栏（全部、审批中、生效中、已超额、已完结、已驳回、已作废）、10 列表格、关联销售合同抽屉</w:t>
            </w:r>
          </w:p>
        </w:tc>
        <w:tc>
          <w:tcPr>
            <w:tcW w:type="dxa" w:w="1701"/>
          </w:tcPr>
          <w:p>
            <w:pPr>
              <w:spacing w:before="20" w:after="20" w:line="276" w:lineRule="auto"/>
              <w:ind w:firstLine="0"/>
            </w:pPr>
            <w:r/>
            <w:r>
              <w:rPr>
                <w:rFonts w:ascii="Times New Roman" w:hAnsi="Times New Roman" w:eastAsia="宋体"/>
                <w:b w:val="0"/>
                <w:i w:val="0"/>
                <w:sz w:val="19"/>
              </w:rPr>
              <w:t>新增放货指令、数据导出、关联销售合同；行内：详情</w:t>
            </w:r>
          </w:p>
        </w:tc>
        <w:tc>
          <w:tcPr>
            <w:tcW w:type="dxa" w:w="1474"/>
          </w:tcPr>
          <w:p>
            <w:pPr>
              <w:spacing w:before="20" w:after="20" w:line="276" w:lineRule="auto"/>
              <w:ind w:firstLine="0"/>
            </w:pPr>
            <w:r/>
            <w:r>
              <w:rPr>
                <w:rFonts w:ascii="Times New Roman" w:hAnsi="Times New Roman" w:eastAsia="宋体"/>
                <w:b w:val="0"/>
                <w:i w:val="0"/>
                <w:sz w:val="19"/>
              </w:rPr>
              <w:t>新增放货指令 → 新增放货指令表单；详情 → 放货指令详情页；关联销售合同 → 抽屉内筛选并选择合同</w:t>
            </w:r>
          </w:p>
        </w:tc>
      </w:tr>
      <w:tr>
        <w:tc>
          <w:tcPr>
            <w:tcW w:type="dxa" w:w="1247"/>
          </w:tcPr>
          <w:p>
            <w:pPr>
              <w:spacing w:before="20" w:after="20" w:line="276" w:lineRule="auto"/>
              <w:ind w:firstLine="0"/>
            </w:pPr>
            <w:r/>
            <w:r>
              <w:rPr>
                <w:rFonts w:ascii="Times New Roman" w:hAnsi="Times New Roman" w:eastAsia="宋体"/>
                <w:b w:val="0"/>
                <w:i w:val="0"/>
                <w:sz w:val="19"/>
              </w:rPr>
              <w:t>新增放货指令（表单）</w:t>
            </w:r>
          </w:p>
        </w:tc>
        <w:tc>
          <w:tcPr>
            <w:tcW w:type="dxa" w:w="1474"/>
          </w:tcPr>
          <w:p>
            <w:pPr>
              <w:spacing w:before="20" w:after="20" w:line="276" w:lineRule="auto"/>
              <w:ind w:firstLine="0"/>
            </w:pPr>
            <w:r/>
            <w:r>
              <w:rPr>
                <w:rFonts w:ascii="Times New Roman" w:hAnsi="Times New Roman" w:eastAsia="宋体"/>
                <w:b w:val="0"/>
                <w:i w:val="0"/>
                <w:sz w:val="19"/>
              </w:rPr>
              <w:t>warehouse-release-new.html</w:t>
            </w:r>
          </w:p>
        </w:tc>
        <w:tc>
          <w:tcPr>
            <w:tcW w:type="dxa" w:w="1134"/>
          </w:tcPr>
          <w:p>
            <w:pPr>
              <w:spacing w:before="20" w:after="20" w:line="276" w:lineRule="auto"/>
              <w:ind w:firstLine="0"/>
            </w:pPr>
            <w:r/>
            <w:r>
              <w:rPr>
                <w:rFonts w:ascii="Times New Roman" w:hAnsi="Times New Roman" w:eastAsia="宋体"/>
                <w:b w:val="0"/>
                <w:i w:val="0"/>
                <w:sz w:val="19"/>
              </w:rPr>
              <w:t>放货指令列表 → 新增放货指令</w:t>
            </w:r>
          </w:p>
        </w:tc>
        <w:tc>
          <w:tcPr>
            <w:tcW w:type="dxa" w:w="2041"/>
          </w:tcPr>
          <w:p>
            <w:pPr>
              <w:spacing w:before="20" w:after="20" w:line="276" w:lineRule="auto"/>
              <w:ind w:firstLine="0"/>
            </w:pPr>
            <w:r/>
            <w:r>
              <w:rPr>
                <w:rFonts w:ascii="Times New Roman" w:hAnsi="Times New Roman" w:eastAsia="宋体"/>
                <w:b w:val="0"/>
                <w:i w:val="0"/>
                <w:sz w:val="19"/>
              </w:rPr>
              <w:t>合同信息 9 字段、放货信息 7 字段、站点表格、备注、业务线下游回款信息（3 项汇总 + 逐笔回款表）、附件 2 行与上传要求提示</w:t>
            </w:r>
          </w:p>
        </w:tc>
        <w:tc>
          <w:tcPr>
            <w:tcW w:type="dxa" w:w="1701"/>
          </w:tcPr>
          <w:p>
            <w:pPr>
              <w:spacing w:before="20" w:after="20" w:line="276" w:lineRule="auto"/>
              <w:ind w:firstLine="0"/>
            </w:pPr>
            <w:r/>
            <w:r>
              <w:rPr>
                <w:rFonts w:ascii="Times New Roman" w:hAnsi="Times New Roman" w:eastAsia="宋体"/>
                <w:b w:val="0"/>
                <w:i w:val="0"/>
                <w:sz w:val="19"/>
              </w:rPr>
              <w:t>提交、取消、站点新增行、附件上传与移除</w:t>
            </w:r>
          </w:p>
        </w:tc>
        <w:tc>
          <w:tcPr>
            <w:tcW w:type="dxa" w:w="1474"/>
          </w:tcPr>
          <w:p>
            <w:pPr>
              <w:spacing w:before="20" w:after="20" w:line="276" w:lineRule="auto"/>
              <w:ind w:firstLine="0"/>
            </w:pPr>
            <w:r/>
            <w:r>
              <w:rPr>
                <w:rFonts w:ascii="Times New Roman" w:hAnsi="Times New Roman" w:eastAsia="宋体"/>
                <w:b w:val="0"/>
                <w:i w:val="0"/>
                <w:sz w:val="19"/>
              </w:rPr>
              <w:t>提交成功 → 放货指令列表</w:t>
            </w:r>
          </w:p>
        </w:tc>
      </w:tr>
      <w:tr>
        <w:tc>
          <w:tcPr>
            <w:tcW w:type="dxa" w:w="1247"/>
          </w:tcPr>
          <w:p>
            <w:pPr>
              <w:spacing w:before="20" w:after="20" w:line="276" w:lineRule="auto"/>
              <w:ind w:firstLine="0"/>
            </w:pPr>
            <w:r/>
            <w:r>
              <w:rPr>
                <w:rFonts w:ascii="Times New Roman" w:hAnsi="Times New Roman" w:eastAsia="宋体"/>
                <w:b w:val="0"/>
                <w:i w:val="0"/>
                <w:sz w:val="19"/>
              </w:rPr>
              <w:t>放货指令详情</w:t>
            </w:r>
          </w:p>
        </w:tc>
        <w:tc>
          <w:tcPr>
            <w:tcW w:type="dxa" w:w="1474"/>
          </w:tcPr>
          <w:p>
            <w:pPr>
              <w:spacing w:before="20" w:after="20" w:line="276" w:lineRule="auto"/>
              <w:ind w:firstLine="0"/>
            </w:pPr>
            <w:r/>
            <w:r>
              <w:rPr>
                <w:rFonts w:ascii="Times New Roman" w:hAnsi="Times New Roman" w:eastAsia="宋体"/>
                <w:b w:val="0"/>
                <w:i w:val="0"/>
                <w:sz w:val="19"/>
              </w:rPr>
              <w:t>warehouse-release-detail.html</w:t>
            </w:r>
          </w:p>
        </w:tc>
        <w:tc>
          <w:tcPr>
            <w:tcW w:type="dxa" w:w="1134"/>
          </w:tcPr>
          <w:p>
            <w:pPr>
              <w:spacing w:before="20" w:after="20" w:line="276" w:lineRule="auto"/>
              <w:ind w:firstLine="0"/>
            </w:pPr>
            <w:r/>
            <w:r>
              <w:rPr>
                <w:rFonts w:ascii="Times New Roman" w:hAnsi="Times New Roman" w:eastAsia="宋体"/>
                <w:b w:val="0"/>
                <w:i w:val="0"/>
                <w:sz w:val="19"/>
              </w:rPr>
              <w:t>放货指令列表行内 → 详情</w:t>
            </w:r>
          </w:p>
        </w:tc>
        <w:tc>
          <w:tcPr>
            <w:tcW w:type="dxa" w:w="2041"/>
          </w:tcPr>
          <w:p>
            <w:pPr>
              <w:spacing w:before="20" w:after="20" w:line="276" w:lineRule="auto"/>
              <w:ind w:firstLine="0"/>
            </w:pPr>
            <w:r/>
            <w:r>
              <w:rPr>
                <w:rFonts w:ascii="Times New Roman" w:hAnsi="Times New Roman" w:eastAsia="宋体"/>
                <w:b w:val="0"/>
                <w:i w:val="0"/>
                <w:sz w:val="19"/>
              </w:rPr>
              <w:t>页头信息条（放货指令编号、状态、所属合同编号、买卖方企业、创建人与时间）、页签一放货信息（放货信息 + 业务线下回款信息 + 附件）、页签二审批管理、页签三出库记录（6 列 + 汇总）、页签四操作记录（5 列）</w:t>
            </w:r>
          </w:p>
        </w:tc>
        <w:tc>
          <w:tcPr>
            <w:tcW w:type="dxa" w:w="1701"/>
          </w:tcPr>
          <w:p>
            <w:pPr>
              <w:spacing w:before="20" w:after="20" w:line="276" w:lineRule="auto"/>
              <w:ind w:firstLine="0"/>
            </w:pPr>
            <w:r/>
            <w:r>
              <w:rPr>
                <w:rFonts w:ascii="Times New Roman" w:hAnsi="Times New Roman" w:eastAsia="宋体"/>
                <w:b w:val="0"/>
                <w:i w:val="0"/>
                <w:sz w:val="19"/>
              </w:rPr>
              <w:t>复制放货指令编号、跳转所属合同、下载附件、回款详情</w:t>
            </w:r>
          </w:p>
        </w:tc>
        <w:tc>
          <w:tcPr>
            <w:tcW w:type="dxa" w:w="1474"/>
          </w:tcPr>
          <w:p>
            <w:pPr>
              <w:spacing w:before="20" w:after="20" w:line="276" w:lineRule="auto"/>
              <w:ind w:firstLine="0"/>
            </w:pPr>
            <w:r/>
            <w:r>
              <w:rPr>
                <w:rFonts w:ascii="Times New Roman" w:hAnsi="Times New Roman" w:eastAsia="宋体"/>
                <w:b w:val="0"/>
                <w:i w:val="0"/>
                <w:sz w:val="19"/>
              </w:rPr>
              <w:t>所属合同编号 → 合同详情页；回款详情 → 回款认领记录详情</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4.22.5　数据关系</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474"/>
            <w:shd w:val="clear" w:color="auto" w:fill="DCE6F1"/>
          </w:tcPr>
          <w:p>
            <w:pPr>
              <w:spacing w:before="40" w:after="40" w:line="276" w:lineRule="auto"/>
              <w:jc w:val="center"/>
            </w:pPr>
            <w:r/>
            <w:r>
              <w:rPr>
                <w:rFonts w:ascii="Times New Roman" w:hAnsi="Times New Roman" w:eastAsia="黑体"/>
                <w:b/>
                <w:i w:val="0"/>
                <w:sz w:val="21"/>
              </w:rPr>
              <w:t>业务对象</w:t>
            </w:r>
          </w:p>
        </w:tc>
        <w:tc>
          <w:tcPr>
            <w:tcW w:type="dxa" w:w="4195"/>
            <w:shd w:val="clear" w:color="auto" w:fill="DCE6F1"/>
          </w:tcPr>
          <w:p>
            <w:pPr>
              <w:spacing w:before="40" w:after="40" w:line="276" w:lineRule="auto"/>
              <w:jc w:val="center"/>
            </w:pPr>
            <w:r/>
            <w:r>
              <w:rPr>
                <w:rFonts w:ascii="Times New Roman" w:hAnsi="Times New Roman" w:eastAsia="黑体"/>
                <w:b/>
                <w:i w:val="0"/>
                <w:sz w:val="21"/>
              </w:rPr>
              <w:t>关键字段与口径</w:t>
            </w:r>
          </w:p>
        </w:tc>
        <w:tc>
          <w:tcPr>
            <w:tcW w:type="dxa" w:w="3402"/>
            <w:shd w:val="clear" w:color="auto" w:fill="DCE6F1"/>
          </w:tcPr>
          <w:p>
            <w:pPr>
              <w:spacing w:before="40" w:after="40" w:line="276" w:lineRule="auto"/>
              <w:jc w:val="center"/>
            </w:pPr>
            <w:r/>
            <w:r>
              <w:rPr>
                <w:rFonts w:ascii="Times New Roman" w:hAnsi="Times New Roman" w:eastAsia="黑体"/>
                <w:b/>
                <w:i w:val="0"/>
                <w:sz w:val="21"/>
              </w:rPr>
              <w:t>与其他对象的关系</w:t>
            </w:r>
          </w:p>
        </w:tc>
      </w:tr>
      <w:tr>
        <w:tc>
          <w:tcPr>
            <w:tcW w:type="dxa" w:w="1474"/>
          </w:tcPr>
          <w:p>
            <w:pPr>
              <w:spacing w:before="20" w:after="20" w:line="276" w:lineRule="auto"/>
              <w:ind w:firstLine="0"/>
            </w:pPr>
            <w:r/>
            <w:r>
              <w:rPr>
                <w:rFonts w:ascii="Times New Roman" w:hAnsi="Times New Roman" w:eastAsia="宋体"/>
                <w:b w:val="0"/>
                <w:i w:val="0"/>
                <w:sz w:val="21"/>
              </w:rPr>
              <w:t>提货单</w:t>
            </w:r>
          </w:p>
        </w:tc>
        <w:tc>
          <w:tcPr>
            <w:tcW w:type="dxa" w:w="4195"/>
          </w:tcPr>
          <w:p>
            <w:pPr>
              <w:spacing w:before="20" w:after="20" w:line="276" w:lineRule="auto"/>
              <w:ind w:firstLine="0"/>
            </w:pPr>
            <w:r/>
            <w:r>
              <w:rPr>
                <w:rFonts w:ascii="Times New Roman" w:hAnsi="Times New Roman" w:eastAsia="宋体"/>
                <w:b w:val="0"/>
                <w:i w:val="0"/>
                <w:sz w:val="21"/>
              </w:rPr>
              <w:t>合同编号：关联销售合同或采购合同</w:t>
            </w:r>
            <w:r>
              <w:br/>
            </w:r>
            <w:r>
              <w:rPr>
                <w:rFonts w:ascii="Times New Roman" w:hAnsi="Times New Roman" w:eastAsia="宋体"/>
                <w:b w:val="0"/>
                <w:i w:val="0"/>
                <w:sz w:val="21"/>
              </w:rPr>
              <w:t>提货编号：TH 加年月日加四位序号</w:t>
            </w:r>
            <w:r>
              <w:br/>
            </w:r>
            <w:r>
              <w:rPr>
                <w:rFonts w:ascii="Times New Roman" w:hAnsi="Times New Roman" w:eastAsia="宋体"/>
                <w:b w:val="0"/>
                <w:i w:val="0"/>
                <w:sz w:val="21"/>
              </w:rPr>
              <w:t>提货开具方与提货接收方：均为企业名称</w:t>
            </w:r>
            <w:r>
              <w:br/>
            </w:r>
            <w:r>
              <w:rPr>
                <w:rFonts w:ascii="Times New Roman" w:hAnsi="Times New Roman" w:eastAsia="宋体"/>
                <w:b w:val="0"/>
                <w:i w:val="0"/>
                <w:sz w:val="21"/>
              </w:rPr>
              <w:t>提货日期：yyyy-MM-dd</w:t>
            </w:r>
            <w:r>
              <w:br/>
            </w:r>
            <w:r>
              <w:rPr>
                <w:rFonts w:ascii="Times New Roman" w:hAnsi="Times New Roman" w:eastAsia="宋体"/>
                <w:b w:val="0"/>
                <w:i w:val="0"/>
                <w:sz w:val="21"/>
              </w:rPr>
              <w:t>提货数量（吨）：数字，右对齐等宽显示</w:t>
            </w:r>
            <w:r>
              <w:br/>
            </w:r>
            <w:r>
              <w:rPr>
                <w:rFonts w:ascii="Times New Roman" w:hAnsi="Times New Roman" w:eastAsia="宋体"/>
                <w:b w:val="0"/>
                <w:i w:val="0"/>
                <w:sz w:val="21"/>
              </w:rPr>
              <w:t>状态：已开具（提货单已由开具方出具）、已收到（收货方已确认收到货物）</w:t>
            </w:r>
            <w:r>
              <w:br/>
            </w:r>
            <w:r>
              <w:rPr>
                <w:rFonts w:ascii="Times New Roman" w:hAnsi="Times New Roman" w:eastAsia="宋体"/>
                <w:b w:val="0"/>
                <w:i w:val="0"/>
                <w:sz w:val="21"/>
              </w:rPr>
              <w:t>最新操作时间：yyyy-MM-dd HH:mm</w:t>
            </w:r>
          </w:p>
        </w:tc>
        <w:tc>
          <w:tcPr>
            <w:tcW w:type="dxa" w:w="3402"/>
          </w:tcPr>
          <w:p>
            <w:pPr>
              <w:spacing w:before="20" w:after="20" w:line="276" w:lineRule="auto"/>
              <w:ind w:firstLine="0"/>
            </w:pPr>
            <w:r/>
            <w:r>
              <w:rPr>
                <w:rFonts w:ascii="Times New Roman" w:hAnsi="Times New Roman" w:eastAsia="宋体"/>
                <w:b w:val="0"/>
                <w:i w:val="0"/>
                <w:sz w:val="21"/>
              </w:rPr>
              <w:t>已开具经仓库发货与收货方确认流转到已收到，已收到为终态并进入结算环节</w:t>
            </w:r>
          </w:p>
        </w:tc>
      </w:tr>
      <w:tr>
        <w:tc>
          <w:tcPr>
            <w:tcW w:type="dxa" w:w="1474"/>
          </w:tcPr>
          <w:p>
            <w:pPr>
              <w:spacing w:before="20" w:after="20" w:line="276" w:lineRule="auto"/>
              <w:ind w:firstLine="0"/>
            </w:pPr>
            <w:r/>
            <w:r>
              <w:rPr>
                <w:rFonts w:ascii="Times New Roman" w:hAnsi="Times New Roman" w:eastAsia="宋体"/>
                <w:b w:val="0"/>
                <w:i w:val="0"/>
                <w:sz w:val="21"/>
              </w:rPr>
              <w:t>放货指令</w:t>
            </w:r>
          </w:p>
        </w:tc>
        <w:tc>
          <w:tcPr>
            <w:tcW w:type="dxa" w:w="4195"/>
          </w:tcPr>
          <w:p>
            <w:pPr>
              <w:spacing w:before="20" w:after="20" w:line="276" w:lineRule="auto"/>
              <w:ind w:firstLine="0"/>
            </w:pPr>
            <w:r/>
            <w:r>
              <w:rPr>
                <w:rFonts w:ascii="Times New Roman" w:hAnsi="Times New Roman" w:eastAsia="宋体"/>
                <w:b w:val="0"/>
                <w:i w:val="0"/>
                <w:sz w:val="21"/>
              </w:rPr>
              <w:t>放货指令编号：系统生成</w:t>
            </w:r>
            <w:r>
              <w:br/>
            </w:r>
            <w:r>
              <w:rPr>
                <w:rFonts w:ascii="Times New Roman" w:hAnsi="Times New Roman" w:eastAsia="宋体"/>
                <w:b w:val="0"/>
                <w:i w:val="0"/>
                <w:sz w:val="21"/>
              </w:rPr>
              <w:t>放货日期、放货数量（吨）、品名、仓库名称</w:t>
            </w:r>
            <w:r>
              <w:br/>
            </w:r>
            <w:r>
              <w:rPr>
                <w:rFonts w:ascii="Times New Roman" w:hAnsi="Times New Roman" w:eastAsia="宋体"/>
                <w:b w:val="0"/>
                <w:i w:val="0"/>
                <w:sz w:val="21"/>
              </w:rPr>
              <w:t>提货联系人姓名、提货人联系方式、提货联系人身份证号：均为必填</w:t>
            </w:r>
            <w:r>
              <w:br/>
            </w:r>
            <w:r>
              <w:rPr>
                <w:rFonts w:ascii="Times New Roman" w:hAnsi="Times New Roman" w:eastAsia="宋体"/>
                <w:b w:val="0"/>
                <w:i w:val="0"/>
                <w:sz w:val="21"/>
              </w:rPr>
              <w:t>运输方式：汽运、火运、船运</w:t>
            </w:r>
            <w:r>
              <w:br/>
            </w:r>
            <w:r>
              <w:rPr>
                <w:rFonts w:ascii="Times New Roman" w:hAnsi="Times New Roman" w:eastAsia="宋体"/>
                <w:b w:val="0"/>
                <w:i w:val="0"/>
                <w:sz w:val="21"/>
              </w:rPr>
              <w:t>状态：全部、审批中、生效中、已超额、已完结、已驳回、已作废</w:t>
            </w:r>
            <w:r>
              <w:br/>
            </w:r>
            <w:r>
              <w:rPr>
                <w:rFonts w:ascii="Times New Roman" w:hAnsi="Times New Roman" w:eastAsia="宋体"/>
                <w:b w:val="0"/>
                <w:i w:val="0"/>
                <w:sz w:val="21"/>
              </w:rPr>
              <w:t>累计已出库数量：与放货数量并列展示</w:t>
            </w:r>
          </w:p>
        </w:tc>
        <w:tc>
          <w:tcPr>
            <w:tcW w:type="dxa" w:w="3402"/>
          </w:tcPr>
          <w:p>
            <w:pPr>
              <w:spacing w:before="20" w:after="20" w:line="276" w:lineRule="auto"/>
              <w:ind w:firstLine="0"/>
            </w:pPr>
            <w:r/>
            <w:r>
              <w:rPr>
                <w:rFonts w:ascii="Times New Roman" w:hAnsi="Times New Roman" w:eastAsia="宋体"/>
                <w:b w:val="0"/>
                <w:i w:val="0"/>
                <w:sz w:val="21"/>
              </w:rPr>
              <w:t>放货指令关联销售合同，关联后带入合同信息与业务线下游回款信息；执行完成后联动出库登记</w:t>
            </w:r>
          </w:p>
        </w:tc>
      </w:tr>
      <w:tr>
        <w:tc>
          <w:tcPr>
            <w:tcW w:type="dxa" w:w="1474"/>
          </w:tcPr>
          <w:p>
            <w:pPr>
              <w:spacing w:before="20" w:after="20" w:line="276" w:lineRule="auto"/>
              <w:ind w:firstLine="0"/>
            </w:pPr>
            <w:r/>
            <w:r>
              <w:rPr>
                <w:rFonts w:ascii="Times New Roman" w:hAnsi="Times New Roman" w:eastAsia="宋体"/>
                <w:b w:val="0"/>
                <w:i w:val="0"/>
                <w:sz w:val="21"/>
              </w:rPr>
              <w:t>站点</w:t>
            </w:r>
          </w:p>
        </w:tc>
        <w:tc>
          <w:tcPr>
            <w:tcW w:type="dxa" w:w="4195"/>
          </w:tcPr>
          <w:p>
            <w:pPr>
              <w:spacing w:before="20" w:after="20" w:line="276" w:lineRule="auto"/>
              <w:ind w:firstLine="0"/>
            </w:pPr>
            <w:r/>
            <w:r>
              <w:rPr>
                <w:rFonts w:ascii="Times New Roman" w:hAnsi="Times New Roman" w:eastAsia="宋体"/>
                <w:b w:val="0"/>
                <w:i w:val="0"/>
                <w:sz w:val="21"/>
              </w:rPr>
              <w:t>序号、发站、到站：发站与到站为必填</w:t>
            </w:r>
            <w:r>
              <w:br/>
            </w:r>
            <w:r>
              <w:rPr>
                <w:rFonts w:ascii="Times New Roman" w:hAnsi="Times New Roman" w:eastAsia="宋体"/>
                <w:b w:val="0"/>
                <w:i w:val="0"/>
                <w:sz w:val="21"/>
              </w:rPr>
              <w:t>收货人、托运人：选填</w:t>
            </w:r>
            <w:r>
              <w:br/>
            </w:r>
            <w:r>
              <w:rPr>
                <w:rFonts w:ascii="Times New Roman" w:hAnsi="Times New Roman" w:eastAsia="宋体"/>
                <w:b w:val="0"/>
                <w:i w:val="0"/>
                <w:sz w:val="21"/>
              </w:rPr>
              <w:t>行数可动态追加</w:t>
            </w:r>
          </w:p>
        </w:tc>
        <w:tc>
          <w:tcPr>
            <w:tcW w:type="dxa" w:w="3402"/>
          </w:tcPr>
          <w:p>
            <w:pPr>
              <w:spacing w:before="20" w:after="20" w:line="276" w:lineRule="auto"/>
              <w:ind w:firstLine="0"/>
            </w:pPr>
            <w:r/>
            <w:r>
              <w:rPr>
                <w:rFonts w:ascii="Times New Roman" w:hAnsi="Times New Roman" w:eastAsia="宋体"/>
                <w:b w:val="0"/>
                <w:i w:val="0"/>
                <w:sz w:val="21"/>
              </w:rPr>
              <w:t>站点属于运输层概念，是放货指令的子表，与库点、仓房、货位不在同一维度</w:t>
            </w:r>
          </w:p>
        </w:tc>
      </w:tr>
      <w:tr>
        <w:tc>
          <w:tcPr>
            <w:tcW w:type="dxa" w:w="1474"/>
          </w:tcPr>
          <w:p>
            <w:pPr>
              <w:spacing w:before="20" w:after="20" w:line="276" w:lineRule="auto"/>
              <w:ind w:firstLine="0"/>
            </w:pPr>
            <w:r/>
            <w:r>
              <w:rPr>
                <w:rFonts w:ascii="Times New Roman" w:hAnsi="Times New Roman" w:eastAsia="宋体"/>
                <w:b w:val="0"/>
                <w:i w:val="0"/>
                <w:sz w:val="21"/>
              </w:rPr>
              <w:t>回款认领记录</w:t>
            </w:r>
          </w:p>
        </w:tc>
        <w:tc>
          <w:tcPr>
            <w:tcW w:type="dxa" w:w="4195"/>
          </w:tcPr>
          <w:p>
            <w:pPr>
              <w:spacing w:before="20" w:after="20" w:line="276" w:lineRule="auto"/>
              <w:ind w:firstLine="0"/>
            </w:pPr>
            <w:r/>
            <w:r>
              <w:rPr>
                <w:rFonts w:ascii="Times New Roman" w:hAnsi="Times New Roman" w:eastAsia="宋体"/>
                <w:b w:val="0"/>
                <w:i w:val="0"/>
                <w:sz w:val="21"/>
              </w:rPr>
              <w:t>收款编号、回款时间、回款金额</w:t>
            </w:r>
            <w:r>
              <w:br/>
            </w:r>
            <w:r>
              <w:rPr>
                <w:rFonts w:ascii="Times New Roman" w:hAnsi="Times New Roman" w:eastAsia="宋体"/>
                <w:b w:val="0"/>
                <w:i w:val="0"/>
                <w:sz w:val="21"/>
              </w:rPr>
              <w:t>认领至本合同金额、可认领余额</w:t>
            </w:r>
            <w:r>
              <w:br/>
            </w:r>
            <w:r>
              <w:rPr>
                <w:rFonts w:ascii="Times New Roman" w:hAnsi="Times New Roman" w:eastAsia="宋体"/>
                <w:b w:val="0"/>
                <w:i w:val="0"/>
                <w:sz w:val="21"/>
              </w:rPr>
              <w:t>回款方式：电汇、票据、其他</w:t>
            </w:r>
            <w:r>
              <w:br/>
            </w:r>
            <w:r>
              <w:rPr>
                <w:rFonts w:ascii="Times New Roman" w:hAnsi="Times New Roman" w:eastAsia="宋体"/>
                <w:b w:val="0"/>
                <w:i w:val="0"/>
                <w:sz w:val="21"/>
              </w:rPr>
              <w:t>认领状态：已认领、未认领</w:t>
            </w:r>
          </w:p>
        </w:tc>
        <w:tc>
          <w:tcPr>
            <w:tcW w:type="dxa" w:w="3402"/>
          </w:tcPr>
          <w:p>
            <w:pPr>
              <w:spacing w:before="20" w:after="20" w:line="276" w:lineRule="auto"/>
              <w:ind w:firstLine="0"/>
            </w:pPr>
            <w:r/>
            <w:r>
              <w:rPr>
                <w:rFonts w:ascii="Times New Roman" w:hAnsi="Times New Roman" w:eastAsia="宋体"/>
                <w:b w:val="0"/>
                <w:i w:val="0"/>
                <w:sz w:val="21"/>
              </w:rPr>
              <w:t>汇总值参与剩余可出库货值的计算，作为放货前的出货条件判断依据</w:t>
            </w:r>
          </w:p>
        </w:tc>
      </w:tr>
      <w:tr>
        <w:tc>
          <w:tcPr>
            <w:tcW w:type="dxa" w:w="1474"/>
          </w:tcPr>
          <w:p>
            <w:pPr>
              <w:spacing w:before="20" w:after="20" w:line="276" w:lineRule="auto"/>
              <w:ind w:firstLine="0"/>
            </w:pPr>
            <w:r/>
            <w:r>
              <w:rPr>
                <w:rFonts w:ascii="Times New Roman" w:hAnsi="Times New Roman" w:eastAsia="宋体"/>
                <w:b w:val="0"/>
                <w:i w:val="0"/>
                <w:sz w:val="21"/>
              </w:rPr>
              <w:t>出库登记单</w:t>
            </w:r>
          </w:p>
        </w:tc>
        <w:tc>
          <w:tcPr>
            <w:tcW w:type="dxa" w:w="4195"/>
          </w:tcPr>
          <w:p>
            <w:pPr>
              <w:spacing w:before="20" w:after="20" w:line="276" w:lineRule="auto"/>
              <w:ind w:firstLine="0"/>
            </w:pPr>
            <w:r/>
            <w:r>
              <w:rPr>
                <w:rFonts w:ascii="Times New Roman" w:hAnsi="Times New Roman" w:eastAsia="宋体"/>
                <w:b w:val="0"/>
                <w:i w:val="0"/>
                <w:sz w:val="21"/>
              </w:rPr>
              <w:t>出库编号、出库日期、仓房与货位、出库数量、车数</w:t>
            </w:r>
            <w:r>
              <w:br/>
            </w:r>
            <w:r>
              <w:rPr>
                <w:rFonts w:ascii="Times New Roman" w:hAnsi="Times New Roman" w:eastAsia="宋体"/>
                <w:b w:val="0"/>
                <w:i w:val="0"/>
                <w:sz w:val="21"/>
              </w:rPr>
              <w:t>关联下煤计划编号：煤炭仓储场景下的关联单据</w:t>
            </w:r>
            <w:r>
              <w:br/>
            </w:r>
            <w:r>
              <w:rPr>
                <w:rFonts w:ascii="Times New Roman" w:hAnsi="Times New Roman" w:eastAsia="宋体"/>
                <w:b w:val="0"/>
                <w:i w:val="0"/>
                <w:sz w:val="21"/>
              </w:rPr>
              <w:t>累计出库数量：与放货数量核对</w:t>
            </w:r>
          </w:p>
        </w:tc>
        <w:tc>
          <w:tcPr>
            <w:tcW w:type="dxa" w:w="3402"/>
          </w:tcPr>
          <w:p>
            <w:pPr>
              <w:spacing w:before="20" w:after="20" w:line="276" w:lineRule="auto"/>
              <w:ind w:firstLine="0"/>
            </w:pPr>
            <w:r/>
            <w:r>
              <w:rPr>
                <w:rFonts w:ascii="Times New Roman" w:hAnsi="Times New Roman" w:eastAsia="宋体"/>
                <w:b w:val="0"/>
                <w:i w:val="0"/>
                <w:sz w:val="21"/>
              </w:rPr>
              <w:t>由放货指令执行联动生成，并在放货指令详情的出库记录页签回显</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4.22.6　角色权限与数据权限</w:t>
      </w:r>
    </w:p>
    <w:p>
      <w:pPr>
        <w:spacing w:before="0" w:after="120" w:line="360" w:lineRule="auto"/>
      </w:pPr>
      <w:r>
        <w:rPr>
          <w:rFonts w:ascii="Times New Roman" w:hAnsi="Times New Roman" w:eastAsia="宋体"/>
          <w:b w:val="0"/>
          <w:i w:val="0"/>
          <w:sz w:val="24"/>
        </w:rPr>
        <w:t>本期为系统全量权限（业务方裁决 D17 / QA-012）；下表角色为典型使用角色，非权限分级。本期仅交付 WEB 端（业务方裁决 D9 / QA-004），提货与放货指令的现场作业在 PC 端网页完成，不提供移动端或巡库 App。</w:t>
      </w:r>
    </w:p>
    <w:p>
      <w:pPr>
        <w:spacing w:before="0" w:after="80" w:line="360" w:lineRule="auto"/>
      </w:pPr>
      <w:r>
        <w:rPr>
          <w:rFonts w:ascii="Times New Roman" w:hAnsi="Times New Roman" w:eastAsia="宋体"/>
          <w:b w:val="0"/>
          <w:i w:val="0"/>
          <w:sz w:val="24"/>
        </w:rPr>
        <w:t>数据可见性：按单据归属与业务筛选查看；手机号、统一社会信用代码等敏感字段默认打码，手动点击查看完整值且查看行为留痕。</w:t>
      </w:r>
    </w:p>
    <w:p>
      <w:pPr>
        <w:pStyle w:val="Heading3"/>
        <w:keepNext/>
        <w:spacing w:before="160" w:after="80" w:line="312" w:lineRule="auto"/>
        <w:ind w:firstLine="0"/>
      </w:pPr>
      <w:r>
        <w:rPr>
          <w:rFonts w:ascii="Times New Roman" w:hAnsi="Times New Roman" w:eastAsia="黑体"/>
          <w:b/>
          <w:i w:val="0"/>
          <w:sz w:val="24"/>
        </w:rPr>
        <w:t>4.22.7　业务流程与页面</w:t>
      </w:r>
    </w:p>
    <w:p>
      <w:pPr>
        <w:spacing w:before="120" w:after="60"/>
        <w:ind w:firstLine="0"/>
        <w:jc w:val="center"/>
      </w:pPr>
      <w:r>
        <w:drawing>
          <wp:inline xmlns:a="http://schemas.openxmlformats.org/drawingml/2006/main" xmlns:pic="http://schemas.openxmlformats.org/drawingml/2006/picture">
            <wp:extent cx="5616000" cy="12410069"/>
            <wp:docPr id="47" name="Picture 47"/>
            <wp:cNvGraphicFramePr>
              <a:graphicFrameLocks noChangeAspect="1"/>
            </wp:cNvGraphicFramePr>
            <a:graphic>
              <a:graphicData uri="http://schemas.openxmlformats.org/drawingml/2006/picture">
                <pic:pic>
                  <pic:nvPicPr>
                    <pic:cNvPr id="0" name="mermaid-warehouse-pickup.png"/>
                    <pic:cNvPicPr/>
                  </pic:nvPicPr>
                  <pic:blipFill>
                    <a:blip r:embed="rId57"/>
                    <a:stretch>
                      <a:fillRect/>
                    </a:stretch>
                  </pic:blipFill>
                  <pic:spPr>
                    <a:xfrm>
                      <a:off x="0" y="0"/>
                      <a:ext cx="5616000" cy="12410069"/>
                    </a:xfrm>
                    <a:prstGeom prst="rect"/>
                  </pic:spPr>
                </pic:pic>
              </a:graphicData>
            </a:graphic>
          </wp:inline>
        </w:drawing>
      </w:r>
    </w:p>
    <w:p>
      <w:pPr>
        <w:spacing w:before="0" w:after="200" w:line="240" w:lineRule="auto"/>
        <w:ind w:firstLine="0"/>
        <w:jc w:val="center"/>
      </w:pPr>
      <w:r>
        <w:rPr>
          <w:rFonts w:ascii="Times New Roman" w:hAnsi="Times New Roman" w:eastAsia="宋体"/>
          <w:b w:val="0"/>
          <w:i w:val="0"/>
          <w:sz w:val="21"/>
        </w:rPr>
        <w:t>图 4-22-1　提放货管理 主业务流程</w:t>
      </w:r>
    </w:p>
    <w:p>
      <w:pPr>
        <w:spacing w:before="0" w:after="60" w:line="360" w:lineRule="auto"/>
      </w:pPr>
      <w:r>
        <w:rPr>
          <w:rFonts w:ascii="Times New Roman" w:hAnsi="Times New Roman" w:eastAsia="宋体"/>
          <w:b/>
          <w:i w:val="0"/>
          <w:sz w:val="24"/>
        </w:rPr>
        <w:t>主流程步骤：</w:t>
      </w:r>
    </w:p>
    <w:p>
      <w:pPr>
        <w:spacing w:before="0" w:after="60" w:line="336" w:lineRule="auto"/>
        <w:ind w:left="510" w:hanging="510"/>
      </w:pPr>
      <w:r>
        <w:rPr>
          <w:rFonts w:ascii="Times New Roman" w:hAnsi="Times New Roman" w:eastAsia="宋体"/>
          <w:b w:val="0"/>
          <w:i w:val="0"/>
          <w:sz w:val="24"/>
        </w:rPr>
        <w:t>1. 下游客户发起提货申请，上游开具提货单，提货管理列表的已开具分栏出现该记录</w:t>
      </w:r>
    </w:p>
    <w:p>
      <w:pPr>
        <w:spacing w:before="0" w:after="60" w:line="336" w:lineRule="auto"/>
        <w:ind w:left="510" w:hanging="510"/>
      </w:pPr>
      <w:r>
        <w:rPr>
          <w:rFonts w:ascii="Times New Roman" w:hAnsi="Times New Roman" w:eastAsia="宋体"/>
          <w:b w:val="0"/>
          <w:i w:val="0"/>
          <w:sz w:val="24"/>
        </w:rPr>
        <w:t>2. 仓库按提货单发货，收货方确认收货，状态流转为已收到并进入结算环节</w:t>
      </w:r>
    </w:p>
    <w:p>
      <w:pPr>
        <w:spacing w:before="0" w:after="60" w:line="336" w:lineRule="auto"/>
        <w:ind w:left="510" w:hanging="510"/>
      </w:pPr>
      <w:r>
        <w:rPr>
          <w:rFonts w:ascii="Times New Roman" w:hAnsi="Times New Roman" w:eastAsia="宋体"/>
          <w:b w:val="0"/>
          <w:i w:val="0"/>
          <w:sz w:val="24"/>
        </w:rPr>
        <w:t>3. 另有一条通道：财务审批通过下游提货申请，触发放货指令生成</w:t>
      </w:r>
    </w:p>
    <w:p>
      <w:pPr>
        <w:spacing w:before="0" w:after="60" w:line="336" w:lineRule="auto"/>
        <w:ind w:left="510" w:hanging="510"/>
      </w:pPr>
      <w:r>
        <w:rPr>
          <w:rFonts w:ascii="Times New Roman" w:hAnsi="Times New Roman" w:eastAsia="宋体"/>
          <w:b w:val="0"/>
          <w:i w:val="0"/>
          <w:sz w:val="24"/>
        </w:rPr>
        <w:t>4. 在放货指令列表点击「新增放货指令」，系统带出合同信息与业务线下游回款信息</w:t>
      </w:r>
    </w:p>
    <w:p>
      <w:pPr>
        <w:spacing w:before="0" w:after="60" w:line="336" w:lineRule="auto"/>
        <w:ind w:left="510" w:hanging="510"/>
      </w:pPr>
      <w:r>
        <w:rPr>
          <w:rFonts w:ascii="Times New Roman" w:hAnsi="Times New Roman" w:eastAsia="宋体"/>
          <w:b w:val="0"/>
          <w:i w:val="0"/>
          <w:sz w:val="24"/>
        </w:rPr>
        <w:t>5. 填写放货信息：放货日期、放货数量、仓库名称、提货联系人姓名、联系方式、身份证号与运输方式</w:t>
      </w:r>
    </w:p>
    <w:p>
      <w:pPr>
        <w:spacing w:before="0" w:after="60" w:line="336" w:lineRule="auto"/>
        <w:ind w:left="510" w:hanging="510"/>
      </w:pPr>
      <w:r>
        <w:rPr>
          <w:rFonts w:ascii="Times New Roman" w:hAnsi="Times New Roman" w:eastAsia="宋体"/>
          <w:b w:val="0"/>
          <w:i w:val="0"/>
          <w:sz w:val="24"/>
        </w:rPr>
        <w:t>6. 维护站点表格，填写发站与到站，可按需追加行</w:t>
      </w:r>
    </w:p>
    <w:p>
      <w:pPr>
        <w:spacing w:before="0" w:after="60" w:line="336" w:lineRule="auto"/>
        <w:ind w:left="510" w:hanging="510"/>
      </w:pPr>
      <w:r>
        <w:rPr>
          <w:rFonts w:ascii="Times New Roman" w:hAnsi="Times New Roman" w:eastAsia="宋体"/>
          <w:b w:val="0"/>
          <w:i w:val="0"/>
          <w:sz w:val="24"/>
        </w:rPr>
        <w:t>7. 核对下游回款三项汇总与剩余可出库货值，确认出货条件</w:t>
      </w:r>
    </w:p>
    <w:p>
      <w:pPr>
        <w:spacing w:before="0" w:after="60" w:line="336" w:lineRule="auto"/>
        <w:ind w:left="510" w:hanging="510"/>
      </w:pPr>
      <w:r>
        <w:rPr>
          <w:rFonts w:ascii="Times New Roman" w:hAnsi="Times New Roman" w:eastAsia="宋体"/>
          <w:b w:val="0"/>
          <w:i w:val="0"/>
          <w:sz w:val="24"/>
        </w:rPr>
        <w:t>8. 上传出库通知书附件并提交，进入审批与生效流程</w:t>
      </w:r>
    </w:p>
    <w:p>
      <w:pPr>
        <w:spacing w:before="0" w:after="60" w:line="336" w:lineRule="auto"/>
        <w:ind w:left="510" w:hanging="510"/>
      </w:pPr>
      <w:r>
        <w:rPr>
          <w:rFonts w:ascii="Times New Roman" w:hAnsi="Times New Roman" w:eastAsia="宋体"/>
          <w:b w:val="0"/>
          <w:i w:val="0"/>
          <w:sz w:val="24"/>
        </w:rPr>
        <w:t>9. 仓储方执行放货，指令状态在审批中、生效中、已完结、已超额、已驳回、已作废之间流转</w:t>
      </w:r>
    </w:p>
    <w:p>
      <w:pPr>
        <w:spacing w:before="0" w:after="60" w:line="336" w:lineRule="auto"/>
        <w:ind w:left="510" w:hanging="510"/>
      </w:pPr>
      <w:r>
        <w:rPr>
          <w:rFonts w:ascii="Times New Roman" w:hAnsi="Times New Roman" w:eastAsia="宋体"/>
          <w:b w:val="0"/>
          <w:i w:val="0"/>
          <w:sz w:val="24"/>
        </w:rPr>
        <w:t>10. 执行完成后联动生成出库登记，出库记录回写放货指令详情</w:t>
      </w:r>
    </w:p>
    <w:p>
      <w:pPr>
        <w:spacing w:before="120" w:after="60" w:line="360" w:lineRule="auto"/>
      </w:pPr>
      <w:r>
        <w:rPr>
          <w:rFonts w:ascii="Times New Roman" w:hAnsi="Times New Roman" w:eastAsia="宋体"/>
          <w:b/>
          <w:i w:val="0"/>
          <w:sz w:val="24"/>
        </w:rPr>
        <w:t>异常分支：</w:t>
      </w:r>
    </w:p>
    <w:tbl>
      <w:tblPr>
        <w:tblStyle w:val="TableGrid"/>
        <w:tblW w:type="auto" w:w="0"/>
        <w:jc w:val="center"/>
        <w:tblLayout w:type="fixed"/>
        <w:tblLook w:firstColumn="1" w:firstRow="1" w:lastColumn="0" w:lastRow="0" w:noHBand="0" w:noVBand="1" w:val="04A0"/>
      </w:tblPr>
      <w:tblGrid>
        <w:gridCol w:w="4479"/>
        <w:gridCol w:w="4479"/>
      </w:tblGrid>
      <w:tr>
        <w:trPr>
          <w:tblHeader w:val="true"/>
        </w:trPr>
        <w:tc>
          <w:tcPr>
            <w:tcW w:type="dxa" w:w="2835"/>
            <w:shd w:val="clear" w:color="auto" w:fill="DCE6F1"/>
          </w:tcPr>
          <w:p>
            <w:pPr>
              <w:spacing w:before="40" w:after="40" w:line="276" w:lineRule="auto"/>
              <w:jc w:val="center"/>
            </w:pPr>
            <w:r/>
            <w:r>
              <w:rPr>
                <w:rFonts w:ascii="Times New Roman" w:hAnsi="Times New Roman" w:eastAsia="黑体"/>
                <w:b/>
                <w:i w:val="0"/>
                <w:sz w:val="21"/>
              </w:rPr>
              <w:t>异常场景</w:t>
            </w:r>
          </w:p>
        </w:tc>
        <w:tc>
          <w:tcPr>
            <w:tcW w:type="dxa" w:w="6236"/>
            <w:shd w:val="clear" w:color="auto" w:fill="DCE6F1"/>
          </w:tcPr>
          <w:p>
            <w:pPr>
              <w:spacing w:before="40" w:after="40" w:line="276" w:lineRule="auto"/>
              <w:jc w:val="center"/>
            </w:pPr>
            <w:r/>
            <w:r>
              <w:rPr>
                <w:rFonts w:ascii="Times New Roman" w:hAnsi="Times New Roman" w:eastAsia="黑体"/>
                <w:b/>
                <w:i w:val="0"/>
                <w:sz w:val="21"/>
              </w:rPr>
              <w:t>系统处理</w:t>
            </w:r>
          </w:p>
        </w:tc>
      </w:tr>
      <w:tr>
        <w:tc>
          <w:tcPr>
            <w:tcW w:type="dxa" w:w="2835"/>
          </w:tcPr>
          <w:p>
            <w:pPr>
              <w:spacing w:before="20" w:after="20" w:line="276" w:lineRule="auto"/>
              <w:ind w:firstLine="0"/>
            </w:pPr>
            <w:r/>
            <w:r>
              <w:rPr>
                <w:rFonts w:ascii="Times New Roman" w:hAnsi="Times New Roman" w:eastAsia="宋体"/>
                <w:b w:val="0"/>
                <w:i w:val="0"/>
                <w:sz w:val="21"/>
              </w:rPr>
              <w:t>提货数量超过合同可提货数量</w:t>
            </w:r>
          </w:p>
        </w:tc>
        <w:tc>
          <w:tcPr>
            <w:tcW w:type="dxa" w:w="6236"/>
          </w:tcPr>
          <w:p>
            <w:pPr>
              <w:spacing w:before="20" w:after="20" w:line="276" w:lineRule="auto"/>
              <w:ind w:firstLine="0"/>
            </w:pPr>
            <w:r/>
            <w:r>
              <w:rPr>
                <w:rFonts w:ascii="Times New Roman" w:hAnsi="Times New Roman" w:eastAsia="宋体"/>
                <w:b w:val="0"/>
                <w:i w:val="0"/>
                <w:sz w:val="21"/>
              </w:rPr>
              <w:t>提交时拦截，提示「提货数量超过合同可提货数量」</w:t>
            </w:r>
          </w:p>
        </w:tc>
      </w:tr>
      <w:tr>
        <w:tc>
          <w:tcPr>
            <w:tcW w:type="dxa" w:w="2835"/>
          </w:tcPr>
          <w:p>
            <w:pPr>
              <w:spacing w:before="20" w:after="20" w:line="276" w:lineRule="auto"/>
              <w:ind w:firstLine="0"/>
            </w:pPr>
            <w:r/>
            <w:r>
              <w:rPr>
                <w:rFonts w:ascii="Times New Roman" w:hAnsi="Times New Roman" w:eastAsia="宋体"/>
                <w:b w:val="0"/>
                <w:i w:val="0"/>
                <w:sz w:val="21"/>
              </w:rPr>
              <w:t>提货日期早于合同生效日</w:t>
            </w:r>
          </w:p>
        </w:tc>
        <w:tc>
          <w:tcPr>
            <w:tcW w:type="dxa" w:w="6236"/>
          </w:tcPr>
          <w:p>
            <w:pPr>
              <w:spacing w:before="20" w:after="20" w:line="276" w:lineRule="auto"/>
              <w:ind w:firstLine="0"/>
            </w:pPr>
            <w:r/>
            <w:r>
              <w:rPr>
                <w:rFonts w:ascii="Times New Roman" w:hAnsi="Times New Roman" w:eastAsia="宋体"/>
                <w:b w:val="0"/>
                <w:i w:val="0"/>
                <w:sz w:val="21"/>
              </w:rPr>
              <w:t>提交时拦截，提示「提货日期不能早于合同生效日」</w:t>
            </w:r>
          </w:p>
        </w:tc>
      </w:tr>
      <w:tr>
        <w:tc>
          <w:tcPr>
            <w:tcW w:type="dxa" w:w="2835"/>
          </w:tcPr>
          <w:p>
            <w:pPr>
              <w:spacing w:before="20" w:after="20" w:line="276" w:lineRule="auto"/>
              <w:ind w:firstLine="0"/>
            </w:pPr>
            <w:r/>
            <w:r>
              <w:rPr>
                <w:rFonts w:ascii="Times New Roman" w:hAnsi="Times New Roman" w:eastAsia="宋体"/>
                <w:b w:val="0"/>
                <w:i w:val="0"/>
                <w:sz w:val="21"/>
              </w:rPr>
              <w:t>提货单发生非法状态流转</w:t>
            </w:r>
          </w:p>
        </w:tc>
        <w:tc>
          <w:tcPr>
            <w:tcW w:type="dxa" w:w="6236"/>
          </w:tcPr>
          <w:p>
            <w:pPr>
              <w:spacing w:before="20" w:after="20" w:line="276" w:lineRule="auto"/>
              <w:ind w:firstLine="0"/>
            </w:pPr>
            <w:r/>
            <w:r>
              <w:rPr>
                <w:rFonts w:ascii="Times New Roman" w:hAnsi="Times New Roman" w:eastAsia="宋体"/>
                <w:b w:val="0"/>
                <w:i w:val="0"/>
                <w:sz w:val="21"/>
              </w:rPr>
              <w:t>状态机校验拦截，提示「当前状态不可流转」</w:t>
            </w:r>
          </w:p>
        </w:tc>
      </w:tr>
      <w:tr>
        <w:tc>
          <w:tcPr>
            <w:tcW w:type="dxa" w:w="2835"/>
          </w:tcPr>
          <w:p>
            <w:pPr>
              <w:spacing w:before="20" w:after="20" w:line="276" w:lineRule="auto"/>
              <w:ind w:firstLine="0"/>
            </w:pPr>
            <w:r/>
            <w:r>
              <w:rPr>
                <w:rFonts w:ascii="Times New Roman" w:hAnsi="Times New Roman" w:eastAsia="宋体"/>
                <w:b w:val="0"/>
                <w:i w:val="0"/>
                <w:sz w:val="21"/>
              </w:rPr>
              <w:t>放货指令放货量超出可出库货值</w:t>
            </w:r>
          </w:p>
        </w:tc>
        <w:tc>
          <w:tcPr>
            <w:tcW w:type="dxa" w:w="6236"/>
          </w:tcPr>
          <w:p>
            <w:pPr>
              <w:spacing w:before="20" w:after="20" w:line="276" w:lineRule="auto"/>
              <w:ind w:firstLine="0"/>
            </w:pPr>
            <w:r/>
            <w:r>
              <w:rPr>
                <w:rFonts w:ascii="Times New Roman" w:hAnsi="Times New Roman" w:eastAsia="宋体"/>
                <w:b w:val="0"/>
                <w:i w:val="0"/>
                <w:sz w:val="21"/>
              </w:rPr>
              <w:t>指令进入已超额状态，在已超额分栏集中呈现，并由剩余可出库货值汇总体现差额</w:t>
            </w:r>
          </w:p>
        </w:tc>
      </w:tr>
      <w:tr>
        <w:tc>
          <w:tcPr>
            <w:tcW w:type="dxa" w:w="2835"/>
          </w:tcPr>
          <w:p>
            <w:pPr>
              <w:spacing w:before="20" w:after="20" w:line="276" w:lineRule="auto"/>
              <w:ind w:firstLine="0"/>
            </w:pPr>
            <w:r/>
            <w:r>
              <w:rPr>
                <w:rFonts w:ascii="Times New Roman" w:hAnsi="Times New Roman" w:eastAsia="宋体"/>
                <w:b w:val="0"/>
                <w:i w:val="0"/>
                <w:sz w:val="21"/>
              </w:rPr>
              <w:t>站点信息缺失</w:t>
            </w:r>
          </w:p>
        </w:tc>
        <w:tc>
          <w:tcPr>
            <w:tcW w:type="dxa" w:w="6236"/>
          </w:tcPr>
          <w:p>
            <w:pPr>
              <w:spacing w:before="20" w:after="20" w:line="276" w:lineRule="auto"/>
              <w:ind w:firstLine="0"/>
            </w:pPr>
            <w:r/>
            <w:r>
              <w:rPr>
                <w:rFonts w:ascii="Times New Roman" w:hAnsi="Times New Roman" w:eastAsia="宋体"/>
                <w:b w:val="0"/>
                <w:i w:val="0"/>
                <w:sz w:val="21"/>
              </w:rPr>
              <w:t>发站或到站为空时提交拦截</w:t>
            </w:r>
          </w:p>
        </w:tc>
      </w:tr>
    </w:tbl>
    <w:p>
      <w:pPr>
        <w:spacing w:before="0" w:after="0" w:line="240" w:lineRule="auto"/>
      </w:pPr>
    </w:p>
    <w:p>
      <w:pPr>
        <w:spacing w:before="120" w:after="60"/>
        <w:ind w:firstLine="0"/>
        <w:jc w:val="center"/>
      </w:pPr>
      <w:r>
        <w:drawing>
          <wp:inline xmlns:a="http://schemas.openxmlformats.org/drawingml/2006/main" xmlns:pic="http://schemas.openxmlformats.org/drawingml/2006/picture">
            <wp:extent cx="5616000" cy="3334500"/>
            <wp:docPr id="48" name="Picture 48"/>
            <wp:cNvGraphicFramePr>
              <a:graphicFrameLocks noChangeAspect="1"/>
            </wp:cNvGraphicFramePr>
            <a:graphic>
              <a:graphicData uri="http://schemas.openxmlformats.org/drawingml/2006/picture">
                <pic:pic>
                  <pic:nvPicPr>
                    <pic:cNvPr id="0" name="warehouse-pickup.png"/>
                    <pic:cNvPicPr/>
                  </pic:nvPicPr>
                  <pic:blipFill>
                    <a:blip r:embed="rId58"/>
                    <a:stretch>
                      <a:fillRect/>
                    </a:stretch>
                  </pic:blipFill>
                  <pic:spPr>
                    <a:xfrm>
                      <a:off x="0" y="0"/>
                      <a:ext cx="5616000" cy="3334500"/>
                    </a:xfrm>
                    <a:prstGeom prst="rect"/>
                  </pic:spPr>
                </pic:pic>
              </a:graphicData>
            </a:graphic>
          </wp:inline>
        </w:drawing>
      </w:r>
    </w:p>
    <w:p>
      <w:pPr>
        <w:spacing w:before="0" w:after="200" w:line="240" w:lineRule="auto"/>
        <w:ind w:firstLine="0"/>
        <w:jc w:val="center"/>
      </w:pPr>
      <w:r>
        <w:rPr>
          <w:rFonts w:ascii="Times New Roman" w:hAnsi="Times New Roman" w:eastAsia="宋体"/>
          <w:b w:val="0"/>
          <w:i w:val="0"/>
          <w:sz w:val="21"/>
        </w:rPr>
        <w:t>图 4-22-2　提放货管理 原型页面</w:t>
      </w:r>
    </w:p>
    <w:p>
      <w:pPr>
        <w:spacing w:before="80" w:after="60" w:line="360" w:lineRule="auto"/>
      </w:pPr>
      <w:r>
        <w:rPr>
          <w:rFonts w:ascii="Times New Roman" w:hAnsi="Times New Roman" w:eastAsia="宋体"/>
          <w:b/>
          <w:i w:val="0"/>
          <w:sz w:val="24"/>
        </w:rPr>
        <w:t>页面级说明：</w:t>
      </w: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tblGrid>
      <w:tr>
        <w:trPr>
          <w:tblHeader w:val="true"/>
        </w:trPr>
        <w:tc>
          <w:tcPr>
            <w:tcW w:type="dxa" w:w="1178"/>
            <w:shd w:val="clear" w:color="auto" w:fill="DCE6F1"/>
          </w:tcPr>
          <w:p>
            <w:pPr>
              <w:spacing w:before="40" w:after="40" w:line="276" w:lineRule="auto"/>
              <w:jc w:val="center"/>
            </w:pPr>
            <w:r/>
            <w:r>
              <w:rPr>
                <w:rFonts w:ascii="Times New Roman" w:hAnsi="Times New Roman" w:eastAsia="黑体"/>
                <w:b/>
                <w:i w:val="0"/>
                <w:sz w:val="19"/>
              </w:rPr>
              <w:t>页面</w:t>
            </w:r>
          </w:p>
        </w:tc>
        <w:tc>
          <w:tcPr>
            <w:tcW w:type="dxa" w:w="1531"/>
            <w:shd w:val="clear" w:color="auto" w:fill="DCE6F1"/>
          </w:tcPr>
          <w:p>
            <w:pPr>
              <w:spacing w:before="40" w:after="40" w:line="276" w:lineRule="auto"/>
              <w:jc w:val="center"/>
            </w:pPr>
            <w:r/>
            <w:r>
              <w:rPr>
                <w:rFonts w:ascii="Times New Roman" w:hAnsi="Times New Roman" w:eastAsia="黑体"/>
                <w:b/>
                <w:i w:val="0"/>
                <w:sz w:val="19"/>
              </w:rPr>
              <w:t>原型文件</w:t>
            </w:r>
          </w:p>
        </w:tc>
        <w:tc>
          <w:tcPr>
            <w:tcW w:type="dxa" w:w="1119"/>
            <w:shd w:val="clear" w:color="auto" w:fill="DCE6F1"/>
          </w:tcPr>
          <w:p>
            <w:pPr>
              <w:spacing w:before="40" w:after="40" w:line="276" w:lineRule="auto"/>
              <w:jc w:val="center"/>
            </w:pPr>
            <w:r/>
            <w:r>
              <w:rPr>
                <w:rFonts w:ascii="Times New Roman" w:hAnsi="Times New Roman" w:eastAsia="黑体"/>
                <w:b/>
                <w:i w:val="0"/>
                <w:sz w:val="19"/>
              </w:rPr>
              <w:t>进入方式</w:t>
            </w:r>
          </w:p>
        </w:tc>
        <w:tc>
          <w:tcPr>
            <w:tcW w:type="dxa" w:w="2062"/>
            <w:shd w:val="clear" w:color="auto" w:fill="DCE6F1"/>
          </w:tcPr>
          <w:p>
            <w:pPr>
              <w:spacing w:before="40" w:after="40" w:line="276" w:lineRule="auto"/>
              <w:jc w:val="center"/>
            </w:pPr>
            <w:r/>
            <w:r>
              <w:rPr>
                <w:rFonts w:ascii="Times New Roman" w:hAnsi="Times New Roman" w:eastAsia="黑体"/>
                <w:b/>
                <w:i w:val="0"/>
                <w:sz w:val="19"/>
              </w:rPr>
              <w:t>关键区块</w:t>
            </w:r>
          </w:p>
        </w:tc>
        <w:tc>
          <w:tcPr>
            <w:tcW w:type="dxa" w:w="1767"/>
            <w:shd w:val="clear" w:color="auto" w:fill="DCE6F1"/>
          </w:tcPr>
          <w:p>
            <w:pPr>
              <w:spacing w:before="40" w:after="40" w:line="276" w:lineRule="auto"/>
              <w:jc w:val="center"/>
            </w:pPr>
            <w:r/>
            <w:r>
              <w:rPr>
                <w:rFonts w:ascii="Times New Roman" w:hAnsi="Times New Roman" w:eastAsia="黑体"/>
                <w:b/>
                <w:i w:val="0"/>
                <w:sz w:val="19"/>
              </w:rPr>
              <w:t>主要按钮与行为</w:t>
            </w:r>
          </w:p>
        </w:tc>
        <w:tc>
          <w:tcPr>
            <w:tcW w:type="dxa" w:w="1414"/>
            <w:shd w:val="clear" w:color="auto" w:fill="DCE6F1"/>
          </w:tcPr>
          <w:p>
            <w:pPr>
              <w:spacing w:before="40" w:after="40" w:line="276" w:lineRule="auto"/>
              <w:jc w:val="center"/>
            </w:pPr>
            <w:r/>
            <w:r>
              <w:rPr>
                <w:rFonts w:ascii="Times New Roman" w:hAnsi="Times New Roman" w:eastAsia="黑体"/>
                <w:b/>
                <w:i w:val="0"/>
                <w:sz w:val="19"/>
              </w:rPr>
              <w:t>跳转去向</w:t>
            </w:r>
          </w:p>
        </w:tc>
      </w:tr>
      <w:tr>
        <w:tc>
          <w:tcPr>
            <w:tcW w:type="dxa" w:w="1178"/>
          </w:tcPr>
          <w:p>
            <w:pPr>
              <w:spacing w:before="20" w:after="20" w:line="276" w:lineRule="auto"/>
              <w:ind w:firstLine="0"/>
            </w:pPr>
            <w:r/>
            <w:r>
              <w:rPr>
                <w:rFonts w:ascii="Times New Roman" w:hAnsi="Times New Roman" w:eastAsia="宋体"/>
                <w:b w:val="0"/>
                <w:i w:val="0"/>
                <w:sz w:val="19"/>
              </w:rPr>
              <w:t>提货管理（列表）</w:t>
            </w:r>
          </w:p>
        </w:tc>
        <w:tc>
          <w:tcPr>
            <w:tcW w:type="dxa" w:w="1531"/>
          </w:tcPr>
          <w:p>
            <w:pPr>
              <w:spacing w:before="20" w:after="20" w:line="276" w:lineRule="auto"/>
              <w:ind w:firstLine="0"/>
            </w:pPr>
            <w:r/>
            <w:r>
              <w:rPr>
                <w:rFonts w:ascii="Times New Roman" w:hAnsi="Times New Roman" w:eastAsia="宋体"/>
                <w:b w:val="0"/>
                <w:i w:val="0"/>
                <w:sz w:val="19"/>
              </w:rPr>
              <w:t>warehouse-pickup.html</w:t>
            </w:r>
          </w:p>
        </w:tc>
        <w:tc>
          <w:tcPr>
            <w:tcW w:type="dxa" w:w="1119"/>
          </w:tcPr>
          <w:p>
            <w:pPr>
              <w:spacing w:before="20" w:after="20" w:line="276" w:lineRule="auto"/>
              <w:ind w:firstLine="0"/>
            </w:pPr>
            <w:r/>
            <w:r>
              <w:rPr>
                <w:rFonts w:ascii="Times New Roman" w:hAnsi="Times New Roman" w:eastAsia="宋体"/>
                <w:b w:val="0"/>
                <w:i w:val="0"/>
                <w:sz w:val="19"/>
              </w:rPr>
              <w:t>仓储管理 → 提放货管理 → 提货管理</w:t>
            </w:r>
          </w:p>
        </w:tc>
        <w:tc>
          <w:tcPr>
            <w:tcW w:type="dxa" w:w="2062"/>
          </w:tcPr>
          <w:p>
            <w:pPr>
              <w:spacing w:before="20" w:after="20" w:line="276" w:lineRule="auto"/>
              <w:ind w:firstLine="0"/>
            </w:pPr>
            <w:r/>
            <w:r>
              <w:rPr>
                <w:rFonts w:ascii="Times New Roman" w:hAnsi="Times New Roman" w:eastAsia="宋体"/>
                <w:b w:val="0"/>
                <w:i w:val="0"/>
                <w:sz w:val="19"/>
              </w:rPr>
              <w:t>5 个字段筛选区、已开具与已收到 2 个分栏、9 列表格、分页</w:t>
            </w:r>
          </w:p>
        </w:tc>
        <w:tc>
          <w:tcPr>
            <w:tcW w:type="dxa" w:w="1767"/>
          </w:tcPr>
          <w:p>
            <w:pPr>
              <w:spacing w:before="20" w:after="20" w:line="276" w:lineRule="auto"/>
              <w:ind w:firstLine="0"/>
            </w:pPr>
            <w:r/>
            <w:r>
              <w:rPr>
                <w:rFonts w:ascii="Times New Roman" w:hAnsi="Times New Roman" w:eastAsia="宋体"/>
                <w:b w:val="0"/>
                <w:i w:val="0"/>
                <w:sz w:val="19"/>
              </w:rPr>
              <w:t>提货申请、数据导出；行内：查看</w:t>
            </w:r>
          </w:p>
        </w:tc>
        <w:tc>
          <w:tcPr>
            <w:tcW w:type="dxa" w:w="1414"/>
          </w:tcPr>
          <w:p>
            <w:pPr>
              <w:spacing w:before="20" w:after="20" w:line="276" w:lineRule="auto"/>
              <w:ind w:firstLine="0"/>
            </w:pPr>
            <w:r/>
            <w:r>
              <w:rPr>
                <w:rFonts w:ascii="Times New Roman" w:hAnsi="Times New Roman" w:eastAsia="宋体"/>
                <w:b w:val="0"/>
                <w:i w:val="0"/>
                <w:sz w:val="19"/>
              </w:rPr>
              <w:t>提货申请与查看分别指向提货申请页与提货详情页，两页本期尚未建设</w:t>
            </w:r>
          </w:p>
        </w:tc>
      </w:tr>
      <w:tr>
        <w:tc>
          <w:tcPr>
            <w:tcW w:type="dxa" w:w="1178"/>
          </w:tcPr>
          <w:p>
            <w:pPr>
              <w:spacing w:before="20" w:after="20" w:line="276" w:lineRule="auto"/>
              <w:ind w:firstLine="0"/>
            </w:pPr>
            <w:r/>
            <w:r>
              <w:rPr>
                <w:rFonts w:ascii="Times New Roman" w:hAnsi="Times New Roman" w:eastAsia="宋体"/>
                <w:b w:val="0"/>
                <w:i w:val="0"/>
                <w:sz w:val="19"/>
              </w:rPr>
              <w:t>放货指令（列表）</w:t>
            </w:r>
          </w:p>
        </w:tc>
        <w:tc>
          <w:tcPr>
            <w:tcW w:type="dxa" w:w="1531"/>
          </w:tcPr>
          <w:p>
            <w:pPr>
              <w:spacing w:before="20" w:after="20" w:line="276" w:lineRule="auto"/>
              <w:ind w:firstLine="0"/>
            </w:pPr>
            <w:r/>
            <w:r>
              <w:rPr>
                <w:rFonts w:ascii="Times New Roman" w:hAnsi="Times New Roman" w:eastAsia="宋体"/>
                <w:b w:val="0"/>
                <w:i w:val="0"/>
                <w:sz w:val="19"/>
              </w:rPr>
              <w:t>warehouse-release.html</w:t>
            </w:r>
          </w:p>
        </w:tc>
        <w:tc>
          <w:tcPr>
            <w:tcW w:type="dxa" w:w="1119"/>
          </w:tcPr>
          <w:p>
            <w:pPr>
              <w:spacing w:before="20" w:after="20" w:line="276" w:lineRule="auto"/>
              <w:ind w:firstLine="0"/>
            </w:pPr>
            <w:r/>
            <w:r>
              <w:rPr>
                <w:rFonts w:ascii="Times New Roman" w:hAnsi="Times New Roman" w:eastAsia="宋体"/>
                <w:b w:val="0"/>
                <w:i w:val="0"/>
                <w:sz w:val="19"/>
              </w:rPr>
              <w:t>仓储管理 → 提放货管理 → 放货管理</w:t>
            </w:r>
          </w:p>
        </w:tc>
        <w:tc>
          <w:tcPr>
            <w:tcW w:type="dxa" w:w="2062"/>
          </w:tcPr>
          <w:p>
            <w:pPr>
              <w:spacing w:before="20" w:after="20" w:line="276" w:lineRule="auto"/>
              <w:ind w:firstLine="0"/>
            </w:pPr>
            <w:r/>
            <w:r>
              <w:rPr>
                <w:rFonts w:ascii="Times New Roman" w:hAnsi="Times New Roman" w:eastAsia="宋体"/>
                <w:b w:val="0"/>
                <w:i w:val="0"/>
                <w:sz w:val="19"/>
              </w:rPr>
              <w:t>4 个字段筛选区、7 个状态分栏（全部、审批中、生效中、已超额、已完结、已驳回、已作废）、10 列表格、关联销售合同抽屉</w:t>
            </w:r>
          </w:p>
        </w:tc>
        <w:tc>
          <w:tcPr>
            <w:tcW w:type="dxa" w:w="1767"/>
          </w:tcPr>
          <w:p>
            <w:pPr>
              <w:spacing w:before="20" w:after="20" w:line="276" w:lineRule="auto"/>
              <w:ind w:firstLine="0"/>
            </w:pPr>
            <w:r/>
            <w:r>
              <w:rPr>
                <w:rFonts w:ascii="Times New Roman" w:hAnsi="Times New Roman" w:eastAsia="宋体"/>
                <w:b w:val="0"/>
                <w:i w:val="0"/>
                <w:sz w:val="19"/>
              </w:rPr>
              <w:t>新增放货指令、数据导出、关联销售合同；行内：详情</w:t>
            </w:r>
          </w:p>
        </w:tc>
        <w:tc>
          <w:tcPr>
            <w:tcW w:type="dxa" w:w="1414"/>
          </w:tcPr>
          <w:p>
            <w:pPr>
              <w:spacing w:before="20" w:after="20" w:line="276" w:lineRule="auto"/>
              <w:ind w:firstLine="0"/>
            </w:pPr>
            <w:r/>
            <w:r>
              <w:rPr>
                <w:rFonts w:ascii="Times New Roman" w:hAnsi="Times New Roman" w:eastAsia="宋体"/>
                <w:b w:val="0"/>
                <w:i w:val="0"/>
                <w:sz w:val="19"/>
              </w:rPr>
              <w:t>新增放货指令 → 新增放货指令表单；详情 → 放货指令详情页；关联销售合同 → 抽屉内筛选并选择合同</w:t>
            </w:r>
          </w:p>
        </w:tc>
      </w:tr>
      <w:tr>
        <w:tc>
          <w:tcPr>
            <w:tcW w:type="dxa" w:w="1178"/>
          </w:tcPr>
          <w:p>
            <w:pPr>
              <w:spacing w:before="20" w:after="20" w:line="276" w:lineRule="auto"/>
              <w:ind w:firstLine="0"/>
            </w:pPr>
            <w:r/>
            <w:r>
              <w:rPr>
                <w:rFonts w:ascii="Times New Roman" w:hAnsi="Times New Roman" w:eastAsia="宋体"/>
                <w:b w:val="0"/>
                <w:i w:val="0"/>
                <w:sz w:val="19"/>
              </w:rPr>
              <w:t>新增放货指令（表单）</w:t>
            </w:r>
          </w:p>
        </w:tc>
        <w:tc>
          <w:tcPr>
            <w:tcW w:type="dxa" w:w="1531"/>
          </w:tcPr>
          <w:p>
            <w:pPr>
              <w:spacing w:before="20" w:after="20" w:line="276" w:lineRule="auto"/>
              <w:ind w:firstLine="0"/>
            </w:pPr>
            <w:r/>
            <w:r>
              <w:rPr>
                <w:rFonts w:ascii="Times New Roman" w:hAnsi="Times New Roman" w:eastAsia="宋体"/>
                <w:b w:val="0"/>
                <w:i w:val="0"/>
                <w:sz w:val="19"/>
              </w:rPr>
              <w:t>warehouse-release-new.html</w:t>
            </w:r>
          </w:p>
        </w:tc>
        <w:tc>
          <w:tcPr>
            <w:tcW w:type="dxa" w:w="1119"/>
          </w:tcPr>
          <w:p>
            <w:pPr>
              <w:spacing w:before="20" w:after="20" w:line="276" w:lineRule="auto"/>
              <w:ind w:firstLine="0"/>
            </w:pPr>
            <w:r/>
            <w:r>
              <w:rPr>
                <w:rFonts w:ascii="Times New Roman" w:hAnsi="Times New Roman" w:eastAsia="宋体"/>
                <w:b w:val="0"/>
                <w:i w:val="0"/>
                <w:sz w:val="19"/>
              </w:rPr>
              <w:t>放货指令列表 → 新增放货指令</w:t>
            </w:r>
          </w:p>
        </w:tc>
        <w:tc>
          <w:tcPr>
            <w:tcW w:type="dxa" w:w="2062"/>
          </w:tcPr>
          <w:p>
            <w:pPr>
              <w:spacing w:before="20" w:after="20" w:line="276" w:lineRule="auto"/>
              <w:ind w:firstLine="0"/>
            </w:pPr>
            <w:r/>
            <w:r>
              <w:rPr>
                <w:rFonts w:ascii="Times New Roman" w:hAnsi="Times New Roman" w:eastAsia="宋体"/>
                <w:b w:val="0"/>
                <w:i w:val="0"/>
                <w:sz w:val="19"/>
              </w:rPr>
              <w:t>合同信息 9 字段、放货信息 7 字段、站点表格、备注、业务线下游回款信息（3 项汇总 + 逐笔回款表）、附件 2 行与上传要求提示</w:t>
            </w:r>
          </w:p>
        </w:tc>
        <w:tc>
          <w:tcPr>
            <w:tcW w:type="dxa" w:w="1767"/>
          </w:tcPr>
          <w:p>
            <w:pPr>
              <w:spacing w:before="20" w:after="20" w:line="276" w:lineRule="auto"/>
              <w:ind w:firstLine="0"/>
            </w:pPr>
            <w:r/>
            <w:r>
              <w:rPr>
                <w:rFonts w:ascii="Times New Roman" w:hAnsi="Times New Roman" w:eastAsia="宋体"/>
                <w:b w:val="0"/>
                <w:i w:val="0"/>
                <w:sz w:val="19"/>
              </w:rPr>
              <w:t>提交、取消、站点新增行、附件上传与移除</w:t>
            </w:r>
          </w:p>
        </w:tc>
        <w:tc>
          <w:tcPr>
            <w:tcW w:type="dxa" w:w="1414"/>
          </w:tcPr>
          <w:p>
            <w:pPr>
              <w:spacing w:before="20" w:after="20" w:line="276" w:lineRule="auto"/>
              <w:ind w:firstLine="0"/>
            </w:pPr>
            <w:r/>
            <w:r>
              <w:rPr>
                <w:rFonts w:ascii="Times New Roman" w:hAnsi="Times New Roman" w:eastAsia="宋体"/>
                <w:b w:val="0"/>
                <w:i w:val="0"/>
                <w:sz w:val="19"/>
              </w:rPr>
              <w:t>提交成功 → 放货指令列表</w:t>
            </w:r>
          </w:p>
        </w:tc>
      </w:tr>
      <w:tr>
        <w:tc>
          <w:tcPr>
            <w:tcW w:type="dxa" w:w="1178"/>
          </w:tcPr>
          <w:p>
            <w:pPr>
              <w:spacing w:before="20" w:after="20" w:line="276" w:lineRule="auto"/>
              <w:ind w:firstLine="0"/>
            </w:pPr>
            <w:r/>
            <w:r>
              <w:rPr>
                <w:rFonts w:ascii="Times New Roman" w:hAnsi="Times New Roman" w:eastAsia="宋体"/>
                <w:b w:val="0"/>
                <w:i w:val="0"/>
                <w:sz w:val="19"/>
              </w:rPr>
              <w:t>放货指令详情</w:t>
            </w:r>
          </w:p>
        </w:tc>
        <w:tc>
          <w:tcPr>
            <w:tcW w:type="dxa" w:w="1531"/>
          </w:tcPr>
          <w:p>
            <w:pPr>
              <w:spacing w:before="20" w:after="20" w:line="276" w:lineRule="auto"/>
              <w:ind w:firstLine="0"/>
            </w:pPr>
            <w:r/>
            <w:r>
              <w:rPr>
                <w:rFonts w:ascii="Times New Roman" w:hAnsi="Times New Roman" w:eastAsia="宋体"/>
                <w:b w:val="0"/>
                <w:i w:val="0"/>
                <w:sz w:val="19"/>
              </w:rPr>
              <w:t>warehouse-release-detail.html</w:t>
            </w:r>
          </w:p>
        </w:tc>
        <w:tc>
          <w:tcPr>
            <w:tcW w:type="dxa" w:w="1119"/>
          </w:tcPr>
          <w:p>
            <w:pPr>
              <w:spacing w:before="20" w:after="20" w:line="276" w:lineRule="auto"/>
              <w:ind w:firstLine="0"/>
            </w:pPr>
            <w:r/>
            <w:r>
              <w:rPr>
                <w:rFonts w:ascii="Times New Roman" w:hAnsi="Times New Roman" w:eastAsia="宋体"/>
                <w:b w:val="0"/>
                <w:i w:val="0"/>
                <w:sz w:val="19"/>
              </w:rPr>
              <w:t>放货指令列表行内 → 详情</w:t>
            </w:r>
          </w:p>
        </w:tc>
        <w:tc>
          <w:tcPr>
            <w:tcW w:type="dxa" w:w="2062"/>
          </w:tcPr>
          <w:p>
            <w:pPr>
              <w:spacing w:before="20" w:after="20" w:line="276" w:lineRule="auto"/>
              <w:ind w:firstLine="0"/>
            </w:pPr>
            <w:r/>
            <w:r>
              <w:rPr>
                <w:rFonts w:ascii="Times New Roman" w:hAnsi="Times New Roman" w:eastAsia="宋体"/>
                <w:b w:val="0"/>
                <w:i w:val="0"/>
                <w:sz w:val="19"/>
              </w:rPr>
              <w:t>页头信息条（放货指令编号、状态、所属合同编号、买卖方企业、创建人与时间）、页签一放货信息（放货信息 + 业务线下回款信息 + 附件）、页签二审批管理、页签三出库记录（6 列 + 汇总）、页签四操作记录（5 列）</w:t>
            </w:r>
          </w:p>
        </w:tc>
        <w:tc>
          <w:tcPr>
            <w:tcW w:type="dxa" w:w="1767"/>
          </w:tcPr>
          <w:p>
            <w:pPr>
              <w:spacing w:before="20" w:after="20" w:line="276" w:lineRule="auto"/>
              <w:ind w:firstLine="0"/>
            </w:pPr>
            <w:r/>
            <w:r>
              <w:rPr>
                <w:rFonts w:ascii="Times New Roman" w:hAnsi="Times New Roman" w:eastAsia="宋体"/>
                <w:b w:val="0"/>
                <w:i w:val="0"/>
                <w:sz w:val="19"/>
              </w:rPr>
              <w:t>复制放货指令编号、跳转所属合同、下载附件、回款详情</w:t>
            </w:r>
          </w:p>
        </w:tc>
        <w:tc>
          <w:tcPr>
            <w:tcW w:type="dxa" w:w="1414"/>
          </w:tcPr>
          <w:p>
            <w:pPr>
              <w:spacing w:before="20" w:after="20" w:line="276" w:lineRule="auto"/>
              <w:ind w:firstLine="0"/>
            </w:pPr>
            <w:r/>
            <w:r>
              <w:rPr>
                <w:rFonts w:ascii="Times New Roman" w:hAnsi="Times New Roman" w:eastAsia="宋体"/>
                <w:b w:val="0"/>
                <w:i w:val="0"/>
                <w:sz w:val="19"/>
              </w:rPr>
              <w:t>所属合同编号 → 合同详情页；回款详情 → 回款认领记录详情</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4.22.8　验收标准与待确认项</w:t>
      </w:r>
    </w:p>
    <w:tbl>
      <w:tblPr>
        <w:tblStyle w:val="TableGrid"/>
        <w:tblW w:type="auto" w:w="0"/>
        <w:jc w:val="center"/>
        <w:tblLayout w:type="fixed"/>
        <w:tblLook w:firstColumn="1" w:firstRow="1" w:lastColumn="0" w:lastRow="0" w:noHBand="0" w:noVBand="1" w:val="04A0"/>
      </w:tblPr>
      <w:tblGrid>
        <w:gridCol w:w="4479"/>
        <w:gridCol w:w="4479"/>
      </w:tblGrid>
      <w:tr>
        <w:trPr>
          <w:tblHeader w:val="true"/>
        </w:trPr>
        <w:tc>
          <w:tcPr>
            <w:tcW w:type="dxa" w:w="1701"/>
            <w:shd w:val="clear" w:color="auto" w:fill="DCE6F1"/>
          </w:tcPr>
          <w:p>
            <w:pPr>
              <w:spacing w:before="40" w:after="40" w:line="276" w:lineRule="auto"/>
              <w:jc w:val="center"/>
            </w:pPr>
            <w:r/>
            <w:r>
              <w:rPr>
                <w:rFonts w:ascii="Times New Roman" w:hAnsi="Times New Roman" w:eastAsia="黑体"/>
                <w:b/>
                <w:i w:val="0"/>
                <w:sz w:val="21"/>
              </w:rPr>
              <w:t>功能</w:t>
            </w:r>
          </w:p>
        </w:tc>
        <w:tc>
          <w:tcPr>
            <w:tcW w:type="dxa" w:w="7370"/>
            <w:shd w:val="clear" w:color="auto" w:fill="DCE6F1"/>
          </w:tcPr>
          <w:p>
            <w:pPr>
              <w:spacing w:before="40" w:after="40" w:line="276" w:lineRule="auto"/>
              <w:jc w:val="center"/>
            </w:pPr>
            <w:r/>
            <w:r>
              <w:rPr>
                <w:rFonts w:ascii="Times New Roman" w:hAnsi="Times New Roman" w:eastAsia="黑体"/>
                <w:b/>
                <w:i w:val="0"/>
                <w:sz w:val="21"/>
              </w:rPr>
              <w:t>验收要点（由关键规则转写）</w:t>
            </w:r>
          </w:p>
        </w:tc>
      </w:tr>
      <w:tr>
        <w:tc>
          <w:tcPr>
            <w:tcW w:type="dxa" w:w="1701"/>
          </w:tcPr>
          <w:p>
            <w:pPr>
              <w:spacing w:before="20" w:after="20" w:line="276" w:lineRule="auto"/>
              <w:ind w:firstLine="0"/>
            </w:pPr>
            <w:r/>
            <w:r>
              <w:rPr>
                <w:rFonts w:ascii="Times New Roman" w:hAnsi="Times New Roman" w:eastAsia="宋体"/>
                <w:b w:val="0"/>
                <w:i w:val="0"/>
                <w:sz w:val="21"/>
              </w:rPr>
              <w:t>提货管理列表与两态分栏</w:t>
            </w:r>
          </w:p>
        </w:tc>
        <w:tc>
          <w:tcPr>
            <w:tcW w:type="dxa" w:w="7370"/>
          </w:tcPr>
          <w:p>
            <w:pPr>
              <w:spacing w:before="20" w:after="20" w:line="276" w:lineRule="auto"/>
              <w:ind w:firstLine="0"/>
            </w:pPr>
            <w:r/>
            <w:r>
              <w:rPr>
                <w:rFonts w:ascii="Times New Roman" w:hAnsi="Times New Roman" w:eastAsia="宋体"/>
                <w:b w:val="0"/>
                <w:i w:val="0"/>
                <w:sz w:val="21"/>
              </w:rPr>
              <w:t>分栏固定为已开具与已收到 2 个且不带计数；分栏维度是开具与收到而不是状态机审批；筛选区共 5 个字段：编号、提货开具方、提货接收方、提货日期、状态；列表共 9 列：合同编号、提货编号、提货开具方、提货接收方、提货日期、提货数量、状态、最新操作时间、操作</w:t>
            </w:r>
          </w:p>
        </w:tc>
      </w:tr>
      <w:tr>
        <w:tc>
          <w:tcPr>
            <w:tcW w:type="dxa" w:w="1701"/>
          </w:tcPr>
          <w:p>
            <w:pPr>
              <w:spacing w:before="20" w:after="20" w:line="276" w:lineRule="auto"/>
              <w:ind w:firstLine="0"/>
            </w:pPr>
            <w:r/>
            <w:r>
              <w:rPr>
                <w:rFonts w:ascii="Times New Roman" w:hAnsi="Times New Roman" w:eastAsia="宋体"/>
                <w:b w:val="0"/>
                <w:i w:val="0"/>
                <w:sz w:val="21"/>
              </w:rPr>
              <w:t>提货与合同编号规则</w:t>
            </w:r>
          </w:p>
        </w:tc>
        <w:tc>
          <w:tcPr>
            <w:tcW w:type="dxa" w:w="7370"/>
          </w:tcPr>
          <w:p>
            <w:pPr>
              <w:spacing w:before="20" w:after="20" w:line="276" w:lineRule="auto"/>
              <w:ind w:firstLine="0"/>
            </w:pPr>
            <w:r/>
            <w:r>
              <w:rPr>
                <w:rFonts w:ascii="Times New Roman" w:hAnsi="Times New Roman" w:eastAsia="宋体"/>
                <w:b w:val="0"/>
                <w:i w:val="0"/>
                <w:sz w:val="21"/>
              </w:rPr>
              <w:t>提货编号格式为 TH 加年月日加四位序号；合同编号格式为业务前缀、业务类型、年月日、序号四段式；已开具与已收到两个分栏各自的记录集合独立渲染</w:t>
            </w:r>
          </w:p>
        </w:tc>
      </w:tr>
      <w:tr>
        <w:tc>
          <w:tcPr>
            <w:tcW w:type="dxa" w:w="1701"/>
          </w:tcPr>
          <w:p>
            <w:pPr>
              <w:spacing w:before="20" w:after="20" w:line="276" w:lineRule="auto"/>
              <w:ind w:firstLine="0"/>
            </w:pPr>
            <w:r/>
            <w:r>
              <w:rPr>
                <w:rFonts w:ascii="Times New Roman" w:hAnsi="Times New Roman" w:eastAsia="宋体"/>
                <w:b w:val="0"/>
                <w:i w:val="0"/>
                <w:sz w:val="21"/>
              </w:rPr>
              <w:t>放货指令列表与七态分栏</w:t>
            </w:r>
          </w:p>
        </w:tc>
        <w:tc>
          <w:tcPr>
            <w:tcW w:type="dxa" w:w="7370"/>
          </w:tcPr>
          <w:p>
            <w:pPr>
              <w:spacing w:before="20" w:after="20" w:line="276" w:lineRule="auto"/>
              <w:ind w:firstLine="0"/>
            </w:pPr>
            <w:r/>
            <w:r>
              <w:rPr>
                <w:rFonts w:ascii="Times New Roman" w:hAnsi="Times New Roman" w:eastAsia="宋体"/>
                <w:b w:val="0"/>
                <w:i w:val="0"/>
                <w:sz w:val="21"/>
              </w:rPr>
              <w:t>分栏固定为全部、审批中、生效中、已超额、已完结、已驳回、已作废 7 个且不带计数；列表共 10 列：放货指令编号、合同编号、卖方企业、买方企业、放货日期、放货数量、品名、最新操作时间、状态、操作；该分栏维度与提货管理的开具与收到维度不同</w:t>
            </w:r>
          </w:p>
        </w:tc>
      </w:tr>
      <w:tr>
        <w:tc>
          <w:tcPr>
            <w:tcW w:type="dxa" w:w="1701"/>
          </w:tcPr>
          <w:p>
            <w:pPr>
              <w:spacing w:before="20" w:after="20" w:line="276" w:lineRule="auto"/>
              <w:ind w:firstLine="0"/>
            </w:pPr>
            <w:r/>
            <w:r>
              <w:rPr>
                <w:rFonts w:ascii="Times New Roman" w:hAnsi="Times New Roman" w:eastAsia="宋体"/>
                <w:b w:val="0"/>
                <w:i w:val="0"/>
                <w:sz w:val="21"/>
              </w:rPr>
              <w:t>新增放货指令表单</w:t>
            </w:r>
          </w:p>
        </w:tc>
        <w:tc>
          <w:tcPr>
            <w:tcW w:type="dxa" w:w="7370"/>
          </w:tcPr>
          <w:p>
            <w:pPr>
              <w:spacing w:before="20" w:after="20" w:line="276" w:lineRule="auto"/>
              <w:ind w:firstLine="0"/>
            </w:pPr>
            <w:r/>
            <w:r>
              <w:rPr>
                <w:rFonts w:ascii="Times New Roman" w:hAnsi="Times New Roman" w:eastAsia="宋体"/>
                <w:b w:val="0"/>
                <w:i w:val="0"/>
                <w:sz w:val="21"/>
              </w:rPr>
              <w:t>区块固定为合同信息 9 字段、放货信息 7 字段、站点表格、备注 1 项、业务线下游回款信息、附件 2 行；备注上限 200 字；运输方式使用单选控件且默认火运；出库通知书附件为必传</w:t>
            </w:r>
          </w:p>
        </w:tc>
      </w:tr>
      <w:tr>
        <w:tc>
          <w:tcPr>
            <w:tcW w:type="dxa" w:w="1701"/>
          </w:tcPr>
          <w:p>
            <w:pPr>
              <w:spacing w:before="20" w:after="20" w:line="276" w:lineRule="auto"/>
              <w:ind w:firstLine="0"/>
            </w:pPr>
            <w:r/>
            <w:r>
              <w:rPr>
                <w:rFonts w:ascii="Times New Roman" w:hAnsi="Times New Roman" w:eastAsia="宋体"/>
                <w:b w:val="0"/>
                <w:i w:val="0"/>
                <w:sz w:val="21"/>
              </w:rPr>
              <w:t>站点表格动态加行</w:t>
            </w:r>
          </w:p>
        </w:tc>
        <w:tc>
          <w:tcPr>
            <w:tcW w:type="dxa" w:w="7370"/>
          </w:tcPr>
          <w:p>
            <w:pPr>
              <w:spacing w:before="20" w:after="20" w:line="276" w:lineRule="auto"/>
              <w:ind w:firstLine="0"/>
            </w:pPr>
            <w:r/>
            <w:r>
              <w:rPr>
                <w:rFonts w:ascii="Times New Roman" w:hAnsi="Times New Roman" w:eastAsia="宋体"/>
                <w:b w:val="0"/>
                <w:i w:val="0"/>
                <w:sz w:val="21"/>
              </w:rPr>
              <w:t>表格列为序号、发站、到站、收货人、托运人、操作；发站与到站均为必填；点击操作列的新增按钮由脚本追加一行，可连续添加多行</w:t>
            </w:r>
          </w:p>
        </w:tc>
      </w:tr>
      <w:tr>
        <w:tc>
          <w:tcPr>
            <w:tcW w:type="dxa" w:w="1701"/>
          </w:tcPr>
          <w:p>
            <w:pPr>
              <w:spacing w:before="20" w:after="20" w:line="276" w:lineRule="auto"/>
              <w:ind w:firstLine="0"/>
            </w:pPr>
            <w:r/>
            <w:r>
              <w:rPr>
                <w:rFonts w:ascii="Times New Roman" w:hAnsi="Times New Roman" w:eastAsia="宋体"/>
                <w:b w:val="0"/>
                <w:i w:val="0"/>
                <w:sz w:val="21"/>
              </w:rPr>
              <w:t>业务线下游回款信息</w:t>
            </w:r>
          </w:p>
        </w:tc>
        <w:tc>
          <w:tcPr>
            <w:tcW w:type="dxa" w:w="7370"/>
          </w:tcPr>
          <w:p>
            <w:pPr>
              <w:spacing w:before="20" w:after="20" w:line="276" w:lineRule="auto"/>
              <w:ind w:firstLine="0"/>
            </w:pPr>
            <w:r/>
            <w:r>
              <w:rPr>
                <w:rFonts w:ascii="Times New Roman" w:hAnsi="Times New Roman" w:eastAsia="宋体"/>
                <w:b w:val="0"/>
                <w:i w:val="0"/>
                <w:sz w:val="21"/>
              </w:rPr>
              <w:t>汇总三项为下游企业累计已回款货款、累计已出库货值、剩余可出库货值；明细表列为收款编号、回款时间、回款金额、认领至本合同金额、可认领余额、回款方式、认领状态、操作；回款方式分电汇、票据、其他，认领状态分已认领、未认领；新增页与详情页的明细表列数不一致，以业务方确认口径为准</w:t>
            </w:r>
          </w:p>
        </w:tc>
      </w:tr>
      <w:tr>
        <w:tc>
          <w:tcPr>
            <w:tcW w:type="dxa" w:w="1701"/>
          </w:tcPr>
          <w:p>
            <w:pPr>
              <w:spacing w:before="20" w:after="20" w:line="276" w:lineRule="auto"/>
              <w:ind w:firstLine="0"/>
            </w:pPr>
            <w:r/>
            <w:r>
              <w:rPr>
                <w:rFonts w:ascii="Times New Roman" w:hAnsi="Times New Roman" w:eastAsia="宋体"/>
                <w:b w:val="0"/>
                <w:i w:val="0"/>
                <w:sz w:val="21"/>
              </w:rPr>
              <w:t>放货指令详情</w:t>
            </w:r>
          </w:p>
        </w:tc>
        <w:tc>
          <w:tcPr>
            <w:tcW w:type="dxa" w:w="7370"/>
          </w:tcPr>
          <w:p>
            <w:pPr>
              <w:spacing w:before="20" w:after="20" w:line="276" w:lineRule="auto"/>
              <w:ind w:firstLine="0"/>
            </w:pPr>
            <w:r/>
            <w:r>
              <w:rPr>
                <w:rFonts w:ascii="Times New Roman" w:hAnsi="Times New Roman" w:eastAsia="宋体"/>
                <w:b w:val="0"/>
                <w:i w:val="0"/>
                <w:sz w:val="21"/>
              </w:rPr>
              <w:t>页签为放货信息、审批管理、出库记录、操作记录，默认停留在放货信息；审批管理页签名随单据状态在审批管理与审批记录之间切换；出库记录为 6 列表格并附放货数量与出库数量汇总，无数据时展示暂无数据；操作记录为 5 列表格</w:t>
            </w:r>
          </w:p>
        </w:tc>
      </w:tr>
      <w:tr>
        <w:tc>
          <w:tcPr>
            <w:tcW w:type="dxa" w:w="1701"/>
          </w:tcPr>
          <w:p>
            <w:pPr>
              <w:spacing w:before="20" w:after="20" w:line="276" w:lineRule="auto"/>
              <w:ind w:firstLine="0"/>
            </w:pPr>
            <w:r/>
            <w:r>
              <w:rPr>
                <w:rFonts w:ascii="Times New Roman" w:hAnsi="Times New Roman" w:eastAsia="宋体"/>
                <w:b w:val="0"/>
                <w:i w:val="0"/>
                <w:sz w:val="21"/>
              </w:rPr>
              <w:t>放货与出库联动</w:t>
            </w:r>
          </w:p>
        </w:tc>
        <w:tc>
          <w:tcPr>
            <w:tcW w:type="dxa" w:w="7370"/>
          </w:tcPr>
          <w:p>
            <w:pPr>
              <w:spacing w:before="20" w:after="20" w:line="276" w:lineRule="auto"/>
              <w:ind w:firstLine="0"/>
            </w:pPr>
            <w:r/>
            <w:r>
              <w:rPr>
                <w:rFonts w:ascii="Times New Roman" w:hAnsi="Times New Roman" w:eastAsia="宋体"/>
                <w:b w:val="0"/>
                <w:i w:val="0"/>
                <w:sz w:val="21"/>
              </w:rPr>
              <w:t>放货执行后联动出库登记；出库记录页签回显出库编号、关联下煤计划编号、出库日期、仓房与货位、出库数量、车数；累计出库数量不得超过放货数量</w:t>
            </w:r>
          </w:p>
        </w:tc>
      </w:tr>
    </w:tbl>
    <w:p>
      <w:pPr>
        <w:spacing w:before="0" w:after="0" w:line="240" w:lineRule="auto"/>
      </w:pPr>
    </w:p>
    <w:p>
      <w:pPr>
        <w:spacing w:before="120" w:after="60" w:line="360" w:lineRule="auto"/>
      </w:pPr>
      <w:r>
        <w:rPr>
          <w:rFonts w:ascii="Times New Roman" w:hAnsi="Times New Roman" w:eastAsia="宋体"/>
          <w:b/>
          <w:i w:val="0"/>
          <w:sz w:val="24"/>
        </w:rPr>
        <w:t>待业务方确认：</w:t>
      </w:r>
    </w:p>
    <w:p>
      <w:pPr>
        <w:spacing w:before="0" w:after="60" w:line="336" w:lineRule="auto"/>
        <w:ind w:left="340" w:firstLine="0"/>
      </w:pPr>
      <w:r>
        <w:rPr>
          <w:rFonts w:ascii="Times New Roman" w:hAnsi="Times New Roman" w:eastAsia="宋体"/>
          <w:b w:val="0"/>
          <w:i w:val="0"/>
          <w:sz w:val="24"/>
        </w:rPr>
        <w:t>· 待业务方确认：放货指令的页面标题口径，页面标题为放货指令而菜单层级仍为放货管理，两者是否统一</w:t>
      </w:r>
    </w:p>
    <w:p>
      <w:pPr>
        <w:spacing w:before="0" w:after="60" w:line="336" w:lineRule="auto"/>
        <w:ind w:left="340" w:firstLine="0"/>
      </w:pPr>
      <w:r>
        <w:rPr>
          <w:rFonts w:ascii="Times New Roman" w:hAnsi="Times New Roman" w:eastAsia="宋体"/>
          <w:b w:val="0"/>
          <w:i w:val="0"/>
          <w:sz w:val="24"/>
        </w:rPr>
        <w:t>· 待业务方确认：放货指令的 7 个状态与早期四状态（待生成、已生成、已执行、联动出库）是否为同一套状态的两种抽象，最终以哪套为准</w:t>
      </w:r>
    </w:p>
    <w:p>
      <w:pPr>
        <w:spacing w:before="0" w:after="60" w:line="336" w:lineRule="auto"/>
        <w:ind w:left="340" w:firstLine="0"/>
      </w:pPr>
      <w:r>
        <w:rPr>
          <w:rFonts w:ascii="Times New Roman" w:hAnsi="Times New Roman" w:eastAsia="宋体"/>
          <w:b w:val="0"/>
          <w:i w:val="0"/>
          <w:sz w:val="24"/>
        </w:rPr>
        <w:t>· 待业务方确认：放货执行动作由哪个页面的哪个按钮承载，以及执行记录字段的定义</w:t>
      </w:r>
    </w:p>
    <w:p>
      <w:pPr>
        <w:spacing w:before="0" w:after="60" w:line="336" w:lineRule="auto"/>
        <w:ind w:left="340" w:firstLine="0"/>
      </w:pPr>
      <w:r>
        <w:rPr>
          <w:rFonts w:ascii="Times New Roman" w:hAnsi="Times New Roman" w:eastAsia="宋体"/>
          <w:b w:val="0"/>
          <w:i w:val="0"/>
          <w:sz w:val="24"/>
        </w:rPr>
        <w:t>· 待业务方确认：提货申请页与提货详情页是否在本期建设，当前仅有列表入口</w:t>
      </w:r>
    </w:p>
    <w:p>
      <w:pPr>
        <w:spacing w:before="0" w:after="60" w:line="336" w:lineRule="auto"/>
        <w:ind w:left="340" w:firstLine="0"/>
      </w:pPr>
      <w:r>
        <w:rPr>
          <w:rFonts w:ascii="Times New Roman" w:hAnsi="Times New Roman" w:eastAsia="宋体"/>
          <w:b w:val="0"/>
          <w:i w:val="0"/>
          <w:sz w:val="24"/>
        </w:rPr>
        <w:t>· 待业务方确认：站点作为运输层概念是否作为独立实体建模，以及发站到站的可选范围</w:t>
      </w:r>
    </w:p>
    <w:p>
      <w:pPr>
        <w:spacing w:before="0" w:after="60" w:line="336" w:lineRule="auto"/>
        <w:ind w:left="340" w:firstLine="0"/>
      </w:pPr>
      <w:r>
        <w:rPr>
          <w:rFonts w:ascii="Times New Roman" w:hAnsi="Times New Roman" w:eastAsia="宋体"/>
          <w:b w:val="0"/>
          <w:i w:val="0"/>
          <w:sz w:val="24"/>
        </w:rPr>
        <w:t>· 待业务方确认：放货指令详情页是否保留审批管理页签，页面为四页签而需求记录为三页签</w:t>
      </w:r>
    </w:p>
    <w:p>
      <w:pPr>
        <w:spacing w:before="0" w:after="60" w:line="336" w:lineRule="auto"/>
        <w:ind w:left="340" w:firstLine="0"/>
      </w:pPr>
      <w:r>
        <w:rPr>
          <w:rFonts w:ascii="Times New Roman" w:hAnsi="Times New Roman" w:eastAsia="宋体"/>
          <w:b w:val="0"/>
          <w:i w:val="0"/>
          <w:sz w:val="24"/>
        </w:rPr>
        <w:t>· 待业务方确认：业务线下回款明细表在新增页与详情页的列数差异以哪一套为准</w:t>
      </w:r>
    </w:p>
    <w:p>
      <w:r>
        <w:br w:type="page"/>
      </w:r>
    </w:p>
    <w:p>
      <w:pPr>
        <w:pStyle w:val="Heading2"/>
        <w:keepNext/>
        <w:spacing w:before="240" w:after="120" w:line="312" w:lineRule="auto"/>
        <w:ind w:firstLine="0"/>
      </w:pPr>
      <w:r>
        <w:rPr>
          <w:rFonts w:ascii="Times New Roman" w:hAnsi="Times New Roman" w:eastAsia="黑体"/>
          <w:b/>
          <w:i w:val="0"/>
          <w:sz w:val="28"/>
        </w:rPr>
        <w:t>4.23　库存管理</w:t>
      </w:r>
    </w:p>
    <w:p>
      <w:pPr>
        <w:spacing w:before="0" w:after="160" w:line="360" w:lineRule="auto"/>
      </w:pPr>
      <w:r>
        <w:rPr>
          <w:rFonts w:ascii="Times New Roman" w:hAnsi="Times New Roman" w:eastAsia="宋体"/>
          <w:b w:val="0"/>
          <w:i w:val="0"/>
          <w:color w:val="595959"/>
          <w:sz w:val="21"/>
        </w:rPr>
        <w:t>菜单路径：仓储管理 / 库存管理</w:t>
      </w:r>
    </w:p>
    <w:p>
      <w:pPr>
        <w:pStyle w:val="Heading3"/>
        <w:keepNext/>
        <w:spacing w:before="160" w:after="80" w:line="312" w:lineRule="auto"/>
        <w:ind w:firstLine="0"/>
      </w:pPr>
      <w:r>
        <w:rPr>
          <w:rFonts w:ascii="Times New Roman" w:hAnsi="Times New Roman" w:eastAsia="黑体"/>
          <w:b/>
          <w:i w:val="0"/>
          <w:sz w:val="24"/>
        </w:rPr>
        <w:t>4.23.1　一页结论</w:t>
      </w:r>
    </w:p>
    <w:p>
      <w:pPr>
        <w:spacing w:before="0" w:after="120" w:line="360" w:lineRule="auto"/>
      </w:pPr>
      <w:r>
        <w:rPr>
          <w:rFonts w:ascii="Times New Roman" w:hAnsi="Times New Roman" w:eastAsia="宋体"/>
          <w:b w:val="0"/>
          <w:i w:val="0"/>
          <w:sz w:val="24"/>
        </w:rPr>
        <w:t>提供仓储库存的总账视图：按仓房、货位、品类、合同与业务类型多维聚合展示出入库量、实际库存、账面库存与库存差异，支撑账实核对与盘盈盘亏识别。</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928"/>
            <w:shd w:val="clear" w:color="auto" w:fill="DCE6F1"/>
          </w:tcPr>
          <w:p>
            <w:pPr>
              <w:spacing w:before="40" w:after="40" w:line="276" w:lineRule="auto"/>
              <w:jc w:val="center"/>
            </w:pPr>
            <w:r/>
            <w:r>
              <w:rPr>
                <w:rFonts w:ascii="Times New Roman" w:hAnsi="Times New Roman" w:eastAsia="黑体"/>
                <w:b/>
                <w:i w:val="0"/>
                <w:sz w:val="21"/>
              </w:rPr>
              <w:t>问题</w:t>
            </w:r>
          </w:p>
        </w:tc>
        <w:tc>
          <w:tcPr>
            <w:tcW w:type="dxa" w:w="3572"/>
            <w:shd w:val="clear" w:color="auto" w:fill="DCE6F1"/>
          </w:tcPr>
          <w:p>
            <w:pPr>
              <w:spacing w:before="40" w:after="40" w:line="276" w:lineRule="auto"/>
              <w:jc w:val="center"/>
            </w:pPr>
            <w:r/>
            <w:r>
              <w:rPr>
                <w:rFonts w:ascii="Times New Roman" w:hAnsi="Times New Roman" w:eastAsia="黑体"/>
                <w:b/>
                <w:i w:val="0"/>
                <w:sz w:val="21"/>
              </w:rPr>
              <w:t>当前做法</w:t>
            </w:r>
          </w:p>
        </w:tc>
        <w:tc>
          <w:tcPr>
            <w:tcW w:type="dxa" w:w="3572"/>
            <w:shd w:val="clear" w:color="auto" w:fill="DCE6F1"/>
          </w:tcPr>
          <w:p>
            <w:pPr>
              <w:spacing w:before="40" w:after="40" w:line="276" w:lineRule="auto"/>
              <w:jc w:val="center"/>
            </w:pPr>
            <w:r/>
            <w:r>
              <w:rPr>
                <w:rFonts w:ascii="Times New Roman" w:hAnsi="Times New Roman" w:eastAsia="黑体"/>
                <w:b/>
                <w:i w:val="0"/>
                <w:sz w:val="21"/>
              </w:rPr>
              <w:t>本模块解法</w:t>
            </w:r>
          </w:p>
        </w:tc>
      </w:tr>
      <w:tr>
        <w:tc>
          <w:tcPr>
            <w:tcW w:type="dxa" w:w="1928"/>
          </w:tcPr>
          <w:p>
            <w:pPr>
              <w:spacing w:before="20" w:after="20" w:line="276" w:lineRule="auto"/>
              <w:ind w:firstLine="0"/>
            </w:pPr>
            <w:r/>
            <w:r>
              <w:rPr>
                <w:rFonts w:ascii="Times New Roman" w:hAnsi="Times New Roman" w:eastAsia="宋体"/>
                <w:b w:val="0"/>
                <w:i w:val="0"/>
                <w:sz w:val="21"/>
              </w:rPr>
              <w:t>账实不符长期难以及时发现</w:t>
            </w:r>
          </w:p>
        </w:tc>
        <w:tc>
          <w:tcPr>
            <w:tcW w:type="dxa" w:w="3572"/>
          </w:tcPr>
          <w:p>
            <w:pPr>
              <w:spacing w:before="20" w:after="20" w:line="276" w:lineRule="auto"/>
              <w:ind w:firstLine="0"/>
            </w:pPr>
            <w:r/>
            <w:r>
              <w:rPr>
                <w:rFonts w:ascii="Times New Roman" w:hAnsi="Times New Roman" w:eastAsia="宋体"/>
                <w:b w:val="0"/>
                <w:i w:val="0"/>
                <w:sz w:val="21"/>
              </w:rPr>
              <w:t>系统账面数量与仓内实物长期背离，往往到盘点或客户提货争议时才发现</w:t>
            </w:r>
          </w:p>
        </w:tc>
        <w:tc>
          <w:tcPr>
            <w:tcW w:type="dxa" w:w="3572"/>
          </w:tcPr>
          <w:p>
            <w:pPr>
              <w:spacing w:before="20" w:after="20" w:line="276" w:lineRule="auto"/>
              <w:ind w:firstLine="0"/>
            </w:pPr>
            <w:r/>
            <w:r>
              <w:rPr>
                <w:rFonts w:ascii="Times New Roman" w:hAnsi="Times New Roman" w:eastAsia="宋体"/>
                <w:b w:val="0"/>
                <w:i w:val="0"/>
                <w:sz w:val="21"/>
              </w:rPr>
              <w:t>同页并列实际库存、账面库存与库存差异三项指标，差异方向自动判定盘盈或盘亏并按颜色区分</w:t>
            </w:r>
          </w:p>
        </w:tc>
      </w:tr>
      <w:tr>
        <w:tc>
          <w:tcPr>
            <w:tcW w:type="dxa" w:w="1928"/>
          </w:tcPr>
          <w:p>
            <w:pPr>
              <w:spacing w:before="20" w:after="20" w:line="276" w:lineRule="auto"/>
              <w:ind w:firstLine="0"/>
            </w:pPr>
            <w:r/>
            <w:r>
              <w:rPr>
                <w:rFonts w:ascii="Times New Roman" w:hAnsi="Times New Roman" w:eastAsia="宋体"/>
                <w:b w:val="0"/>
                <w:i w:val="0"/>
                <w:sz w:val="21"/>
              </w:rPr>
              <w:t>库存口径分散在多张表里</w:t>
            </w:r>
          </w:p>
        </w:tc>
        <w:tc>
          <w:tcPr>
            <w:tcW w:type="dxa" w:w="3572"/>
          </w:tcPr>
          <w:p>
            <w:pPr>
              <w:spacing w:before="20" w:after="20" w:line="276" w:lineRule="auto"/>
              <w:ind w:firstLine="0"/>
            </w:pPr>
            <w:r/>
            <w:r>
              <w:rPr>
                <w:rFonts w:ascii="Times New Roman" w:hAnsi="Times New Roman" w:eastAsia="宋体"/>
                <w:b w:val="0"/>
                <w:i w:val="0"/>
                <w:sz w:val="21"/>
              </w:rPr>
              <w:t>累计入库、累计出库、锁定数量、可用数量分别维护，看全貌要逐张表查</w:t>
            </w:r>
          </w:p>
        </w:tc>
        <w:tc>
          <w:tcPr>
            <w:tcW w:type="dxa" w:w="3572"/>
          </w:tcPr>
          <w:p>
            <w:pPr>
              <w:spacing w:before="20" w:after="20" w:line="276" w:lineRule="auto"/>
              <w:ind w:firstLine="0"/>
            </w:pPr>
            <w:r/>
            <w:r>
              <w:rPr>
                <w:rFonts w:ascii="Times New Roman" w:hAnsi="Times New Roman" w:eastAsia="宋体"/>
                <w:b w:val="0"/>
                <w:i w:val="0"/>
                <w:sz w:val="21"/>
              </w:rPr>
              <w:t>库存概览区以 8 项 KPI 横向集中呈现库存数量与货值口径，一屏看全</w:t>
            </w:r>
          </w:p>
        </w:tc>
      </w:tr>
      <w:tr>
        <w:tc>
          <w:tcPr>
            <w:tcW w:type="dxa" w:w="1928"/>
          </w:tcPr>
          <w:p>
            <w:pPr>
              <w:spacing w:before="20" w:after="20" w:line="276" w:lineRule="auto"/>
              <w:ind w:firstLine="0"/>
            </w:pPr>
            <w:r/>
            <w:r>
              <w:rPr>
                <w:rFonts w:ascii="Times New Roman" w:hAnsi="Times New Roman" w:eastAsia="宋体"/>
                <w:b w:val="0"/>
                <w:i w:val="0"/>
                <w:sz w:val="21"/>
              </w:rPr>
              <w:t>多维查询靠导出后手工统计</w:t>
            </w:r>
          </w:p>
        </w:tc>
        <w:tc>
          <w:tcPr>
            <w:tcW w:type="dxa" w:w="3572"/>
          </w:tcPr>
          <w:p>
            <w:pPr>
              <w:spacing w:before="20" w:after="20" w:line="276" w:lineRule="auto"/>
              <w:ind w:firstLine="0"/>
            </w:pPr>
            <w:r/>
            <w:r>
              <w:rPr>
                <w:rFonts w:ascii="Times New Roman" w:hAnsi="Times New Roman" w:eastAsia="宋体"/>
                <w:b w:val="0"/>
                <w:i w:val="0"/>
                <w:sz w:val="21"/>
              </w:rPr>
              <w:t>要按仓房加品类加业务线核对时，只能导出表格再在本地透视</w:t>
            </w:r>
          </w:p>
        </w:tc>
        <w:tc>
          <w:tcPr>
            <w:tcW w:type="dxa" w:w="3572"/>
          </w:tcPr>
          <w:p>
            <w:pPr>
              <w:spacing w:before="20" w:after="20" w:line="276" w:lineRule="auto"/>
              <w:ind w:firstLine="0"/>
            </w:pPr>
            <w:r/>
            <w:r>
              <w:rPr>
                <w:rFonts w:ascii="Times New Roman" w:hAnsi="Times New Roman" w:eastAsia="宋体"/>
                <w:b w:val="0"/>
                <w:i w:val="0"/>
                <w:sz w:val="21"/>
              </w:rPr>
              <w:t>7 个筛选字段支持仓房、货位、品类、单品名、业务类型、合同编号与库存差异的组合过滤</w:t>
            </w:r>
          </w:p>
        </w:tc>
      </w:tr>
      <w:tr>
        <w:tc>
          <w:tcPr>
            <w:tcW w:type="dxa" w:w="1928"/>
          </w:tcPr>
          <w:p>
            <w:pPr>
              <w:spacing w:before="20" w:after="20" w:line="276" w:lineRule="auto"/>
              <w:ind w:firstLine="0"/>
            </w:pPr>
            <w:r/>
            <w:r>
              <w:rPr>
                <w:rFonts w:ascii="Times New Roman" w:hAnsi="Times New Roman" w:eastAsia="宋体"/>
                <w:b w:val="0"/>
                <w:i w:val="0"/>
                <w:sz w:val="21"/>
              </w:rPr>
              <w:t>仓储端行情与平台盯市割裂</w:t>
            </w:r>
          </w:p>
        </w:tc>
        <w:tc>
          <w:tcPr>
            <w:tcW w:type="dxa" w:w="3572"/>
          </w:tcPr>
          <w:p>
            <w:pPr>
              <w:spacing w:before="20" w:after="20" w:line="276" w:lineRule="auto"/>
              <w:ind w:firstLine="0"/>
            </w:pPr>
            <w:r/>
            <w:r>
              <w:rPr>
                <w:rFonts w:ascii="Times New Roman" w:hAnsi="Times New Roman" w:eastAsia="宋体"/>
                <w:b w:val="0"/>
                <w:i w:val="0"/>
                <w:sz w:val="21"/>
              </w:rPr>
              <w:t>仓库侧的当日行情单独记录，平台盯市规则库拿不到仓储端数据</w:t>
            </w:r>
          </w:p>
        </w:tc>
        <w:tc>
          <w:tcPr>
            <w:tcW w:type="dxa" w:w="3572"/>
          </w:tcPr>
          <w:p>
            <w:pPr>
              <w:spacing w:before="20" w:after="20" w:line="276" w:lineRule="auto"/>
              <w:ind w:firstLine="0"/>
            </w:pPr>
            <w:r/>
            <w:r>
              <w:rPr>
                <w:rFonts w:ascii="Times New Roman" w:hAnsi="Times New Roman" w:eastAsia="宋体"/>
                <w:b w:val="0"/>
                <w:i w:val="0"/>
                <w:sz w:val="21"/>
              </w:rPr>
              <w:t>行情管理按仓房或库点加品类加单品名采集当日行情，可同步到盯市价格规则库并触发价格预警</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4.23.2　背景与目标</w:t>
      </w:r>
    </w:p>
    <w:tbl>
      <w:tblPr>
        <w:tblStyle w:val="TableGrid"/>
        <w:tblW w:type="auto" w:w="0"/>
        <w:jc w:val="center"/>
        <w:tblLayout w:type="fixed"/>
        <w:tblLook w:firstColumn="1" w:firstRow="1" w:lastColumn="0" w:lastRow="0" w:noHBand="0" w:noVBand="1" w:val="04A0"/>
      </w:tblPr>
      <w:tblGrid>
        <w:gridCol w:w="8958"/>
      </w:tblGrid>
      <w:tr>
        <w:trPr>
          <w:tblHeader w:val="true"/>
        </w:trPr>
        <w:tc>
          <w:tcPr>
            <w:tcW w:type="dxa" w:w="9071"/>
            <w:shd w:val="clear" w:color="auto" w:fill="DCE6F1"/>
          </w:tcPr>
          <w:p>
            <w:pPr>
              <w:spacing w:before="40" w:after="40" w:line="276" w:lineRule="auto"/>
              <w:jc w:val="center"/>
            </w:pPr>
            <w:r/>
            <w:r>
              <w:rPr>
                <w:rFonts w:ascii="Times New Roman" w:hAnsi="Times New Roman" w:eastAsia="黑体"/>
                <w:b/>
                <w:i w:val="0"/>
                <w:sz w:val="21"/>
              </w:rPr>
              <w:t>目标 / 衡量口径</w:t>
            </w:r>
          </w:p>
        </w:tc>
      </w:tr>
      <w:tr>
        <w:tc>
          <w:tcPr>
            <w:tcW w:type="dxa" w:w="9071"/>
          </w:tcPr>
          <w:p>
            <w:pPr>
              <w:spacing w:before="20" w:after="20" w:line="276" w:lineRule="auto"/>
              <w:ind w:firstLine="0"/>
            </w:pPr>
            <w:r/>
            <w:r>
              <w:rPr>
                <w:rFonts w:ascii="Times New Roman" w:hAnsi="Times New Roman" w:eastAsia="宋体"/>
                <w:b w:val="0"/>
                <w:i w:val="0"/>
                <w:sz w:val="21"/>
              </w:rPr>
              <w:t>库存概览与业务线台账两个视角共用同一套筛选与导出能力，数据口径一致</w:t>
            </w:r>
          </w:p>
        </w:tc>
      </w:tr>
      <w:tr>
        <w:tc>
          <w:tcPr>
            <w:tcW w:type="dxa" w:w="9071"/>
          </w:tcPr>
          <w:p>
            <w:pPr>
              <w:spacing w:before="20" w:after="20" w:line="276" w:lineRule="auto"/>
              <w:ind w:firstLine="0"/>
            </w:pPr>
            <w:r/>
            <w:r>
              <w:rPr>
                <w:rFonts w:ascii="Times New Roman" w:hAnsi="Times New Roman" w:eastAsia="宋体"/>
                <w:b w:val="0"/>
                <w:i w:val="0"/>
                <w:sz w:val="21"/>
              </w:rPr>
              <w:t>实际库存、账面库存、库存差异三项指标同屏可对照，差异方向与颜色规则一致</w:t>
            </w:r>
          </w:p>
        </w:tc>
      </w:tr>
      <w:tr>
        <w:tc>
          <w:tcPr>
            <w:tcW w:type="dxa" w:w="9071"/>
          </w:tcPr>
          <w:p>
            <w:pPr>
              <w:spacing w:before="20" w:after="20" w:line="276" w:lineRule="auto"/>
              <w:ind w:firstLine="0"/>
            </w:pPr>
            <w:r/>
            <w:r>
              <w:rPr>
                <w:rFonts w:ascii="Times New Roman" w:hAnsi="Times New Roman" w:eastAsia="宋体"/>
                <w:b w:val="0"/>
                <w:i w:val="0"/>
                <w:sz w:val="21"/>
              </w:rPr>
              <w:t>出入库与盘盈盘亏登记提交后自动更新实际库存，无需人工重算</w:t>
            </w:r>
          </w:p>
        </w:tc>
      </w:tr>
      <w:tr>
        <w:tc>
          <w:tcPr>
            <w:tcW w:type="dxa" w:w="9071"/>
          </w:tcPr>
          <w:p>
            <w:pPr>
              <w:spacing w:before="20" w:after="20" w:line="276" w:lineRule="auto"/>
              <w:ind w:firstLine="0"/>
            </w:pPr>
            <w:r/>
            <w:r>
              <w:rPr>
                <w:rFonts w:ascii="Times New Roman" w:hAnsi="Times New Roman" w:eastAsia="宋体"/>
                <w:b w:val="0"/>
                <w:i w:val="0"/>
                <w:sz w:val="21"/>
              </w:rPr>
              <w:t>库存台账与品类配置、仓房货位保持同源，仓房与货位维度可下钻</w:t>
            </w:r>
          </w:p>
        </w:tc>
      </w:tr>
    </w:tbl>
    <w:p>
      <w:pPr>
        <w:spacing w:before="0" w:after="0" w:line="240" w:lineRule="auto"/>
      </w:pPr>
    </w:p>
    <w:p>
      <w:pPr>
        <w:spacing w:before="80" w:after="120" w:line="360" w:lineRule="auto"/>
      </w:pPr>
      <w:r>
        <w:rPr>
          <w:rFonts w:ascii="Times New Roman" w:hAnsi="Times New Roman" w:eastAsia="宋体"/>
          <w:b w:val="0"/>
          <w:i w:val="0"/>
          <w:color w:val="595959"/>
          <w:sz w:val="21"/>
        </w:rPr>
        <w:t>说明：文中口径以业务方已确认结论为准；未确认项集中列于本章末与第 5 章。</w:t>
      </w:r>
    </w:p>
    <w:p>
      <w:pPr>
        <w:pStyle w:val="Heading3"/>
        <w:keepNext/>
        <w:spacing w:before="160" w:after="80" w:line="312" w:lineRule="auto"/>
        <w:ind w:firstLine="0"/>
      </w:pPr>
      <w:r>
        <w:rPr>
          <w:rFonts w:ascii="Times New Roman" w:hAnsi="Times New Roman" w:eastAsia="黑体"/>
          <w:b/>
          <w:i w:val="0"/>
          <w:sz w:val="24"/>
        </w:rPr>
        <w:t>4.23.3　角色与用户需求</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361"/>
            <w:shd w:val="clear" w:color="auto" w:fill="DCE6F1"/>
          </w:tcPr>
          <w:p>
            <w:pPr>
              <w:spacing w:before="40" w:after="40" w:line="276" w:lineRule="auto"/>
              <w:jc w:val="center"/>
            </w:pPr>
            <w:r/>
            <w:r>
              <w:rPr>
                <w:rFonts w:ascii="Times New Roman" w:hAnsi="Times New Roman" w:eastAsia="黑体"/>
                <w:b/>
                <w:i w:val="0"/>
                <w:sz w:val="21"/>
              </w:rPr>
              <w:t>角色</w:t>
            </w:r>
          </w:p>
        </w:tc>
        <w:tc>
          <w:tcPr>
            <w:tcW w:type="dxa" w:w="1247"/>
            <w:shd w:val="clear" w:color="auto" w:fill="DCE6F1"/>
          </w:tcPr>
          <w:p>
            <w:pPr>
              <w:spacing w:before="40" w:after="40" w:line="276" w:lineRule="auto"/>
              <w:jc w:val="center"/>
            </w:pPr>
            <w:r/>
            <w:r>
              <w:rPr>
                <w:rFonts w:ascii="Times New Roman" w:hAnsi="Times New Roman" w:eastAsia="黑体"/>
                <w:b/>
                <w:i w:val="0"/>
                <w:sz w:val="21"/>
              </w:rPr>
              <w:t>所属部门</w:t>
            </w:r>
          </w:p>
        </w:tc>
        <w:tc>
          <w:tcPr>
            <w:tcW w:type="dxa" w:w="6463"/>
            <w:shd w:val="clear" w:color="auto" w:fill="DCE6F1"/>
          </w:tcPr>
          <w:p>
            <w:pPr>
              <w:spacing w:before="40" w:after="40" w:line="276" w:lineRule="auto"/>
              <w:jc w:val="center"/>
            </w:pPr>
            <w:r/>
            <w:r>
              <w:rPr>
                <w:rFonts w:ascii="Times New Roman" w:hAnsi="Times New Roman" w:eastAsia="黑体"/>
                <w:b/>
                <w:i w:val="0"/>
                <w:sz w:val="21"/>
              </w:rPr>
              <w:t>用户需求（我要…以便…）</w:t>
            </w:r>
          </w:p>
        </w:tc>
      </w:tr>
      <w:tr>
        <w:tc>
          <w:tcPr>
            <w:tcW w:type="dxa" w:w="1361"/>
          </w:tcPr>
          <w:p>
            <w:pPr>
              <w:spacing w:before="20" w:after="20" w:line="276" w:lineRule="auto"/>
              <w:ind w:firstLine="0"/>
            </w:pPr>
            <w:r/>
            <w:r>
              <w:rPr>
                <w:rFonts w:ascii="Times New Roman" w:hAnsi="Times New Roman" w:eastAsia="宋体"/>
                <w:b w:val="0"/>
                <w:i w:val="0"/>
                <w:sz w:val="21"/>
              </w:rPr>
              <w:t>仓储部库管员</w:t>
            </w:r>
          </w:p>
        </w:tc>
        <w:tc>
          <w:tcPr>
            <w:tcW w:type="dxa" w:w="1247"/>
          </w:tcPr>
          <w:p>
            <w:pPr>
              <w:spacing w:before="20" w:after="20" w:line="276" w:lineRule="auto"/>
              <w:ind w:firstLine="0"/>
            </w:pPr>
            <w:r/>
            <w:r>
              <w:rPr>
                <w:rFonts w:ascii="Times New Roman" w:hAnsi="Times New Roman" w:eastAsia="宋体"/>
                <w:b w:val="0"/>
                <w:i w:val="0"/>
                <w:sz w:val="21"/>
              </w:rPr>
              <w:t>仓储部</w:t>
            </w:r>
          </w:p>
        </w:tc>
        <w:tc>
          <w:tcPr>
            <w:tcW w:type="dxa" w:w="6463"/>
          </w:tcPr>
          <w:p>
            <w:pPr>
              <w:spacing w:before="20" w:after="20" w:line="276" w:lineRule="auto"/>
              <w:ind w:firstLine="0"/>
            </w:pPr>
            <w:r/>
            <w:r>
              <w:rPr>
                <w:rFonts w:ascii="Times New Roman" w:hAnsi="Times New Roman" w:eastAsia="宋体"/>
                <w:b w:val="0"/>
                <w:i w:val="0"/>
                <w:sz w:val="21"/>
              </w:rPr>
              <w:t>我要按仓房与品类查看实际库存与账面库存，以便快速定位账实差异</w:t>
            </w:r>
          </w:p>
        </w:tc>
      </w:tr>
      <w:tr>
        <w:tc>
          <w:tcPr>
            <w:tcW w:type="dxa" w:w="1361"/>
          </w:tcPr>
          <w:p>
            <w:pPr>
              <w:spacing w:before="20" w:after="20" w:line="276" w:lineRule="auto"/>
              <w:ind w:firstLine="0"/>
            </w:pPr>
            <w:r/>
            <w:r>
              <w:rPr>
                <w:rFonts w:ascii="Times New Roman" w:hAnsi="Times New Roman" w:eastAsia="宋体"/>
                <w:b w:val="0"/>
                <w:i w:val="0"/>
                <w:sz w:val="21"/>
              </w:rPr>
              <w:t>库管负责人</w:t>
            </w:r>
          </w:p>
        </w:tc>
        <w:tc>
          <w:tcPr>
            <w:tcW w:type="dxa" w:w="1247"/>
          </w:tcPr>
          <w:p>
            <w:pPr>
              <w:spacing w:before="20" w:after="20" w:line="276" w:lineRule="auto"/>
              <w:ind w:firstLine="0"/>
            </w:pPr>
            <w:r/>
            <w:r>
              <w:rPr>
                <w:rFonts w:ascii="Times New Roman" w:hAnsi="Times New Roman" w:eastAsia="宋体"/>
                <w:b w:val="0"/>
                <w:i w:val="0"/>
                <w:sz w:val="21"/>
              </w:rPr>
              <w:t>仓储部</w:t>
            </w:r>
          </w:p>
        </w:tc>
        <w:tc>
          <w:tcPr>
            <w:tcW w:type="dxa" w:w="6463"/>
          </w:tcPr>
          <w:p>
            <w:pPr>
              <w:spacing w:before="20" w:after="20" w:line="276" w:lineRule="auto"/>
              <w:ind w:firstLine="0"/>
            </w:pPr>
            <w:r/>
            <w:r>
              <w:rPr>
                <w:rFonts w:ascii="Times New Roman" w:hAnsi="Times New Roman" w:eastAsia="宋体"/>
                <w:b w:val="0"/>
                <w:i w:val="0"/>
                <w:sz w:val="21"/>
              </w:rPr>
              <w:t>我要导出当前筛选的库存台账，以便与财务和业务线核对货物数量与货值</w:t>
            </w:r>
          </w:p>
        </w:tc>
      </w:tr>
      <w:tr>
        <w:tc>
          <w:tcPr>
            <w:tcW w:type="dxa" w:w="1361"/>
          </w:tcPr>
          <w:p>
            <w:pPr>
              <w:spacing w:before="20" w:after="20" w:line="276" w:lineRule="auto"/>
              <w:ind w:firstLine="0"/>
            </w:pPr>
            <w:r/>
            <w:r>
              <w:rPr>
                <w:rFonts w:ascii="Times New Roman" w:hAnsi="Times New Roman" w:eastAsia="宋体"/>
                <w:b w:val="0"/>
                <w:i w:val="0"/>
                <w:sz w:val="21"/>
              </w:rPr>
              <w:t>业务员</w:t>
            </w:r>
          </w:p>
        </w:tc>
        <w:tc>
          <w:tcPr>
            <w:tcW w:type="dxa" w:w="1247"/>
          </w:tcPr>
          <w:p>
            <w:pPr>
              <w:spacing w:before="20" w:after="20" w:line="276" w:lineRule="auto"/>
              <w:ind w:firstLine="0"/>
            </w:pPr>
            <w:r/>
            <w:r>
              <w:rPr>
                <w:rFonts w:ascii="Times New Roman" w:hAnsi="Times New Roman" w:eastAsia="宋体"/>
                <w:b w:val="0"/>
                <w:i w:val="0"/>
                <w:sz w:val="21"/>
              </w:rPr>
              <w:t>业务部</w:t>
            </w:r>
          </w:p>
        </w:tc>
        <w:tc>
          <w:tcPr>
            <w:tcW w:type="dxa" w:w="6463"/>
          </w:tcPr>
          <w:p>
            <w:pPr>
              <w:spacing w:before="20" w:after="20" w:line="276" w:lineRule="auto"/>
              <w:ind w:firstLine="0"/>
            </w:pPr>
            <w:r/>
            <w:r>
              <w:rPr>
                <w:rFonts w:ascii="Times New Roman" w:hAnsi="Times New Roman" w:eastAsia="宋体"/>
                <w:b w:val="0"/>
                <w:i w:val="0"/>
                <w:sz w:val="21"/>
              </w:rPr>
              <w:t>我要在业务线台账视角查看本业务线的货物库存，以便跟踪履约进展</w:t>
            </w:r>
          </w:p>
        </w:tc>
      </w:tr>
      <w:tr>
        <w:tc>
          <w:tcPr>
            <w:tcW w:type="dxa" w:w="1361"/>
          </w:tcPr>
          <w:p>
            <w:pPr>
              <w:spacing w:before="20" w:after="20" w:line="276" w:lineRule="auto"/>
              <w:ind w:firstLine="0"/>
            </w:pPr>
            <w:r/>
            <w:r>
              <w:rPr>
                <w:rFonts w:ascii="Times New Roman" w:hAnsi="Times New Roman" w:eastAsia="宋体"/>
                <w:b w:val="0"/>
                <w:i w:val="0"/>
                <w:sz w:val="21"/>
              </w:rPr>
              <w:t>仓储方运营人员</w:t>
            </w:r>
          </w:p>
        </w:tc>
        <w:tc>
          <w:tcPr>
            <w:tcW w:type="dxa" w:w="1247"/>
          </w:tcPr>
          <w:p>
            <w:pPr>
              <w:spacing w:before="20" w:after="20" w:line="276" w:lineRule="auto"/>
              <w:ind w:firstLine="0"/>
            </w:pPr>
            <w:r/>
            <w:r>
              <w:rPr>
                <w:rFonts w:ascii="Times New Roman" w:hAnsi="Times New Roman" w:eastAsia="宋体"/>
                <w:b w:val="0"/>
                <w:i w:val="0"/>
                <w:sz w:val="21"/>
              </w:rPr>
              <w:t>第三方仓储方</w:t>
            </w:r>
          </w:p>
        </w:tc>
        <w:tc>
          <w:tcPr>
            <w:tcW w:type="dxa" w:w="6463"/>
          </w:tcPr>
          <w:p>
            <w:pPr>
              <w:spacing w:before="20" w:after="20" w:line="276" w:lineRule="auto"/>
              <w:ind w:firstLine="0"/>
            </w:pPr>
            <w:r/>
            <w:r>
              <w:rPr>
                <w:rFonts w:ascii="Times New Roman" w:hAnsi="Times New Roman" w:eastAsia="宋体"/>
                <w:b w:val="0"/>
                <w:i w:val="0"/>
                <w:sz w:val="21"/>
              </w:rPr>
              <w:t>我要查看仓储端当日行情与涨跌幅，以便掌握货值参考与存货策略</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4.23.4　功能结构与范围</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474"/>
            <w:shd w:val="clear" w:color="auto" w:fill="DCE6F1"/>
          </w:tcPr>
          <w:p>
            <w:pPr>
              <w:spacing w:before="40" w:after="40" w:line="276" w:lineRule="auto"/>
              <w:jc w:val="center"/>
            </w:pPr>
            <w:r/>
            <w:r>
              <w:rPr>
                <w:rFonts w:ascii="Times New Roman" w:hAnsi="Times New Roman" w:eastAsia="黑体"/>
                <w:b/>
                <w:i w:val="0"/>
                <w:sz w:val="21"/>
              </w:rPr>
              <w:t>功能</w:t>
            </w:r>
          </w:p>
        </w:tc>
        <w:tc>
          <w:tcPr>
            <w:tcW w:type="dxa" w:w="3175"/>
            <w:shd w:val="clear" w:color="auto" w:fill="DCE6F1"/>
          </w:tcPr>
          <w:p>
            <w:pPr>
              <w:spacing w:before="40" w:after="40" w:line="276" w:lineRule="auto"/>
              <w:jc w:val="center"/>
            </w:pPr>
            <w:r/>
            <w:r>
              <w:rPr>
                <w:rFonts w:ascii="Times New Roman" w:hAnsi="Times New Roman" w:eastAsia="黑体"/>
                <w:b/>
                <w:i w:val="0"/>
                <w:sz w:val="21"/>
              </w:rPr>
              <w:t>功能说明</w:t>
            </w:r>
          </w:p>
        </w:tc>
        <w:tc>
          <w:tcPr>
            <w:tcW w:type="dxa" w:w="4422"/>
            <w:shd w:val="clear" w:color="auto" w:fill="DCE6F1"/>
          </w:tcPr>
          <w:p>
            <w:pPr>
              <w:spacing w:before="40" w:after="40" w:line="276" w:lineRule="auto"/>
              <w:jc w:val="center"/>
            </w:pPr>
            <w:r/>
            <w:r>
              <w:rPr>
                <w:rFonts w:ascii="Times New Roman" w:hAnsi="Times New Roman" w:eastAsia="黑体"/>
                <w:b/>
                <w:i w:val="0"/>
                <w:sz w:val="21"/>
              </w:rPr>
              <w:t>关键规则</w:t>
            </w:r>
          </w:p>
        </w:tc>
      </w:tr>
      <w:tr>
        <w:tc>
          <w:tcPr>
            <w:tcW w:type="dxa" w:w="1474"/>
          </w:tcPr>
          <w:p>
            <w:pPr>
              <w:spacing w:before="20" w:after="20" w:line="276" w:lineRule="auto"/>
              <w:ind w:firstLine="0"/>
            </w:pPr>
            <w:r/>
            <w:r>
              <w:rPr>
                <w:rFonts w:ascii="Times New Roman" w:hAnsi="Times New Roman" w:eastAsia="宋体"/>
                <w:b w:val="0"/>
                <w:i w:val="0"/>
                <w:sz w:val="21"/>
              </w:rPr>
              <w:t>库存台账双视角分栏</w:t>
            </w:r>
          </w:p>
        </w:tc>
        <w:tc>
          <w:tcPr>
            <w:tcW w:type="dxa" w:w="3175"/>
          </w:tcPr>
          <w:p>
            <w:pPr>
              <w:spacing w:before="20" w:after="20" w:line="276" w:lineRule="auto"/>
              <w:ind w:firstLine="0"/>
            </w:pPr>
            <w:r/>
            <w:r>
              <w:rPr>
                <w:rFonts w:ascii="Times New Roman" w:hAnsi="Times New Roman" w:eastAsia="宋体"/>
                <w:b w:val="0"/>
                <w:i w:val="0"/>
                <w:sz w:val="21"/>
              </w:rPr>
              <w:t>库存台账主页面提供库存概览与业务线台账两个视角</w:t>
            </w:r>
          </w:p>
        </w:tc>
        <w:tc>
          <w:tcPr>
            <w:tcW w:type="dxa" w:w="4422"/>
          </w:tcPr>
          <w:p>
            <w:pPr>
              <w:spacing w:before="20" w:after="20" w:line="276" w:lineRule="auto"/>
              <w:ind w:firstLine="0"/>
            </w:pPr>
            <w:r/>
            <w:r>
              <w:rPr>
                <w:rFonts w:ascii="Times New Roman" w:hAnsi="Times New Roman" w:eastAsia="宋体"/>
                <w:b w:val="0"/>
                <w:i w:val="0"/>
                <w:sz w:val="21"/>
              </w:rPr>
              <w:t>分栏固定为库存概览（默认）与业务线台账 2 个且不带计数；两个视角共用同一套筛选区与导出能力；页面含 8 项 KPI 横向滚动区</w:t>
            </w:r>
          </w:p>
        </w:tc>
      </w:tr>
      <w:tr>
        <w:tc>
          <w:tcPr>
            <w:tcW w:type="dxa" w:w="1474"/>
          </w:tcPr>
          <w:p>
            <w:pPr>
              <w:spacing w:before="20" w:after="20" w:line="276" w:lineRule="auto"/>
              <w:ind w:firstLine="0"/>
            </w:pPr>
            <w:r/>
            <w:r>
              <w:rPr>
                <w:rFonts w:ascii="Times New Roman" w:hAnsi="Times New Roman" w:eastAsia="宋体"/>
                <w:b w:val="0"/>
                <w:i w:val="0"/>
                <w:sz w:val="21"/>
              </w:rPr>
              <w:t>八项库存 KPI 展示</w:t>
            </w:r>
          </w:p>
        </w:tc>
        <w:tc>
          <w:tcPr>
            <w:tcW w:type="dxa" w:w="3175"/>
          </w:tcPr>
          <w:p>
            <w:pPr>
              <w:spacing w:before="20" w:after="20" w:line="276" w:lineRule="auto"/>
              <w:ind w:firstLine="0"/>
            </w:pPr>
            <w:r/>
            <w:r>
              <w:rPr>
                <w:rFonts w:ascii="Times New Roman" w:hAnsi="Times New Roman" w:eastAsia="宋体"/>
                <w:b w:val="0"/>
                <w:i w:val="0"/>
                <w:sz w:val="21"/>
              </w:rPr>
              <w:t>顶部横向排列的 KPI 卡片区，汇总库存数量与货值口径</w:t>
            </w:r>
          </w:p>
        </w:tc>
        <w:tc>
          <w:tcPr>
            <w:tcW w:type="dxa" w:w="4422"/>
          </w:tcPr>
          <w:p>
            <w:pPr>
              <w:spacing w:before="20" w:after="20" w:line="276" w:lineRule="auto"/>
              <w:ind w:firstLine="0"/>
            </w:pPr>
            <w:r/>
            <w:r>
              <w:rPr>
                <w:rFonts w:ascii="Times New Roman" w:hAnsi="Times New Roman" w:eastAsia="宋体"/>
                <w:b w:val="0"/>
                <w:i w:val="0"/>
                <w:sz w:val="21"/>
              </w:rPr>
              <w:t>8 项指标固定为账面库存（吨）、累计入库（吨）、未关联业务线入库（吨）、累计出库（吨）、未关联业务线出库（吨）、库存货值（元）、累计入库货值（元）、累计出库货值（元）；卡片按蓝、橙、绿三色循环底色；区域宽度不足时横向滚动并提供左右箭头翻页</w:t>
            </w:r>
          </w:p>
        </w:tc>
      </w:tr>
      <w:tr>
        <w:tc>
          <w:tcPr>
            <w:tcW w:type="dxa" w:w="1474"/>
          </w:tcPr>
          <w:p>
            <w:pPr>
              <w:spacing w:before="20" w:after="20" w:line="276" w:lineRule="auto"/>
              <w:ind w:firstLine="0"/>
            </w:pPr>
            <w:r/>
            <w:r>
              <w:rPr>
                <w:rFonts w:ascii="Times New Roman" w:hAnsi="Times New Roman" w:eastAsia="宋体"/>
                <w:b w:val="0"/>
                <w:i w:val="0"/>
                <w:sz w:val="21"/>
              </w:rPr>
              <w:t>库存三指标计算口径</w:t>
            </w:r>
          </w:p>
        </w:tc>
        <w:tc>
          <w:tcPr>
            <w:tcW w:type="dxa" w:w="3175"/>
          </w:tcPr>
          <w:p>
            <w:pPr>
              <w:spacing w:before="20" w:after="20" w:line="276" w:lineRule="auto"/>
              <w:ind w:firstLine="0"/>
            </w:pPr>
            <w:r/>
            <w:r>
              <w:rPr>
                <w:rFonts w:ascii="Times New Roman" w:hAnsi="Times New Roman" w:eastAsia="宋体"/>
                <w:b w:val="0"/>
                <w:i w:val="0"/>
                <w:sz w:val="21"/>
              </w:rPr>
              <w:t>实际库存、账面库存与库存差异三项指标的计算规则</w:t>
            </w:r>
          </w:p>
        </w:tc>
        <w:tc>
          <w:tcPr>
            <w:tcW w:type="dxa" w:w="4422"/>
          </w:tcPr>
          <w:p>
            <w:pPr>
              <w:spacing w:before="20" w:after="20" w:line="276" w:lineRule="auto"/>
              <w:ind w:firstLine="0"/>
            </w:pPr>
            <w:r/>
            <w:r>
              <w:rPr>
                <w:rFonts w:ascii="Times New Roman" w:hAnsi="Times New Roman" w:eastAsia="宋体"/>
                <w:b w:val="0"/>
                <w:i w:val="0"/>
                <w:sz w:val="21"/>
              </w:rPr>
              <w:t>实际库存等于入库数量减出库数量并含盘盈盘亏调整；账面库存等于来自合同的应收货物数量减已收货物数量；库存差异等于实际库存减账面库存，大于零为盘盈、小于零为盘亏、等于零为一致；差异列按盘盈绿、盘亏红着色</w:t>
            </w:r>
          </w:p>
        </w:tc>
      </w:tr>
      <w:tr>
        <w:tc>
          <w:tcPr>
            <w:tcW w:type="dxa" w:w="1474"/>
          </w:tcPr>
          <w:p>
            <w:pPr>
              <w:spacing w:before="20" w:after="20" w:line="276" w:lineRule="auto"/>
              <w:ind w:firstLine="0"/>
            </w:pPr>
            <w:r/>
            <w:r>
              <w:rPr>
                <w:rFonts w:ascii="Times New Roman" w:hAnsi="Times New Roman" w:eastAsia="宋体"/>
                <w:b w:val="0"/>
                <w:i w:val="0"/>
                <w:sz w:val="21"/>
              </w:rPr>
              <w:t>七字段多维筛选</w:t>
            </w:r>
          </w:p>
        </w:tc>
        <w:tc>
          <w:tcPr>
            <w:tcW w:type="dxa" w:w="3175"/>
          </w:tcPr>
          <w:p>
            <w:pPr>
              <w:spacing w:before="20" w:after="20" w:line="276" w:lineRule="auto"/>
              <w:ind w:firstLine="0"/>
            </w:pPr>
            <w:r/>
            <w:r>
              <w:rPr>
                <w:rFonts w:ascii="Times New Roman" w:hAnsi="Times New Roman" w:eastAsia="宋体"/>
                <w:b w:val="0"/>
                <w:i w:val="0"/>
                <w:sz w:val="21"/>
              </w:rPr>
              <w:t>库存台账的筛选区，支持按空间位置、货物维度、合同维度与差异结论组合过滤</w:t>
            </w:r>
          </w:p>
        </w:tc>
        <w:tc>
          <w:tcPr>
            <w:tcW w:type="dxa" w:w="4422"/>
          </w:tcPr>
          <w:p>
            <w:pPr>
              <w:spacing w:before="20" w:after="20" w:line="276" w:lineRule="auto"/>
              <w:ind w:firstLine="0"/>
            </w:pPr>
            <w:r/>
            <w:r>
              <w:rPr>
                <w:rFonts w:ascii="Times New Roman" w:hAnsi="Times New Roman" w:eastAsia="宋体"/>
                <w:b w:val="0"/>
                <w:i w:val="0"/>
                <w:sz w:val="21"/>
              </w:rPr>
              <w:t>7 个字段为仓房、货位、品类、单品名、业务类型、合同编号、库存差异；货位选项按所选仓房过滤，单品名选项按所选品类过滤；库存差异选项为全部、盘盈、盘亏、一致</w:t>
            </w:r>
          </w:p>
        </w:tc>
      </w:tr>
      <w:tr>
        <w:tc>
          <w:tcPr>
            <w:tcW w:type="dxa" w:w="1474"/>
          </w:tcPr>
          <w:p>
            <w:pPr>
              <w:spacing w:before="20" w:after="20" w:line="276" w:lineRule="auto"/>
              <w:ind w:firstLine="0"/>
            </w:pPr>
            <w:r/>
            <w:r>
              <w:rPr>
                <w:rFonts w:ascii="Times New Roman" w:hAnsi="Times New Roman" w:eastAsia="宋体"/>
                <w:b w:val="0"/>
                <w:i w:val="0"/>
                <w:sz w:val="21"/>
              </w:rPr>
              <w:t>品类库存列表与业务线台账列表</w:t>
            </w:r>
          </w:p>
        </w:tc>
        <w:tc>
          <w:tcPr>
            <w:tcW w:type="dxa" w:w="3175"/>
          </w:tcPr>
          <w:p>
            <w:pPr>
              <w:spacing w:before="20" w:after="20" w:line="276" w:lineRule="auto"/>
              <w:ind w:firstLine="0"/>
            </w:pPr>
            <w:r/>
            <w:r>
              <w:rPr>
                <w:rFonts w:ascii="Times New Roman" w:hAnsi="Times New Roman" w:eastAsia="宋体"/>
                <w:b w:val="0"/>
                <w:i w:val="0"/>
                <w:sz w:val="21"/>
              </w:rPr>
              <w:t>库存概览下按品类汇总的库存清单，以及业务线视角的台账清单</w:t>
            </w:r>
          </w:p>
        </w:tc>
        <w:tc>
          <w:tcPr>
            <w:tcW w:type="dxa" w:w="4422"/>
          </w:tcPr>
          <w:p>
            <w:pPr>
              <w:spacing w:before="20" w:after="20" w:line="276" w:lineRule="auto"/>
              <w:ind w:firstLine="0"/>
            </w:pPr>
            <w:r/>
            <w:r>
              <w:rPr>
                <w:rFonts w:ascii="Times New Roman" w:hAnsi="Times New Roman" w:eastAsia="宋体"/>
                <w:b w:val="0"/>
                <w:i w:val="0"/>
                <w:sz w:val="21"/>
              </w:rPr>
              <w:t>品类库存列表为 7 列加操作列共 8 列；业务线台账为 5 列；两个列表共用同一批筛选条件；金额与数量的小数位展示规则以最终确认口径为准</w:t>
            </w:r>
          </w:p>
        </w:tc>
      </w:tr>
      <w:tr>
        <w:tc>
          <w:tcPr>
            <w:tcW w:type="dxa" w:w="1474"/>
          </w:tcPr>
          <w:p>
            <w:pPr>
              <w:spacing w:before="20" w:after="20" w:line="276" w:lineRule="auto"/>
              <w:ind w:firstLine="0"/>
            </w:pPr>
            <w:r/>
            <w:r>
              <w:rPr>
                <w:rFonts w:ascii="Times New Roman" w:hAnsi="Times New Roman" w:eastAsia="宋体"/>
                <w:b w:val="0"/>
                <w:i w:val="0"/>
                <w:sz w:val="21"/>
              </w:rPr>
              <w:t>库存盘点入口</w:t>
            </w:r>
          </w:p>
        </w:tc>
        <w:tc>
          <w:tcPr>
            <w:tcW w:type="dxa" w:w="3175"/>
          </w:tcPr>
          <w:p>
            <w:pPr>
              <w:spacing w:before="20" w:after="20" w:line="276" w:lineRule="auto"/>
              <w:ind w:firstLine="0"/>
            </w:pPr>
            <w:r/>
            <w:r>
              <w:rPr>
                <w:rFonts w:ascii="Times New Roman" w:hAnsi="Times New Roman" w:eastAsia="宋体"/>
                <w:b w:val="0"/>
                <w:i w:val="0"/>
                <w:sz w:val="21"/>
              </w:rPr>
              <w:t>从库存台账直接发起实物盘点</w:t>
            </w:r>
          </w:p>
        </w:tc>
        <w:tc>
          <w:tcPr>
            <w:tcW w:type="dxa" w:w="4422"/>
          </w:tcPr>
          <w:p>
            <w:pPr>
              <w:spacing w:before="20" w:after="20" w:line="276" w:lineRule="auto"/>
              <w:ind w:firstLine="0"/>
            </w:pPr>
            <w:r/>
            <w:r>
              <w:rPr>
                <w:rFonts w:ascii="Times New Roman" w:hAnsi="Times New Roman" w:eastAsia="宋体"/>
                <w:b w:val="0"/>
                <w:i w:val="0"/>
                <w:sz w:val="21"/>
              </w:rPr>
              <w:t>顶部库存盘点按钮跳转到巡库记录页；巡库发现的盘盈盘亏经确认后回写实际库存</w:t>
            </w:r>
          </w:p>
        </w:tc>
      </w:tr>
      <w:tr>
        <w:tc>
          <w:tcPr>
            <w:tcW w:type="dxa" w:w="1474"/>
          </w:tcPr>
          <w:p>
            <w:pPr>
              <w:spacing w:before="20" w:after="20" w:line="276" w:lineRule="auto"/>
              <w:ind w:firstLine="0"/>
            </w:pPr>
            <w:r/>
            <w:r>
              <w:rPr>
                <w:rFonts w:ascii="Times New Roman" w:hAnsi="Times New Roman" w:eastAsia="宋体"/>
                <w:b w:val="0"/>
                <w:i w:val="0"/>
                <w:sz w:val="21"/>
              </w:rPr>
              <w:t>库存台账数据导出</w:t>
            </w:r>
          </w:p>
        </w:tc>
        <w:tc>
          <w:tcPr>
            <w:tcW w:type="dxa" w:w="3175"/>
          </w:tcPr>
          <w:p>
            <w:pPr>
              <w:spacing w:before="20" w:after="20" w:line="276" w:lineRule="auto"/>
              <w:ind w:firstLine="0"/>
            </w:pPr>
            <w:r/>
            <w:r>
              <w:rPr>
                <w:rFonts w:ascii="Times New Roman" w:hAnsi="Times New Roman" w:eastAsia="宋体"/>
                <w:b w:val="0"/>
                <w:i w:val="0"/>
                <w:sz w:val="21"/>
              </w:rPr>
              <w:t>把当前筛选条件下的库存台账导出为表格文件</w:t>
            </w:r>
          </w:p>
        </w:tc>
        <w:tc>
          <w:tcPr>
            <w:tcW w:type="dxa" w:w="4422"/>
          </w:tcPr>
          <w:p>
            <w:pPr>
              <w:spacing w:before="20" w:after="20" w:line="276" w:lineRule="auto"/>
              <w:ind w:firstLine="0"/>
            </w:pPr>
            <w:r/>
            <w:r>
              <w:rPr>
                <w:rFonts w:ascii="Times New Roman" w:hAnsi="Times New Roman" w:eastAsia="宋体"/>
                <w:b w:val="0"/>
                <w:i w:val="0"/>
                <w:sz w:val="21"/>
              </w:rPr>
              <w:t>导出内容与当前筛选条件及当前视角一致，导出为 Excel 文件</w:t>
            </w:r>
          </w:p>
        </w:tc>
      </w:tr>
      <w:tr>
        <w:tc>
          <w:tcPr>
            <w:tcW w:type="dxa" w:w="1474"/>
          </w:tcPr>
          <w:p>
            <w:pPr>
              <w:spacing w:before="20" w:after="20" w:line="276" w:lineRule="auto"/>
              <w:ind w:firstLine="0"/>
            </w:pPr>
            <w:r/>
            <w:r>
              <w:rPr>
                <w:rFonts w:ascii="Times New Roman" w:hAnsi="Times New Roman" w:eastAsia="宋体"/>
                <w:b w:val="0"/>
                <w:i w:val="0"/>
                <w:sz w:val="21"/>
              </w:rPr>
              <w:t>仓储端行情采集与同步</w:t>
            </w:r>
          </w:p>
        </w:tc>
        <w:tc>
          <w:tcPr>
            <w:tcW w:type="dxa" w:w="3175"/>
          </w:tcPr>
          <w:p>
            <w:pPr>
              <w:spacing w:before="20" w:after="20" w:line="276" w:lineRule="auto"/>
              <w:ind w:firstLine="0"/>
            </w:pPr>
            <w:r/>
            <w:r>
              <w:rPr>
                <w:rFonts w:ascii="Times New Roman" w:hAnsi="Times New Roman" w:eastAsia="宋体"/>
                <w:b w:val="0"/>
                <w:i w:val="0"/>
                <w:sz w:val="21"/>
              </w:rPr>
              <w:t>仓储侧按仓房或库点加品类加单品名登记当日行情，并可同步至平台盯市</w:t>
            </w:r>
          </w:p>
        </w:tc>
        <w:tc>
          <w:tcPr>
            <w:tcW w:type="dxa" w:w="4422"/>
          </w:tcPr>
          <w:p>
            <w:pPr>
              <w:spacing w:before="20" w:after="20" w:line="276" w:lineRule="auto"/>
              <w:ind w:firstLine="0"/>
            </w:pPr>
            <w:r/>
            <w:r>
              <w:rPr>
                <w:rFonts w:ascii="Times New Roman" w:hAnsi="Times New Roman" w:eastAsia="宋体"/>
                <w:b w:val="0"/>
                <w:i w:val="0"/>
                <w:sz w:val="21"/>
              </w:rPr>
              <w:t>行情维度为仓房或库点、品类、单品名；行情表记录当日行情价、较昨日涨跌幅、当月平均价、当月最高价、当月最低价、行情日期与数据来源；数据来源分手动录入与接口对接；涨跌幅按绿涨红跌着色；行情数据可同步到盯市价格规则库，波动可触发价格预警</w:t>
            </w:r>
          </w:p>
        </w:tc>
      </w:tr>
    </w:tbl>
    <w:p>
      <w:pPr>
        <w:spacing w:before="0" w:after="0" w:line="240" w:lineRule="auto"/>
      </w:pP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tblGrid>
      <w:tr>
        <w:trPr>
          <w:tblHeader w:val="true"/>
        </w:trPr>
        <w:tc>
          <w:tcPr>
            <w:tcW w:type="dxa" w:w="1247"/>
            <w:shd w:val="clear" w:color="auto" w:fill="DCE6F1"/>
          </w:tcPr>
          <w:p>
            <w:pPr>
              <w:spacing w:before="40" w:after="40" w:line="276" w:lineRule="auto"/>
              <w:jc w:val="center"/>
            </w:pPr>
            <w:r/>
            <w:r>
              <w:rPr>
                <w:rFonts w:ascii="Times New Roman" w:hAnsi="Times New Roman" w:eastAsia="黑体"/>
                <w:b/>
                <w:i w:val="0"/>
                <w:sz w:val="19"/>
              </w:rPr>
              <w:t>页面</w:t>
            </w:r>
          </w:p>
        </w:tc>
        <w:tc>
          <w:tcPr>
            <w:tcW w:type="dxa" w:w="1474"/>
            <w:shd w:val="clear" w:color="auto" w:fill="DCE6F1"/>
          </w:tcPr>
          <w:p>
            <w:pPr>
              <w:spacing w:before="40" w:after="40" w:line="276" w:lineRule="auto"/>
              <w:jc w:val="center"/>
            </w:pPr>
            <w:r/>
            <w:r>
              <w:rPr>
                <w:rFonts w:ascii="Times New Roman" w:hAnsi="Times New Roman" w:eastAsia="黑体"/>
                <w:b/>
                <w:i w:val="0"/>
                <w:sz w:val="19"/>
              </w:rPr>
              <w:t>文件</w:t>
            </w:r>
          </w:p>
        </w:tc>
        <w:tc>
          <w:tcPr>
            <w:tcW w:type="dxa" w:w="1134"/>
            <w:shd w:val="clear" w:color="auto" w:fill="DCE6F1"/>
          </w:tcPr>
          <w:p>
            <w:pPr>
              <w:spacing w:before="40" w:after="40" w:line="276" w:lineRule="auto"/>
              <w:jc w:val="center"/>
            </w:pPr>
            <w:r/>
            <w:r>
              <w:rPr>
                <w:rFonts w:ascii="Times New Roman" w:hAnsi="Times New Roman" w:eastAsia="黑体"/>
                <w:b/>
                <w:i w:val="0"/>
                <w:sz w:val="19"/>
              </w:rPr>
              <w:t>入口</w:t>
            </w:r>
          </w:p>
        </w:tc>
        <w:tc>
          <w:tcPr>
            <w:tcW w:type="dxa" w:w="2041"/>
            <w:shd w:val="clear" w:color="auto" w:fill="DCE6F1"/>
          </w:tcPr>
          <w:p>
            <w:pPr>
              <w:spacing w:before="40" w:after="40" w:line="276" w:lineRule="auto"/>
              <w:jc w:val="center"/>
            </w:pPr>
            <w:r/>
            <w:r>
              <w:rPr>
                <w:rFonts w:ascii="Times New Roman" w:hAnsi="Times New Roman" w:eastAsia="黑体"/>
                <w:b/>
                <w:i w:val="0"/>
                <w:sz w:val="19"/>
              </w:rPr>
              <w:t>主要区块</w:t>
            </w:r>
          </w:p>
        </w:tc>
        <w:tc>
          <w:tcPr>
            <w:tcW w:type="dxa" w:w="1701"/>
            <w:shd w:val="clear" w:color="auto" w:fill="DCE6F1"/>
          </w:tcPr>
          <w:p>
            <w:pPr>
              <w:spacing w:before="40" w:after="40" w:line="276" w:lineRule="auto"/>
              <w:jc w:val="center"/>
            </w:pPr>
            <w:r/>
            <w:r>
              <w:rPr>
                <w:rFonts w:ascii="Times New Roman" w:hAnsi="Times New Roman" w:eastAsia="黑体"/>
                <w:b/>
                <w:i w:val="0"/>
                <w:sz w:val="19"/>
              </w:rPr>
              <w:t>主要操作</w:t>
            </w:r>
          </w:p>
        </w:tc>
        <w:tc>
          <w:tcPr>
            <w:tcW w:type="dxa" w:w="1474"/>
            <w:shd w:val="clear" w:color="auto" w:fill="DCE6F1"/>
          </w:tcPr>
          <w:p>
            <w:pPr>
              <w:spacing w:before="40" w:after="40" w:line="276" w:lineRule="auto"/>
              <w:jc w:val="center"/>
            </w:pPr>
            <w:r/>
            <w:r>
              <w:rPr>
                <w:rFonts w:ascii="Times New Roman" w:hAnsi="Times New Roman" w:eastAsia="黑体"/>
                <w:b/>
                <w:i w:val="0"/>
                <w:sz w:val="19"/>
              </w:rPr>
              <w:t>跳转</w:t>
            </w:r>
          </w:p>
        </w:tc>
      </w:tr>
      <w:tr>
        <w:tc>
          <w:tcPr>
            <w:tcW w:type="dxa" w:w="1247"/>
          </w:tcPr>
          <w:p>
            <w:pPr>
              <w:spacing w:before="20" w:after="20" w:line="276" w:lineRule="auto"/>
              <w:ind w:firstLine="0"/>
            </w:pPr>
            <w:r/>
            <w:r>
              <w:rPr>
                <w:rFonts w:ascii="Times New Roman" w:hAnsi="Times New Roman" w:eastAsia="宋体"/>
                <w:b w:val="0"/>
                <w:i w:val="0"/>
                <w:sz w:val="19"/>
              </w:rPr>
              <w:t>库存台账（列表与看板）</w:t>
            </w:r>
          </w:p>
        </w:tc>
        <w:tc>
          <w:tcPr>
            <w:tcW w:type="dxa" w:w="1474"/>
          </w:tcPr>
          <w:p>
            <w:pPr>
              <w:spacing w:before="20" w:after="20" w:line="276" w:lineRule="auto"/>
              <w:ind w:firstLine="0"/>
            </w:pPr>
            <w:r/>
            <w:r>
              <w:rPr>
                <w:rFonts w:ascii="Times New Roman" w:hAnsi="Times New Roman" w:eastAsia="宋体"/>
                <w:b w:val="0"/>
                <w:i w:val="0"/>
                <w:sz w:val="19"/>
              </w:rPr>
              <w:t>warehouse-inventory.html</w:t>
            </w:r>
          </w:p>
        </w:tc>
        <w:tc>
          <w:tcPr>
            <w:tcW w:type="dxa" w:w="1134"/>
          </w:tcPr>
          <w:p>
            <w:pPr>
              <w:spacing w:before="20" w:after="20" w:line="276" w:lineRule="auto"/>
              <w:ind w:firstLine="0"/>
            </w:pPr>
            <w:r/>
            <w:r>
              <w:rPr>
                <w:rFonts w:ascii="Times New Roman" w:hAnsi="Times New Roman" w:eastAsia="宋体"/>
                <w:b w:val="0"/>
                <w:i w:val="0"/>
                <w:sz w:val="19"/>
              </w:rPr>
              <w:t>仓储管理 → 库存管理</w:t>
            </w:r>
          </w:p>
        </w:tc>
        <w:tc>
          <w:tcPr>
            <w:tcW w:type="dxa" w:w="2041"/>
          </w:tcPr>
          <w:p>
            <w:pPr>
              <w:spacing w:before="20" w:after="20" w:line="276" w:lineRule="auto"/>
              <w:ind w:firstLine="0"/>
            </w:pPr>
            <w:r/>
            <w:r>
              <w:rPr>
                <w:rFonts w:ascii="Times New Roman" w:hAnsi="Times New Roman" w:eastAsia="宋体"/>
                <w:b w:val="0"/>
                <w:i w:val="0"/>
                <w:sz w:val="19"/>
              </w:rPr>
              <w:t>8 项 KPI 横向滚动区、库存概览与业务线台账 2 个分栏、品类库存列表（7 列加操作列）、业务线台账列表（5 列）、分页</w:t>
            </w:r>
          </w:p>
        </w:tc>
        <w:tc>
          <w:tcPr>
            <w:tcW w:type="dxa" w:w="1701"/>
          </w:tcPr>
          <w:p>
            <w:pPr>
              <w:spacing w:before="20" w:after="20" w:line="276" w:lineRule="auto"/>
              <w:ind w:firstLine="0"/>
            </w:pPr>
            <w:r/>
            <w:r>
              <w:rPr>
                <w:rFonts w:ascii="Times New Roman" w:hAnsi="Times New Roman" w:eastAsia="宋体"/>
                <w:b w:val="0"/>
                <w:i w:val="0"/>
                <w:sz w:val="19"/>
              </w:rPr>
              <w:t>数据导出、库存盘点、分页与左右箭头翻页</w:t>
            </w:r>
          </w:p>
        </w:tc>
        <w:tc>
          <w:tcPr>
            <w:tcW w:type="dxa" w:w="1474"/>
          </w:tcPr>
          <w:p>
            <w:pPr>
              <w:spacing w:before="20" w:after="20" w:line="276" w:lineRule="auto"/>
              <w:ind w:firstLine="0"/>
            </w:pPr>
            <w:r/>
            <w:r>
              <w:rPr>
                <w:rFonts w:ascii="Times New Roman" w:hAnsi="Times New Roman" w:eastAsia="宋体"/>
                <w:b w:val="0"/>
                <w:i w:val="0"/>
                <w:sz w:val="19"/>
              </w:rPr>
              <w:t>库存盘点 → 巡库记录页；其余为页面内切换</w:t>
            </w:r>
          </w:p>
        </w:tc>
      </w:tr>
      <w:tr>
        <w:tc>
          <w:tcPr>
            <w:tcW w:type="dxa" w:w="1247"/>
          </w:tcPr>
          <w:p>
            <w:pPr>
              <w:spacing w:before="20" w:after="20" w:line="276" w:lineRule="auto"/>
              <w:ind w:firstLine="0"/>
            </w:pPr>
            <w:r/>
            <w:r>
              <w:rPr>
                <w:rFonts w:ascii="Times New Roman" w:hAnsi="Times New Roman" w:eastAsia="宋体"/>
                <w:b w:val="0"/>
                <w:i w:val="0"/>
                <w:sz w:val="19"/>
              </w:rPr>
              <w:t>行情管理（列表）</w:t>
            </w:r>
          </w:p>
        </w:tc>
        <w:tc>
          <w:tcPr>
            <w:tcW w:type="dxa" w:w="1474"/>
          </w:tcPr>
          <w:p>
            <w:pPr>
              <w:spacing w:before="20" w:after="20" w:line="276" w:lineRule="auto"/>
              <w:ind w:firstLine="0"/>
            </w:pPr>
            <w:r/>
            <w:r>
              <w:rPr>
                <w:rFonts w:ascii="Times New Roman" w:hAnsi="Times New Roman" w:eastAsia="宋体"/>
                <w:b w:val="0"/>
                <w:i w:val="0"/>
                <w:sz w:val="19"/>
              </w:rPr>
              <w:t>warehouse-market.html</w:t>
            </w:r>
          </w:p>
        </w:tc>
        <w:tc>
          <w:tcPr>
            <w:tcW w:type="dxa" w:w="1134"/>
          </w:tcPr>
          <w:p>
            <w:pPr>
              <w:spacing w:before="20" w:after="20" w:line="276" w:lineRule="auto"/>
              <w:ind w:firstLine="0"/>
            </w:pPr>
            <w:r/>
            <w:r>
              <w:rPr>
                <w:rFonts w:ascii="Times New Roman" w:hAnsi="Times New Roman" w:eastAsia="宋体"/>
                <w:b w:val="0"/>
                <w:i w:val="0"/>
                <w:sz w:val="19"/>
              </w:rPr>
              <w:t>仓储管理（行情管理当前未挂菜单入口）</w:t>
            </w:r>
          </w:p>
        </w:tc>
        <w:tc>
          <w:tcPr>
            <w:tcW w:type="dxa" w:w="2041"/>
          </w:tcPr>
          <w:p>
            <w:pPr>
              <w:spacing w:before="20" w:after="20" w:line="276" w:lineRule="auto"/>
              <w:ind w:firstLine="0"/>
            </w:pPr>
            <w:r/>
            <w:r>
              <w:rPr>
                <w:rFonts w:ascii="Times New Roman" w:hAnsi="Times New Roman" w:eastAsia="宋体"/>
                <w:b w:val="0"/>
                <w:i w:val="0"/>
                <w:sz w:val="19"/>
              </w:rPr>
              <w:t>6 个字段筛选区（行情编号、品名、行情类型、价格区间、更新日期、数据来源）、10 列表格、分页</w:t>
            </w:r>
          </w:p>
        </w:tc>
        <w:tc>
          <w:tcPr>
            <w:tcW w:type="dxa" w:w="1701"/>
          </w:tcPr>
          <w:p>
            <w:pPr>
              <w:spacing w:before="20" w:after="20" w:line="276" w:lineRule="auto"/>
              <w:ind w:firstLine="0"/>
            </w:pPr>
            <w:r/>
            <w:r>
              <w:rPr>
                <w:rFonts w:ascii="Times New Roman" w:hAnsi="Times New Roman" w:eastAsia="宋体"/>
                <w:b w:val="0"/>
                <w:i w:val="0"/>
                <w:sz w:val="19"/>
              </w:rPr>
              <w:t>新增行情、搜索筛选、数据导出；行内：查看与编辑</w:t>
            </w:r>
          </w:p>
        </w:tc>
        <w:tc>
          <w:tcPr>
            <w:tcW w:type="dxa" w:w="1474"/>
          </w:tcPr>
          <w:p>
            <w:pPr>
              <w:spacing w:before="20" w:after="20" w:line="276" w:lineRule="auto"/>
              <w:ind w:firstLine="0"/>
            </w:pPr>
            <w:r/>
            <w:r>
              <w:rPr>
                <w:rFonts w:ascii="Times New Roman" w:hAnsi="Times New Roman" w:eastAsia="宋体"/>
                <w:b w:val="0"/>
                <w:i w:val="0"/>
                <w:sz w:val="19"/>
              </w:rPr>
              <w:t>页面内列表操作，不跨页跳转</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4.23.5　数据关系</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474"/>
            <w:shd w:val="clear" w:color="auto" w:fill="DCE6F1"/>
          </w:tcPr>
          <w:p>
            <w:pPr>
              <w:spacing w:before="40" w:after="40" w:line="276" w:lineRule="auto"/>
              <w:jc w:val="center"/>
            </w:pPr>
            <w:r/>
            <w:r>
              <w:rPr>
                <w:rFonts w:ascii="Times New Roman" w:hAnsi="Times New Roman" w:eastAsia="黑体"/>
                <w:b/>
                <w:i w:val="0"/>
                <w:sz w:val="21"/>
              </w:rPr>
              <w:t>业务对象</w:t>
            </w:r>
          </w:p>
        </w:tc>
        <w:tc>
          <w:tcPr>
            <w:tcW w:type="dxa" w:w="4195"/>
            <w:shd w:val="clear" w:color="auto" w:fill="DCE6F1"/>
          </w:tcPr>
          <w:p>
            <w:pPr>
              <w:spacing w:before="40" w:after="40" w:line="276" w:lineRule="auto"/>
              <w:jc w:val="center"/>
            </w:pPr>
            <w:r/>
            <w:r>
              <w:rPr>
                <w:rFonts w:ascii="Times New Roman" w:hAnsi="Times New Roman" w:eastAsia="黑体"/>
                <w:b/>
                <w:i w:val="0"/>
                <w:sz w:val="21"/>
              </w:rPr>
              <w:t>关键字段与口径</w:t>
            </w:r>
          </w:p>
        </w:tc>
        <w:tc>
          <w:tcPr>
            <w:tcW w:type="dxa" w:w="3402"/>
            <w:shd w:val="clear" w:color="auto" w:fill="DCE6F1"/>
          </w:tcPr>
          <w:p>
            <w:pPr>
              <w:spacing w:before="40" w:after="40" w:line="276" w:lineRule="auto"/>
              <w:jc w:val="center"/>
            </w:pPr>
            <w:r/>
            <w:r>
              <w:rPr>
                <w:rFonts w:ascii="Times New Roman" w:hAnsi="Times New Roman" w:eastAsia="黑体"/>
                <w:b/>
                <w:i w:val="0"/>
                <w:sz w:val="21"/>
              </w:rPr>
              <w:t>与其他对象的关系</w:t>
            </w:r>
          </w:p>
        </w:tc>
      </w:tr>
      <w:tr>
        <w:tc>
          <w:tcPr>
            <w:tcW w:type="dxa" w:w="1474"/>
          </w:tcPr>
          <w:p>
            <w:pPr>
              <w:spacing w:before="20" w:after="20" w:line="276" w:lineRule="auto"/>
              <w:ind w:firstLine="0"/>
            </w:pPr>
            <w:r/>
            <w:r>
              <w:rPr>
                <w:rFonts w:ascii="Times New Roman" w:hAnsi="Times New Roman" w:eastAsia="宋体"/>
                <w:b w:val="0"/>
                <w:i w:val="0"/>
                <w:sz w:val="21"/>
              </w:rPr>
              <w:t>库存台账</w:t>
            </w:r>
          </w:p>
        </w:tc>
        <w:tc>
          <w:tcPr>
            <w:tcW w:type="dxa" w:w="4195"/>
          </w:tcPr>
          <w:p>
            <w:pPr>
              <w:spacing w:before="20" w:after="20" w:line="276" w:lineRule="auto"/>
              <w:ind w:firstLine="0"/>
            </w:pPr>
            <w:r/>
            <w:r>
              <w:rPr>
                <w:rFonts w:ascii="Times New Roman" w:hAnsi="Times New Roman" w:eastAsia="宋体"/>
                <w:b w:val="0"/>
                <w:i w:val="0"/>
                <w:sz w:val="21"/>
              </w:rPr>
              <w:t>仓库与货物维度：按仓房、货位、品类、单品名、合同编号、业务类型聚合</w:t>
            </w:r>
            <w:r>
              <w:br/>
            </w:r>
            <w:r>
              <w:rPr>
                <w:rFonts w:ascii="Times New Roman" w:hAnsi="Times New Roman" w:eastAsia="宋体"/>
                <w:b w:val="0"/>
                <w:i w:val="0"/>
                <w:sz w:val="21"/>
              </w:rPr>
              <w:t>库存总量：decimal(20,4)</w:t>
            </w:r>
            <w:r>
              <w:br/>
            </w:r>
            <w:r>
              <w:rPr>
                <w:rFonts w:ascii="Times New Roman" w:hAnsi="Times New Roman" w:eastAsia="宋体"/>
                <w:b w:val="0"/>
                <w:i w:val="0"/>
                <w:sz w:val="21"/>
              </w:rPr>
              <w:t>锁定数量：已下单但未出库的数量</w:t>
            </w:r>
            <w:r>
              <w:br/>
            </w:r>
            <w:r>
              <w:rPr>
                <w:rFonts w:ascii="Times New Roman" w:hAnsi="Times New Roman" w:eastAsia="宋体"/>
                <w:b w:val="0"/>
                <w:i w:val="0"/>
                <w:sz w:val="21"/>
              </w:rPr>
              <w:t>可用数量：库存总量减锁定数量</w:t>
            </w:r>
            <w:r>
              <w:br/>
            </w:r>
            <w:r>
              <w:rPr>
                <w:rFonts w:ascii="Times New Roman" w:hAnsi="Times New Roman" w:eastAsia="宋体"/>
                <w:b w:val="0"/>
                <w:i w:val="0"/>
                <w:sz w:val="21"/>
              </w:rPr>
              <w:t>入库数量与出库数量：区间累计</w:t>
            </w:r>
            <w:r>
              <w:br/>
            </w:r>
            <w:r>
              <w:rPr>
                <w:rFonts w:ascii="Times New Roman" w:hAnsi="Times New Roman" w:eastAsia="宋体"/>
                <w:b w:val="0"/>
                <w:i w:val="0"/>
                <w:sz w:val="21"/>
              </w:rPr>
              <w:t>最后入库日期与最后出库日期、最后更新时间</w:t>
            </w:r>
          </w:p>
        </w:tc>
        <w:tc>
          <w:tcPr>
            <w:tcW w:type="dxa" w:w="3402"/>
          </w:tcPr>
          <w:p>
            <w:pPr>
              <w:spacing w:before="20" w:after="20" w:line="276" w:lineRule="auto"/>
              <w:ind w:firstLine="0"/>
            </w:pPr>
            <w:r/>
            <w:r>
              <w:rPr>
                <w:rFonts w:ascii="Times New Roman" w:hAnsi="Times New Roman" w:eastAsia="宋体"/>
                <w:b w:val="0"/>
                <w:i w:val="0"/>
                <w:sz w:val="21"/>
              </w:rPr>
              <w:t>入库与出库登记完成后回写库存总量与可用数量；盘盈入库只增加实际库存，不改变账面库存</w:t>
            </w:r>
          </w:p>
        </w:tc>
      </w:tr>
      <w:tr>
        <w:tc>
          <w:tcPr>
            <w:tcW w:type="dxa" w:w="1474"/>
          </w:tcPr>
          <w:p>
            <w:pPr>
              <w:spacing w:before="20" w:after="20" w:line="276" w:lineRule="auto"/>
              <w:ind w:firstLine="0"/>
            </w:pPr>
            <w:r/>
            <w:r>
              <w:rPr>
                <w:rFonts w:ascii="Times New Roman" w:hAnsi="Times New Roman" w:eastAsia="宋体"/>
                <w:b w:val="0"/>
                <w:i w:val="0"/>
                <w:sz w:val="21"/>
              </w:rPr>
              <w:t>品类与单品名</w:t>
            </w:r>
          </w:p>
        </w:tc>
        <w:tc>
          <w:tcPr>
            <w:tcW w:type="dxa" w:w="4195"/>
          </w:tcPr>
          <w:p>
            <w:pPr>
              <w:spacing w:before="20" w:after="20" w:line="276" w:lineRule="auto"/>
              <w:ind w:firstLine="0"/>
            </w:pPr>
            <w:r/>
            <w:r>
              <w:rPr>
                <w:rFonts w:ascii="Times New Roman" w:hAnsi="Times New Roman" w:eastAsia="宋体"/>
                <w:b w:val="0"/>
                <w:i w:val="0"/>
                <w:sz w:val="21"/>
              </w:rPr>
              <w:t>品类编号：系统生成且不可改</w:t>
            </w:r>
            <w:r>
              <w:br/>
            </w:r>
            <w:r>
              <w:rPr>
                <w:rFonts w:ascii="Times New Roman" w:hAnsi="Times New Roman" w:eastAsia="宋体"/>
                <w:b w:val="0"/>
                <w:i w:val="0"/>
                <w:sz w:val="21"/>
              </w:rPr>
              <w:t>品类名称：必填且不可重复</w:t>
            </w:r>
            <w:r>
              <w:br/>
            </w:r>
            <w:r>
              <w:rPr>
                <w:rFonts w:ascii="Times New Roman" w:hAnsi="Times New Roman" w:eastAsia="宋体"/>
                <w:b w:val="0"/>
                <w:i w:val="0"/>
                <w:sz w:val="21"/>
              </w:rPr>
              <w:t>品类描述：选填</w:t>
            </w:r>
            <w:r>
              <w:br/>
            </w:r>
            <w:r>
              <w:rPr>
                <w:rFonts w:ascii="Times New Roman" w:hAnsi="Times New Roman" w:eastAsia="宋体"/>
                <w:b w:val="0"/>
                <w:i w:val="0"/>
                <w:sz w:val="21"/>
              </w:rPr>
              <w:t>单品名数量与业务引用数：由系统统计</w:t>
            </w:r>
            <w:r>
              <w:br/>
            </w:r>
            <w:r>
              <w:rPr>
                <w:rFonts w:ascii="Times New Roman" w:hAnsi="Times New Roman" w:eastAsia="宋体"/>
                <w:b w:val="0"/>
                <w:i w:val="0"/>
                <w:sz w:val="21"/>
              </w:rPr>
              <w:t>单品名名称：同一品类下不可重复</w:t>
            </w:r>
            <w:r>
              <w:br/>
            </w:r>
            <w:r>
              <w:rPr>
                <w:rFonts w:ascii="Times New Roman" w:hAnsi="Times New Roman" w:eastAsia="宋体"/>
                <w:b w:val="0"/>
                <w:i w:val="0"/>
                <w:sz w:val="21"/>
              </w:rPr>
              <w:t>默认计量单位：吨、件、支</w:t>
            </w:r>
            <w:r>
              <w:br/>
            </w:r>
            <w:r>
              <w:rPr>
                <w:rFonts w:ascii="Times New Roman" w:hAnsi="Times New Roman" w:eastAsia="宋体"/>
                <w:b w:val="0"/>
                <w:i w:val="0"/>
                <w:sz w:val="21"/>
              </w:rPr>
              <w:t>默认单价：选填</w:t>
            </w:r>
          </w:p>
        </w:tc>
        <w:tc>
          <w:tcPr>
            <w:tcW w:type="dxa" w:w="3402"/>
          </w:tcPr>
          <w:p>
            <w:pPr>
              <w:spacing w:before="20" w:after="20" w:line="276" w:lineRule="auto"/>
              <w:ind w:firstLine="0"/>
            </w:pPr>
            <w:r/>
            <w:r>
              <w:rPr>
                <w:rFonts w:ascii="Times New Roman" w:hAnsi="Times New Roman" w:eastAsia="宋体"/>
                <w:b w:val="0"/>
                <w:i w:val="0"/>
                <w:sz w:val="21"/>
              </w:rPr>
              <w:t>库存台账的品类与单品名维度引用品类配置；被业务引用后不可删除</w:t>
            </w:r>
          </w:p>
        </w:tc>
      </w:tr>
      <w:tr>
        <w:tc>
          <w:tcPr>
            <w:tcW w:type="dxa" w:w="1474"/>
          </w:tcPr>
          <w:p>
            <w:pPr>
              <w:spacing w:before="20" w:after="20" w:line="276" w:lineRule="auto"/>
              <w:ind w:firstLine="0"/>
            </w:pPr>
            <w:r/>
            <w:r>
              <w:rPr>
                <w:rFonts w:ascii="Times New Roman" w:hAnsi="Times New Roman" w:eastAsia="宋体"/>
                <w:b w:val="0"/>
                <w:i w:val="0"/>
                <w:sz w:val="21"/>
              </w:rPr>
              <w:t>仓房与货位</w:t>
            </w:r>
          </w:p>
        </w:tc>
        <w:tc>
          <w:tcPr>
            <w:tcW w:type="dxa" w:w="4195"/>
          </w:tcPr>
          <w:p>
            <w:pPr>
              <w:spacing w:before="20" w:after="20" w:line="276" w:lineRule="auto"/>
              <w:ind w:firstLine="0"/>
            </w:pPr>
            <w:r/>
            <w:r>
              <w:rPr>
                <w:rFonts w:ascii="Times New Roman" w:hAnsi="Times New Roman" w:eastAsia="宋体"/>
                <w:b w:val="0"/>
                <w:i w:val="0"/>
                <w:sz w:val="21"/>
              </w:rPr>
              <w:t>仓房名称、仓房类型、容积（吨）、货位数、当前库存（吨）、状态</w:t>
            </w:r>
            <w:r>
              <w:br/>
            </w:r>
            <w:r>
              <w:rPr>
                <w:rFonts w:ascii="Times New Roman" w:hAnsi="Times New Roman" w:eastAsia="宋体"/>
                <w:b w:val="0"/>
                <w:i w:val="0"/>
                <w:sz w:val="21"/>
              </w:rPr>
              <w:t>货位名称、货位容积、当前库存、占用状态：空、部分占用、满</w:t>
            </w:r>
            <w:r>
              <w:br/>
            </w:r>
            <w:r>
              <w:rPr>
                <w:rFonts w:ascii="Times New Roman" w:hAnsi="Times New Roman" w:eastAsia="宋体"/>
                <w:b w:val="0"/>
                <w:i w:val="0"/>
                <w:sz w:val="21"/>
              </w:rPr>
              <w:t>约束：货位容积合计不得大于仓房容积</w:t>
            </w:r>
          </w:p>
        </w:tc>
        <w:tc>
          <w:tcPr>
            <w:tcW w:type="dxa" w:w="3402"/>
          </w:tcPr>
          <w:p>
            <w:pPr>
              <w:spacing w:before="20" w:after="20" w:line="276" w:lineRule="auto"/>
              <w:ind w:firstLine="0"/>
            </w:pPr>
            <w:r/>
            <w:r>
              <w:rPr>
                <w:rFonts w:ascii="Times New Roman" w:hAnsi="Times New Roman" w:eastAsia="宋体"/>
                <w:b w:val="0"/>
                <w:i w:val="0"/>
                <w:sz w:val="21"/>
              </w:rPr>
              <w:t>库存台账按仓房与货位聚合，实际库存随出入库在货位间变化</w:t>
            </w:r>
          </w:p>
        </w:tc>
      </w:tr>
      <w:tr>
        <w:tc>
          <w:tcPr>
            <w:tcW w:type="dxa" w:w="1474"/>
          </w:tcPr>
          <w:p>
            <w:pPr>
              <w:spacing w:before="20" w:after="20" w:line="276" w:lineRule="auto"/>
              <w:ind w:firstLine="0"/>
            </w:pPr>
            <w:r/>
            <w:r>
              <w:rPr>
                <w:rFonts w:ascii="Times New Roman" w:hAnsi="Times New Roman" w:eastAsia="宋体"/>
                <w:b w:val="0"/>
                <w:i w:val="0"/>
                <w:sz w:val="21"/>
              </w:rPr>
              <w:t>仓储行情</w:t>
            </w:r>
          </w:p>
        </w:tc>
        <w:tc>
          <w:tcPr>
            <w:tcW w:type="dxa" w:w="4195"/>
          </w:tcPr>
          <w:p>
            <w:pPr>
              <w:spacing w:before="20" w:after="20" w:line="276" w:lineRule="auto"/>
              <w:ind w:firstLine="0"/>
            </w:pPr>
            <w:r/>
            <w:r>
              <w:rPr>
                <w:rFonts w:ascii="Times New Roman" w:hAnsi="Times New Roman" w:eastAsia="宋体"/>
                <w:b w:val="0"/>
                <w:i w:val="0"/>
                <w:sz w:val="21"/>
              </w:rPr>
              <w:t>仓房或库点、品类、单品名</w:t>
            </w:r>
            <w:r>
              <w:br/>
            </w:r>
            <w:r>
              <w:rPr>
                <w:rFonts w:ascii="Times New Roman" w:hAnsi="Times New Roman" w:eastAsia="宋体"/>
                <w:b w:val="0"/>
                <w:i w:val="0"/>
                <w:sz w:val="21"/>
              </w:rPr>
              <w:t>当日行情价（元/吨）、较昨日涨跌幅</w:t>
            </w:r>
            <w:r>
              <w:br/>
            </w:r>
            <w:r>
              <w:rPr>
                <w:rFonts w:ascii="Times New Roman" w:hAnsi="Times New Roman" w:eastAsia="宋体"/>
                <w:b w:val="0"/>
                <w:i w:val="0"/>
                <w:sz w:val="21"/>
              </w:rPr>
              <w:t>当月平均价、当月最高价、当月最低价</w:t>
            </w:r>
            <w:r>
              <w:br/>
            </w:r>
            <w:r>
              <w:rPr>
                <w:rFonts w:ascii="Times New Roman" w:hAnsi="Times New Roman" w:eastAsia="宋体"/>
                <w:b w:val="0"/>
                <w:i w:val="0"/>
                <w:sz w:val="21"/>
              </w:rPr>
              <w:t>行情日期、数据来源（手动录入或接口对接）、更新时间</w:t>
            </w:r>
          </w:p>
        </w:tc>
        <w:tc>
          <w:tcPr>
            <w:tcW w:type="dxa" w:w="3402"/>
          </w:tcPr>
          <w:p>
            <w:pPr>
              <w:spacing w:before="20" w:after="20" w:line="276" w:lineRule="auto"/>
              <w:ind w:firstLine="0"/>
            </w:pPr>
            <w:r/>
            <w:r>
              <w:rPr>
                <w:rFonts w:ascii="Times New Roman" w:hAnsi="Times New Roman" w:eastAsia="宋体"/>
                <w:b w:val="0"/>
                <w:i w:val="0"/>
                <w:sz w:val="21"/>
              </w:rPr>
              <w:t>行情价参与库存货值参考，并可同步到盯市价格规则库触发价格预警</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4.23.6　角色权限与数据权限</w:t>
      </w:r>
    </w:p>
    <w:p>
      <w:pPr>
        <w:spacing w:before="0" w:after="120" w:line="360" w:lineRule="auto"/>
      </w:pPr>
      <w:r>
        <w:rPr>
          <w:rFonts w:ascii="Times New Roman" w:hAnsi="Times New Roman" w:eastAsia="宋体"/>
          <w:b w:val="0"/>
          <w:i w:val="0"/>
          <w:sz w:val="24"/>
        </w:rPr>
        <w:t>本期为系统全量权限（业务方裁决 D17 / QA-012）；下表角色为典型使用角色，非权限分级。库存台账为全平台共享视图，全部角色均可查看与导出。</w:t>
      </w:r>
    </w:p>
    <w:p>
      <w:pPr>
        <w:spacing w:before="0" w:after="80" w:line="360" w:lineRule="auto"/>
      </w:pPr>
      <w:r>
        <w:rPr>
          <w:rFonts w:ascii="Times New Roman" w:hAnsi="Times New Roman" w:eastAsia="宋体"/>
          <w:b w:val="0"/>
          <w:i w:val="0"/>
          <w:sz w:val="24"/>
        </w:rPr>
        <w:t>数据可见性：按单据归属与业务筛选查看；手机号、统一社会信用代码等敏感字段默认打码，手动点击查看完整值且查看行为留痕。</w:t>
      </w:r>
    </w:p>
    <w:p>
      <w:pPr>
        <w:pStyle w:val="Heading3"/>
        <w:keepNext/>
        <w:spacing w:before="160" w:after="80" w:line="312" w:lineRule="auto"/>
        <w:ind w:firstLine="0"/>
      </w:pPr>
      <w:r>
        <w:rPr>
          <w:rFonts w:ascii="Times New Roman" w:hAnsi="Times New Roman" w:eastAsia="黑体"/>
          <w:b/>
          <w:i w:val="0"/>
          <w:sz w:val="24"/>
        </w:rPr>
        <w:t>4.23.7　业务流程与页面</w:t>
      </w:r>
    </w:p>
    <w:p>
      <w:pPr>
        <w:spacing w:before="120" w:after="60"/>
        <w:ind w:firstLine="0"/>
        <w:jc w:val="center"/>
      </w:pPr>
      <w:r>
        <w:drawing>
          <wp:inline xmlns:a="http://schemas.openxmlformats.org/drawingml/2006/main" xmlns:pic="http://schemas.openxmlformats.org/drawingml/2006/picture">
            <wp:extent cx="5616000" cy="2001103"/>
            <wp:docPr id="49" name="Picture 49"/>
            <wp:cNvGraphicFramePr>
              <a:graphicFrameLocks noChangeAspect="1"/>
            </wp:cNvGraphicFramePr>
            <a:graphic>
              <a:graphicData uri="http://schemas.openxmlformats.org/drawingml/2006/picture">
                <pic:pic>
                  <pic:nvPicPr>
                    <pic:cNvPr id="0" name="mermaid-warehouse-inventory.png"/>
                    <pic:cNvPicPr/>
                  </pic:nvPicPr>
                  <pic:blipFill>
                    <a:blip r:embed="rId59"/>
                    <a:stretch>
                      <a:fillRect/>
                    </a:stretch>
                  </pic:blipFill>
                  <pic:spPr>
                    <a:xfrm>
                      <a:off x="0" y="0"/>
                      <a:ext cx="5616000" cy="2001103"/>
                    </a:xfrm>
                    <a:prstGeom prst="rect"/>
                  </pic:spPr>
                </pic:pic>
              </a:graphicData>
            </a:graphic>
          </wp:inline>
        </w:drawing>
      </w:r>
    </w:p>
    <w:p>
      <w:pPr>
        <w:spacing w:before="0" w:after="200" w:line="240" w:lineRule="auto"/>
        <w:ind w:firstLine="0"/>
        <w:jc w:val="center"/>
      </w:pPr>
      <w:r>
        <w:rPr>
          <w:rFonts w:ascii="Times New Roman" w:hAnsi="Times New Roman" w:eastAsia="宋体"/>
          <w:b w:val="0"/>
          <w:i w:val="0"/>
          <w:sz w:val="21"/>
        </w:rPr>
        <w:t>图 4-23-1　库存管理 主业务流程</w:t>
      </w:r>
    </w:p>
    <w:p>
      <w:pPr>
        <w:spacing w:before="0" w:after="60" w:line="360" w:lineRule="auto"/>
      </w:pPr>
      <w:r>
        <w:rPr>
          <w:rFonts w:ascii="Times New Roman" w:hAnsi="Times New Roman" w:eastAsia="宋体"/>
          <w:b/>
          <w:i w:val="0"/>
          <w:sz w:val="24"/>
        </w:rPr>
        <w:t>主流程步骤：</w:t>
      </w:r>
    </w:p>
    <w:p>
      <w:pPr>
        <w:spacing w:before="0" w:after="60" w:line="336" w:lineRule="auto"/>
        <w:ind w:left="510" w:hanging="510"/>
      </w:pPr>
      <w:r>
        <w:rPr>
          <w:rFonts w:ascii="Times New Roman" w:hAnsi="Times New Roman" w:eastAsia="宋体"/>
          <w:b w:val="0"/>
          <w:i w:val="0"/>
          <w:sz w:val="24"/>
        </w:rPr>
        <w:t>1. 入库登记完成，实际库存按入库数量增加</w:t>
      </w:r>
    </w:p>
    <w:p>
      <w:pPr>
        <w:spacing w:before="0" w:after="60" w:line="336" w:lineRule="auto"/>
        <w:ind w:left="510" w:hanging="510"/>
      </w:pPr>
      <w:r>
        <w:rPr>
          <w:rFonts w:ascii="Times New Roman" w:hAnsi="Times New Roman" w:eastAsia="宋体"/>
          <w:b w:val="0"/>
          <w:i w:val="0"/>
          <w:sz w:val="24"/>
        </w:rPr>
        <w:t>2. 出库登记完成，实际库存按出库数量扣减</w:t>
      </w:r>
    </w:p>
    <w:p>
      <w:pPr>
        <w:spacing w:before="0" w:after="60" w:line="336" w:lineRule="auto"/>
        <w:ind w:left="510" w:hanging="510"/>
      </w:pPr>
      <w:r>
        <w:rPr>
          <w:rFonts w:ascii="Times New Roman" w:hAnsi="Times New Roman" w:eastAsia="宋体"/>
          <w:b w:val="0"/>
          <w:i w:val="0"/>
          <w:sz w:val="24"/>
        </w:rPr>
        <w:t>3. 盘盈入库完成，实际库存按盘盈数量增加，账面库存保持不变</w:t>
      </w:r>
    </w:p>
    <w:p>
      <w:pPr>
        <w:spacing w:before="0" w:after="60" w:line="336" w:lineRule="auto"/>
        <w:ind w:left="510" w:hanging="510"/>
      </w:pPr>
      <w:r>
        <w:rPr>
          <w:rFonts w:ascii="Times New Roman" w:hAnsi="Times New Roman" w:eastAsia="宋体"/>
          <w:b w:val="0"/>
          <w:i w:val="0"/>
          <w:sz w:val="24"/>
        </w:rPr>
        <w:t>4. 盘亏出库完成，实际库存按盘亏数量扣减</w:t>
      </w:r>
    </w:p>
    <w:p>
      <w:pPr>
        <w:spacing w:before="0" w:after="60" w:line="336" w:lineRule="auto"/>
        <w:ind w:left="510" w:hanging="510"/>
      </w:pPr>
      <w:r>
        <w:rPr>
          <w:rFonts w:ascii="Times New Roman" w:hAnsi="Times New Roman" w:eastAsia="宋体"/>
          <w:b w:val="0"/>
          <w:i w:val="0"/>
          <w:sz w:val="24"/>
        </w:rPr>
        <w:t>5. 业务线账面库存按合同应收货物数量减已收货物数量计算</w:t>
      </w:r>
    </w:p>
    <w:p>
      <w:pPr>
        <w:spacing w:before="0" w:after="60" w:line="336" w:lineRule="auto"/>
        <w:ind w:left="510" w:hanging="510"/>
      </w:pPr>
      <w:r>
        <w:rPr>
          <w:rFonts w:ascii="Times New Roman" w:hAnsi="Times New Roman" w:eastAsia="宋体"/>
          <w:b w:val="0"/>
          <w:i w:val="0"/>
          <w:sz w:val="24"/>
        </w:rPr>
        <w:t>6. 库存台账按仓房、货位、品类、单品名、业务类型与合同编号聚合</w:t>
      </w:r>
    </w:p>
    <w:p>
      <w:pPr>
        <w:spacing w:before="0" w:after="60" w:line="336" w:lineRule="auto"/>
        <w:ind w:left="510" w:hanging="510"/>
      </w:pPr>
      <w:r>
        <w:rPr>
          <w:rFonts w:ascii="Times New Roman" w:hAnsi="Times New Roman" w:eastAsia="宋体"/>
          <w:b w:val="0"/>
          <w:i w:val="0"/>
          <w:sz w:val="24"/>
        </w:rPr>
        <w:t>7. 以库存差异筛选出盘盈、盘亏与一致三类结果</w:t>
      </w:r>
    </w:p>
    <w:p>
      <w:pPr>
        <w:spacing w:before="0" w:after="60" w:line="336" w:lineRule="auto"/>
        <w:ind w:left="510" w:hanging="510"/>
      </w:pPr>
      <w:r>
        <w:rPr>
          <w:rFonts w:ascii="Times New Roman" w:hAnsi="Times New Roman" w:eastAsia="宋体"/>
          <w:b w:val="0"/>
          <w:i w:val="0"/>
          <w:sz w:val="24"/>
        </w:rPr>
        <w:t>8. 需要核对实物时由库存盘点入口进入巡库记录</w:t>
      </w:r>
    </w:p>
    <w:p>
      <w:pPr>
        <w:spacing w:before="0" w:after="60" w:line="336" w:lineRule="auto"/>
        <w:ind w:left="510" w:hanging="510"/>
      </w:pPr>
      <w:r>
        <w:rPr>
          <w:rFonts w:ascii="Times New Roman" w:hAnsi="Times New Roman" w:eastAsia="宋体"/>
          <w:b w:val="0"/>
          <w:i w:val="0"/>
          <w:sz w:val="24"/>
        </w:rPr>
        <w:t>9. 巡库发现的差异确认后一键转成盘盈入库或盘亏出库，实际库存随之更新</w:t>
      </w:r>
    </w:p>
    <w:p>
      <w:pPr>
        <w:spacing w:before="0" w:after="60" w:line="336" w:lineRule="auto"/>
        <w:ind w:left="510" w:hanging="510"/>
      </w:pPr>
      <w:r>
        <w:rPr>
          <w:rFonts w:ascii="Times New Roman" w:hAnsi="Times New Roman" w:eastAsia="宋体"/>
          <w:b w:val="0"/>
          <w:i w:val="0"/>
          <w:sz w:val="24"/>
        </w:rPr>
        <w:t>10. 仓储端按仓房与单品名登记当日行情并形成涨跌幅，数据同步到盯市价格规则库，波动超阈值触发价格预警</w:t>
      </w:r>
    </w:p>
    <w:p>
      <w:pPr>
        <w:spacing w:before="120" w:after="60" w:line="360" w:lineRule="auto"/>
      </w:pPr>
      <w:r>
        <w:rPr>
          <w:rFonts w:ascii="Times New Roman" w:hAnsi="Times New Roman" w:eastAsia="宋体"/>
          <w:b/>
          <w:i w:val="0"/>
          <w:sz w:val="24"/>
        </w:rPr>
        <w:t>异常分支：</w:t>
      </w:r>
    </w:p>
    <w:tbl>
      <w:tblPr>
        <w:tblStyle w:val="TableGrid"/>
        <w:tblW w:type="auto" w:w="0"/>
        <w:jc w:val="center"/>
        <w:tblLayout w:type="fixed"/>
        <w:tblLook w:firstColumn="1" w:firstRow="1" w:lastColumn="0" w:lastRow="0" w:noHBand="0" w:noVBand="1" w:val="04A0"/>
      </w:tblPr>
      <w:tblGrid>
        <w:gridCol w:w="4479"/>
        <w:gridCol w:w="4479"/>
      </w:tblGrid>
      <w:tr>
        <w:trPr>
          <w:tblHeader w:val="true"/>
        </w:trPr>
        <w:tc>
          <w:tcPr>
            <w:tcW w:type="dxa" w:w="2835"/>
            <w:shd w:val="clear" w:color="auto" w:fill="DCE6F1"/>
          </w:tcPr>
          <w:p>
            <w:pPr>
              <w:spacing w:before="40" w:after="40" w:line="276" w:lineRule="auto"/>
              <w:jc w:val="center"/>
            </w:pPr>
            <w:r/>
            <w:r>
              <w:rPr>
                <w:rFonts w:ascii="Times New Roman" w:hAnsi="Times New Roman" w:eastAsia="黑体"/>
                <w:b/>
                <w:i w:val="0"/>
                <w:sz w:val="21"/>
              </w:rPr>
              <w:t>异常场景</w:t>
            </w:r>
          </w:p>
        </w:tc>
        <w:tc>
          <w:tcPr>
            <w:tcW w:type="dxa" w:w="6236"/>
            <w:shd w:val="clear" w:color="auto" w:fill="DCE6F1"/>
          </w:tcPr>
          <w:p>
            <w:pPr>
              <w:spacing w:before="40" w:after="40" w:line="276" w:lineRule="auto"/>
              <w:jc w:val="center"/>
            </w:pPr>
            <w:r/>
            <w:r>
              <w:rPr>
                <w:rFonts w:ascii="Times New Roman" w:hAnsi="Times New Roman" w:eastAsia="黑体"/>
                <w:b/>
                <w:i w:val="0"/>
                <w:sz w:val="21"/>
              </w:rPr>
              <w:t>系统处理</w:t>
            </w:r>
          </w:p>
        </w:tc>
      </w:tr>
      <w:tr>
        <w:tc>
          <w:tcPr>
            <w:tcW w:type="dxa" w:w="2835"/>
          </w:tcPr>
          <w:p>
            <w:pPr>
              <w:spacing w:before="20" w:after="20" w:line="276" w:lineRule="auto"/>
              <w:ind w:firstLine="0"/>
            </w:pPr>
            <w:r/>
            <w:r>
              <w:rPr>
                <w:rFonts w:ascii="Times New Roman" w:hAnsi="Times New Roman" w:eastAsia="宋体"/>
                <w:b w:val="0"/>
                <w:i w:val="0"/>
                <w:sz w:val="21"/>
              </w:rPr>
              <w:t>库存差异不为零</w:t>
            </w:r>
          </w:p>
        </w:tc>
        <w:tc>
          <w:tcPr>
            <w:tcW w:type="dxa" w:w="6236"/>
          </w:tcPr>
          <w:p>
            <w:pPr>
              <w:spacing w:before="20" w:after="20" w:line="276" w:lineRule="auto"/>
              <w:ind w:firstLine="0"/>
            </w:pPr>
            <w:r/>
            <w:r>
              <w:rPr>
                <w:rFonts w:ascii="Times New Roman" w:hAnsi="Times New Roman" w:eastAsia="宋体"/>
                <w:b w:val="0"/>
                <w:i w:val="0"/>
                <w:sz w:val="21"/>
              </w:rPr>
              <w:t>差异按方向标注盘盈或盘亏，差异列以盘盈绿、盘亏红着色提示</w:t>
            </w:r>
          </w:p>
        </w:tc>
      </w:tr>
      <w:tr>
        <w:tc>
          <w:tcPr>
            <w:tcW w:type="dxa" w:w="2835"/>
          </w:tcPr>
          <w:p>
            <w:pPr>
              <w:spacing w:before="20" w:after="20" w:line="276" w:lineRule="auto"/>
              <w:ind w:firstLine="0"/>
            </w:pPr>
            <w:r/>
            <w:r>
              <w:rPr>
                <w:rFonts w:ascii="Times New Roman" w:hAnsi="Times New Roman" w:eastAsia="宋体"/>
                <w:b w:val="0"/>
                <w:i w:val="0"/>
                <w:sz w:val="21"/>
              </w:rPr>
              <w:t>盘库差异超过 5%</w:t>
            </w:r>
          </w:p>
        </w:tc>
        <w:tc>
          <w:tcPr>
            <w:tcW w:type="dxa" w:w="6236"/>
          </w:tcPr>
          <w:p>
            <w:pPr>
              <w:spacing w:before="20" w:after="20" w:line="276" w:lineRule="auto"/>
              <w:ind w:firstLine="0"/>
            </w:pPr>
            <w:r/>
            <w:r>
              <w:rPr>
                <w:rFonts w:ascii="Times New Roman" w:hAnsi="Times New Roman" w:eastAsia="宋体"/>
                <w:b w:val="0"/>
                <w:i w:val="0"/>
                <w:sz w:val="21"/>
              </w:rPr>
              <w:t>提示「盘库差异 X 超过 5%，请人工确认」，以黄色提醒呈现，不自动阻断</w:t>
            </w:r>
          </w:p>
        </w:tc>
      </w:tr>
      <w:tr>
        <w:tc>
          <w:tcPr>
            <w:tcW w:type="dxa" w:w="2835"/>
          </w:tcPr>
          <w:p>
            <w:pPr>
              <w:spacing w:before="20" w:after="20" w:line="276" w:lineRule="auto"/>
              <w:ind w:firstLine="0"/>
            </w:pPr>
            <w:r/>
            <w:r>
              <w:rPr>
                <w:rFonts w:ascii="Times New Roman" w:hAnsi="Times New Roman" w:eastAsia="宋体"/>
                <w:b w:val="0"/>
                <w:i w:val="0"/>
                <w:sz w:val="21"/>
              </w:rPr>
              <w:t>锁定数量大于库存总量</w:t>
            </w:r>
          </w:p>
        </w:tc>
        <w:tc>
          <w:tcPr>
            <w:tcW w:type="dxa" w:w="6236"/>
          </w:tcPr>
          <w:p>
            <w:pPr>
              <w:spacing w:before="20" w:after="20" w:line="276" w:lineRule="auto"/>
              <w:ind w:firstLine="0"/>
            </w:pPr>
            <w:r/>
            <w:r>
              <w:rPr>
                <w:rFonts w:ascii="Times New Roman" w:hAnsi="Times New Roman" w:eastAsia="宋体"/>
                <w:b w:val="0"/>
                <w:i w:val="0"/>
                <w:sz w:val="21"/>
              </w:rPr>
              <w:t>红色提示「锁定数量异常」</w:t>
            </w:r>
          </w:p>
        </w:tc>
      </w:tr>
      <w:tr>
        <w:tc>
          <w:tcPr>
            <w:tcW w:type="dxa" w:w="2835"/>
          </w:tcPr>
          <w:p>
            <w:pPr>
              <w:spacing w:before="20" w:after="20" w:line="276" w:lineRule="auto"/>
              <w:ind w:firstLine="0"/>
            </w:pPr>
            <w:r/>
            <w:r>
              <w:rPr>
                <w:rFonts w:ascii="Times New Roman" w:hAnsi="Times New Roman" w:eastAsia="宋体"/>
                <w:b w:val="0"/>
                <w:i w:val="0"/>
                <w:sz w:val="21"/>
              </w:rPr>
              <w:t>货位容积合计大于仓房容积</w:t>
            </w:r>
          </w:p>
        </w:tc>
        <w:tc>
          <w:tcPr>
            <w:tcW w:type="dxa" w:w="6236"/>
          </w:tcPr>
          <w:p>
            <w:pPr>
              <w:spacing w:before="20" w:after="20" w:line="276" w:lineRule="auto"/>
              <w:ind w:firstLine="0"/>
            </w:pPr>
            <w:r/>
            <w:r>
              <w:rPr>
                <w:rFonts w:ascii="Times New Roman" w:hAnsi="Times New Roman" w:eastAsia="宋体"/>
                <w:b w:val="0"/>
                <w:i w:val="0"/>
                <w:sz w:val="21"/>
              </w:rPr>
              <w:t>红色提示「货位容积合计不能大于仓房容积」</w:t>
            </w:r>
          </w:p>
        </w:tc>
      </w:tr>
      <w:tr>
        <w:tc>
          <w:tcPr>
            <w:tcW w:type="dxa" w:w="2835"/>
          </w:tcPr>
          <w:p>
            <w:pPr>
              <w:spacing w:before="20" w:after="20" w:line="276" w:lineRule="auto"/>
              <w:ind w:firstLine="0"/>
            </w:pPr>
            <w:r/>
            <w:r>
              <w:rPr>
                <w:rFonts w:ascii="Times New Roman" w:hAnsi="Times New Roman" w:eastAsia="宋体"/>
                <w:b w:val="0"/>
                <w:i w:val="0"/>
                <w:sz w:val="21"/>
              </w:rPr>
              <w:t>库存台账更新失败或业务线联动失败</w:t>
            </w:r>
          </w:p>
        </w:tc>
        <w:tc>
          <w:tcPr>
            <w:tcW w:type="dxa" w:w="6236"/>
          </w:tcPr>
          <w:p>
            <w:pPr>
              <w:spacing w:before="20" w:after="20" w:line="276" w:lineRule="auto"/>
              <w:ind w:firstLine="0"/>
            </w:pPr>
            <w:r/>
            <w:r>
              <w:rPr>
                <w:rFonts w:ascii="Times New Roman" w:hAnsi="Times New Roman" w:eastAsia="宋体"/>
                <w:b w:val="0"/>
                <w:i w:val="0"/>
                <w:sz w:val="21"/>
              </w:rPr>
              <w:t>需具备重试与回滚能力，具体策略待业务方确认</w:t>
            </w:r>
          </w:p>
        </w:tc>
      </w:tr>
    </w:tbl>
    <w:p>
      <w:pPr>
        <w:spacing w:before="0" w:after="0" w:line="240" w:lineRule="auto"/>
      </w:pPr>
    </w:p>
    <w:p>
      <w:pPr>
        <w:spacing w:before="120" w:after="60"/>
        <w:ind w:firstLine="0"/>
        <w:jc w:val="center"/>
      </w:pPr>
      <w:r>
        <w:drawing>
          <wp:inline xmlns:a="http://schemas.openxmlformats.org/drawingml/2006/main" xmlns:pic="http://schemas.openxmlformats.org/drawingml/2006/picture">
            <wp:extent cx="5616000" cy="3334500"/>
            <wp:docPr id="50" name="Picture 50"/>
            <wp:cNvGraphicFramePr>
              <a:graphicFrameLocks noChangeAspect="1"/>
            </wp:cNvGraphicFramePr>
            <a:graphic>
              <a:graphicData uri="http://schemas.openxmlformats.org/drawingml/2006/picture">
                <pic:pic>
                  <pic:nvPicPr>
                    <pic:cNvPr id="0" name="warehouse-inventory.png"/>
                    <pic:cNvPicPr/>
                  </pic:nvPicPr>
                  <pic:blipFill>
                    <a:blip r:embed="rId60"/>
                    <a:stretch>
                      <a:fillRect/>
                    </a:stretch>
                  </pic:blipFill>
                  <pic:spPr>
                    <a:xfrm>
                      <a:off x="0" y="0"/>
                      <a:ext cx="5616000" cy="3334500"/>
                    </a:xfrm>
                    <a:prstGeom prst="rect"/>
                  </pic:spPr>
                </pic:pic>
              </a:graphicData>
            </a:graphic>
          </wp:inline>
        </w:drawing>
      </w:r>
    </w:p>
    <w:p>
      <w:pPr>
        <w:spacing w:before="0" w:after="200" w:line="240" w:lineRule="auto"/>
        <w:ind w:firstLine="0"/>
        <w:jc w:val="center"/>
      </w:pPr>
      <w:r>
        <w:rPr>
          <w:rFonts w:ascii="Times New Roman" w:hAnsi="Times New Roman" w:eastAsia="宋体"/>
          <w:b w:val="0"/>
          <w:i w:val="0"/>
          <w:sz w:val="21"/>
        </w:rPr>
        <w:t>图 4-23-2　库存管理 原型页面</w:t>
      </w:r>
    </w:p>
    <w:p>
      <w:pPr>
        <w:spacing w:before="80" w:after="60" w:line="360" w:lineRule="auto"/>
      </w:pPr>
      <w:r>
        <w:rPr>
          <w:rFonts w:ascii="Times New Roman" w:hAnsi="Times New Roman" w:eastAsia="宋体"/>
          <w:b/>
          <w:i w:val="0"/>
          <w:sz w:val="24"/>
        </w:rPr>
        <w:t>页面级说明：</w:t>
      </w: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tblGrid>
      <w:tr>
        <w:trPr>
          <w:tblHeader w:val="true"/>
        </w:trPr>
        <w:tc>
          <w:tcPr>
            <w:tcW w:type="dxa" w:w="1178"/>
            <w:shd w:val="clear" w:color="auto" w:fill="DCE6F1"/>
          </w:tcPr>
          <w:p>
            <w:pPr>
              <w:spacing w:before="40" w:after="40" w:line="276" w:lineRule="auto"/>
              <w:jc w:val="center"/>
            </w:pPr>
            <w:r/>
            <w:r>
              <w:rPr>
                <w:rFonts w:ascii="Times New Roman" w:hAnsi="Times New Roman" w:eastAsia="黑体"/>
                <w:b/>
                <w:i w:val="0"/>
                <w:sz w:val="19"/>
              </w:rPr>
              <w:t>页面</w:t>
            </w:r>
          </w:p>
        </w:tc>
        <w:tc>
          <w:tcPr>
            <w:tcW w:type="dxa" w:w="1531"/>
            <w:shd w:val="clear" w:color="auto" w:fill="DCE6F1"/>
          </w:tcPr>
          <w:p>
            <w:pPr>
              <w:spacing w:before="40" w:after="40" w:line="276" w:lineRule="auto"/>
              <w:jc w:val="center"/>
            </w:pPr>
            <w:r/>
            <w:r>
              <w:rPr>
                <w:rFonts w:ascii="Times New Roman" w:hAnsi="Times New Roman" w:eastAsia="黑体"/>
                <w:b/>
                <w:i w:val="0"/>
                <w:sz w:val="19"/>
              </w:rPr>
              <w:t>原型文件</w:t>
            </w:r>
          </w:p>
        </w:tc>
        <w:tc>
          <w:tcPr>
            <w:tcW w:type="dxa" w:w="1119"/>
            <w:shd w:val="clear" w:color="auto" w:fill="DCE6F1"/>
          </w:tcPr>
          <w:p>
            <w:pPr>
              <w:spacing w:before="40" w:after="40" w:line="276" w:lineRule="auto"/>
              <w:jc w:val="center"/>
            </w:pPr>
            <w:r/>
            <w:r>
              <w:rPr>
                <w:rFonts w:ascii="Times New Roman" w:hAnsi="Times New Roman" w:eastAsia="黑体"/>
                <w:b/>
                <w:i w:val="0"/>
                <w:sz w:val="19"/>
              </w:rPr>
              <w:t>进入方式</w:t>
            </w:r>
          </w:p>
        </w:tc>
        <w:tc>
          <w:tcPr>
            <w:tcW w:type="dxa" w:w="2062"/>
            <w:shd w:val="clear" w:color="auto" w:fill="DCE6F1"/>
          </w:tcPr>
          <w:p>
            <w:pPr>
              <w:spacing w:before="40" w:after="40" w:line="276" w:lineRule="auto"/>
              <w:jc w:val="center"/>
            </w:pPr>
            <w:r/>
            <w:r>
              <w:rPr>
                <w:rFonts w:ascii="Times New Roman" w:hAnsi="Times New Roman" w:eastAsia="黑体"/>
                <w:b/>
                <w:i w:val="0"/>
                <w:sz w:val="19"/>
              </w:rPr>
              <w:t>关键区块</w:t>
            </w:r>
          </w:p>
        </w:tc>
        <w:tc>
          <w:tcPr>
            <w:tcW w:type="dxa" w:w="1767"/>
            <w:shd w:val="clear" w:color="auto" w:fill="DCE6F1"/>
          </w:tcPr>
          <w:p>
            <w:pPr>
              <w:spacing w:before="40" w:after="40" w:line="276" w:lineRule="auto"/>
              <w:jc w:val="center"/>
            </w:pPr>
            <w:r/>
            <w:r>
              <w:rPr>
                <w:rFonts w:ascii="Times New Roman" w:hAnsi="Times New Roman" w:eastAsia="黑体"/>
                <w:b/>
                <w:i w:val="0"/>
                <w:sz w:val="19"/>
              </w:rPr>
              <w:t>主要按钮与行为</w:t>
            </w:r>
          </w:p>
        </w:tc>
        <w:tc>
          <w:tcPr>
            <w:tcW w:type="dxa" w:w="1414"/>
            <w:shd w:val="clear" w:color="auto" w:fill="DCE6F1"/>
          </w:tcPr>
          <w:p>
            <w:pPr>
              <w:spacing w:before="40" w:after="40" w:line="276" w:lineRule="auto"/>
              <w:jc w:val="center"/>
            </w:pPr>
            <w:r/>
            <w:r>
              <w:rPr>
                <w:rFonts w:ascii="Times New Roman" w:hAnsi="Times New Roman" w:eastAsia="黑体"/>
                <w:b/>
                <w:i w:val="0"/>
                <w:sz w:val="19"/>
              </w:rPr>
              <w:t>跳转去向</w:t>
            </w:r>
          </w:p>
        </w:tc>
      </w:tr>
      <w:tr>
        <w:tc>
          <w:tcPr>
            <w:tcW w:type="dxa" w:w="1178"/>
          </w:tcPr>
          <w:p>
            <w:pPr>
              <w:spacing w:before="20" w:after="20" w:line="276" w:lineRule="auto"/>
              <w:ind w:firstLine="0"/>
            </w:pPr>
            <w:r/>
            <w:r>
              <w:rPr>
                <w:rFonts w:ascii="Times New Roman" w:hAnsi="Times New Roman" w:eastAsia="宋体"/>
                <w:b w:val="0"/>
                <w:i w:val="0"/>
                <w:sz w:val="19"/>
              </w:rPr>
              <w:t>库存台账（列表与看板）</w:t>
            </w:r>
          </w:p>
        </w:tc>
        <w:tc>
          <w:tcPr>
            <w:tcW w:type="dxa" w:w="1531"/>
          </w:tcPr>
          <w:p>
            <w:pPr>
              <w:spacing w:before="20" w:after="20" w:line="276" w:lineRule="auto"/>
              <w:ind w:firstLine="0"/>
            </w:pPr>
            <w:r/>
            <w:r>
              <w:rPr>
                <w:rFonts w:ascii="Times New Roman" w:hAnsi="Times New Roman" w:eastAsia="宋体"/>
                <w:b w:val="0"/>
                <w:i w:val="0"/>
                <w:sz w:val="19"/>
              </w:rPr>
              <w:t>warehouse-inventory.html</w:t>
            </w:r>
          </w:p>
        </w:tc>
        <w:tc>
          <w:tcPr>
            <w:tcW w:type="dxa" w:w="1119"/>
          </w:tcPr>
          <w:p>
            <w:pPr>
              <w:spacing w:before="20" w:after="20" w:line="276" w:lineRule="auto"/>
              <w:ind w:firstLine="0"/>
            </w:pPr>
            <w:r/>
            <w:r>
              <w:rPr>
                <w:rFonts w:ascii="Times New Roman" w:hAnsi="Times New Roman" w:eastAsia="宋体"/>
                <w:b w:val="0"/>
                <w:i w:val="0"/>
                <w:sz w:val="19"/>
              </w:rPr>
              <w:t>仓储管理 → 库存管理</w:t>
            </w:r>
          </w:p>
        </w:tc>
        <w:tc>
          <w:tcPr>
            <w:tcW w:type="dxa" w:w="2062"/>
          </w:tcPr>
          <w:p>
            <w:pPr>
              <w:spacing w:before="20" w:after="20" w:line="276" w:lineRule="auto"/>
              <w:ind w:firstLine="0"/>
            </w:pPr>
            <w:r/>
            <w:r>
              <w:rPr>
                <w:rFonts w:ascii="Times New Roman" w:hAnsi="Times New Roman" w:eastAsia="宋体"/>
                <w:b w:val="0"/>
                <w:i w:val="0"/>
                <w:sz w:val="19"/>
              </w:rPr>
              <w:t>8 项 KPI 横向滚动区、库存概览与业务线台账 2 个分栏、品类库存列表（7 列加操作列）、业务线台账列表（5 列）、分页</w:t>
            </w:r>
          </w:p>
        </w:tc>
        <w:tc>
          <w:tcPr>
            <w:tcW w:type="dxa" w:w="1767"/>
          </w:tcPr>
          <w:p>
            <w:pPr>
              <w:spacing w:before="20" w:after="20" w:line="276" w:lineRule="auto"/>
              <w:ind w:firstLine="0"/>
            </w:pPr>
            <w:r/>
            <w:r>
              <w:rPr>
                <w:rFonts w:ascii="Times New Roman" w:hAnsi="Times New Roman" w:eastAsia="宋体"/>
                <w:b w:val="0"/>
                <w:i w:val="0"/>
                <w:sz w:val="19"/>
              </w:rPr>
              <w:t>数据导出、库存盘点、分页与左右箭头翻页</w:t>
            </w:r>
          </w:p>
        </w:tc>
        <w:tc>
          <w:tcPr>
            <w:tcW w:type="dxa" w:w="1414"/>
          </w:tcPr>
          <w:p>
            <w:pPr>
              <w:spacing w:before="20" w:after="20" w:line="276" w:lineRule="auto"/>
              <w:ind w:firstLine="0"/>
            </w:pPr>
            <w:r/>
            <w:r>
              <w:rPr>
                <w:rFonts w:ascii="Times New Roman" w:hAnsi="Times New Roman" w:eastAsia="宋体"/>
                <w:b w:val="0"/>
                <w:i w:val="0"/>
                <w:sz w:val="19"/>
              </w:rPr>
              <w:t>库存盘点 → 巡库记录页；其余为页面内切换</w:t>
            </w:r>
          </w:p>
        </w:tc>
      </w:tr>
      <w:tr>
        <w:tc>
          <w:tcPr>
            <w:tcW w:type="dxa" w:w="1178"/>
          </w:tcPr>
          <w:p>
            <w:pPr>
              <w:spacing w:before="20" w:after="20" w:line="276" w:lineRule="auto"/>
              <w:ind w:firstLine="0"/>
            </w:pPr>
            <w:r/>
            <w:r>
              <w:rPr>
                <w:rFonts w:ascii="Times New Roman" w:hAnsi="Times New Roman" w:eastAsia="宋体"/>
                <w:b w:val="0"/>
                <w:i w:val="0"/>
                <w:sz w:val="19"/>
              </w:rPr>
              <w:t>行情管理（列表）</w:t>
            </w:r>
          </w:p>
        </w:tc>
        <w:tc>
          <w:tcPr>
            <w:tcW w:type="dxa" w:w="1531"/>
          </w:tcPr>
          <w:p>
            <w:pPr>
              <w:spacing w:before="20" w:after="20" w:line="276" w:lineRule="auto"/>
              <w:ind w:firstLine="0"/>
            </w:pPr>
            <w:r/>
            <w:r>
              <w:rPr>
                <w:rFonts w:ascii="Times New Roman" w:hAnsi="Times New Roman" w:eastAsia="宋体"/>
                <w:b w:val="0"/>
                <w:i w:val="0"/>
                <w:sz w:val="19"/>
              </w:rPr>
              <w:t>warehouse-market.html</w:t>
            </w:r>
          </w:p>
        </w:tc>
        <w:tc>
          <w:tcPr>
            <w:tcW w:type="dxa" w:w="1119"/>
          </w:tcPr>
          <w:p>
            <w:pPr>
              <w:spacing w:before="20" w:after="20" w:line="276" w:lineRule="auto"/>
              <w:ind w:firstLine="0"/>
            </w:pPr>
            <w:r/>
            <w:r>
              <w:rPr>
                <w:rFonts w:ascii="Times New Roman" w:hAnsi="Times New Roman" w:eastAsia="宋体"/>
                <w:b w:val="0"/>
                <w:i w:val="0"/>
                <w:sz w:val="19"/>
              </w:rPr>
              <w:t>仓储管理（行情管理当前未挂菜单入口）</w:t>
            </w:r>
          </w:p>
        </w:tc>
        <w:tc>
          <w:tcPr>
            <w:tcW w:type="dxa" w:w="2062"/>
          </w:tcPr>
          <w:p>
            <w:pPr>
              <w:spacing w:before="20" w:after="20" w:line="276" w:lineRule="auto"/>
              <w:ind w:firstLine="0"/>
            </w:pPr>
            <w:r/>
            <w:r>
              <w:rPr>
                <w:rFonts w:ascii="Times New Roman" w:hAnsi="Times New Roman" w:eastAsia="宋体"/>
                <w:b w:val="0"/>
                <w:i w:val="0"/>
                <w:sz w:val="19"/>
              </w:rPr>
              <w:t>6 个字段筛选区（行情编号、品名、行情类型、价格区间、更新日期、数据来源）、10 列表格、分页</w:t>
            </w:r>
          </w:p>
        </w:tc>
        <w:tc>
          <w:tcPr>
            <w:tcW w:type="dxa" w:w="1767"/>
          </w:tcPr>
          <w:p>
            <w:pPr>
              <w:spacing w:before="20" w:after="20" w:line="276" w:lineRule="auto"/>
              <w:ind w:firstLine="0"/>
            </w:pPr>
            <w:r/>
            <w:r>
              <w:rPr>
                <w:rFonts w:ascii="Times New Roman" w:hAnsi="Times New Roman" w:eastAsia="宋体"/>
                <w:b w:val="0"/>
                <w:i w:val="0"/>
                <w:sz w:val="19"/>
              </w:rPr>
              <w:t>新增行情、搜索筛选、数据导出；行内：查看与编辑</w:t>
            </w:r>
          </w:p>
        </w:tc>
        <w:tc>
          <w:tcPr>
            <w:tcW w:type="dxa" w:w="1414"/>
          </w:tcPr>
          <w:p>
            <w:pPr>
              <w:spacing w:before="20" w:after="20" w:line="276" w:lineRule="auto"/>
              <w:ind w:firstLine="0"/>
            </w:pPr>
            <w:r/>
            <w:r>
              <w:rPr>
                <w:rFonts w:ascii="Times New Roman" w:hAnsi="Times New Roman" w:eastAsia="宋体"/>
                <w:b w:val="0"/>
                <w:i w:val="0"/>
                <w:sz w:val="19"/>
              </w:rPr>
              <w:t>页面内列表操作，不跨页跳转</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4.23.8　验收标准与待确认项</w:t>
      </w:r>
    </w:p>
    <w:tbl>
      <w:tblPr>
        <w:tblStyle w:val="TableGrid"/>
        <w:tblW w:type="auto" w:w="0"/>
        <w:jc w:val="center"/>
        <w:tblLayout w:type="fixed"/>
        <w:tblLook w:firstColumn="1" w:firstRow="1" w:lastColumn="0" w:lastRow="0" w:noHBand="0" w:noVBand="1" w:val="04A0"/>
      </w:tblPr>
      <w:tblGrid>
        <w:gridCol w:w="4479"/>
        <w:gridCol w:w="4479"/>
      </w:tblGrid>
      <w:tr>
        <w:trPr>
          <w:tblHeader w:val="true"/>
        </w:trPr>
        <w:tc>
          <w:tcPr>
            <w:tcW w:type="dxa" w:w="1701"/>
            <w:shd w:val="clear" w:color="auto" w:fill="DCE6F1"/>
          </w:tcPr>
          <w:p>
            <w:pPr>
              <w:spacing w:before="40" w:after="40" w:line="276" w:lineRule="auto"/>
              <w:jc w:val="center"/>
            </w:pPr>
            <w:r/>
            <w:r>
              <w:rPr>
                <w:rFonts w:ascii="Times New Roman" w:hAnsi="Times New Roman" w:eastAsia="黑体"/>
                <w:b/>
                <w:i w:val="0"/>
                <w:sz w:val="21"/>
              </w:rPr>
              <w:t>功能</w:t>
            </w:r>
          </w:p>
        </w:tc>
        <w:tc>
          <w:tcPr>
            <w:tcW w:type="dxa" w:w="7370"/>
            <w:shd w:val="clear" w:color="auto" w:fill="DCE6F1"/>
          </w:tcPr>
          <w:p>
            <w:pPr>
              <w:spacing w:before="40" w:after="40" w:line="276" w:lineRule="auto"/>
              <w:jc w:val="center"/>
            </w:pPr>
            <w:r/>
            <w:r>
              <w:rPr>
                <w:rFonts w:ascii="Times New Roman" w:hAnsi="Times New Roman" w:eastAsia="黑体"/>
                <w:b/>
                <w:i w:val="0"/>
                <w:sz w:val="21"/>
              </w:rPr>
              <w:t>验收要点（由关键规则转写）</w:t>
            </w:r>
          </w:p>
        </w:tc>
      </w:tr>
      <w:tr>
        <w:tc>
          <w:tcPr>
            <w:tcW w:type="dxa" w:w="1701"/>
          </w:tcPr>
          <w:p>
            <w:pPr>
              <w:spacing w:before="20" w:after="20" w:line="276" w:lineRule="auto"/>
              <w:ind w:firstLine="0"/>
            </w:pPr>
            <w:r/>
            <w:r>
              <w:rPr>
                <w:rFonts w:ascii="Times New Roman" w:hAnsi="Times New Roman" w:eastAsia="宋体"/>
                <w:b w:val="0"/>
                <w:i w:val="0"/>
                <w:sz w:val="21"/>
              </w:rPr>
              <w:t>库存台账双视角分栏</w:t>
            </w:r>
          </w:p>
        </w:tc>
        <w:tc>
          <w:tcPr>
            <w:tcW w:type="dxa" w:w="7370"/>
          </w:tcPr>
          <w:p>
            <w:pPr>
              <w:spacing w:before="20" w:after="20" w:line="276" w:lineRule="auto"/>
              <w:ind w:firstLine="0"/>
            </w:pPr>
            <w:r/>
            <w:r>
              <w:rPr>
                <w:rFonts w:ascii="Times New Roman" w:hAnsi="Times New Roman" w:eastAsia="宋体"/>
                <w:b w:val="0"/>
                <w:i w:val="0"/>
                <w:sz w:val="21"/>
              </w:rPr>
              <w:t>分栏固定为库存概览（默认）与业务线台账 2 个且不带计数；两个视角共用同一套筛选区与导出能力；页面含 8 项 KPI 横向滚动区</w:t>
            </w:r>
          </w:p>
        </w:tc>
      </w:tr>
      <w:tr>
        <w:tc>
          <w:tcPr>
            <w:tcW w:type="dxa" w:w="1701"/>
          </w:tcPr>
          <w:p>
            <w:pPr>
              <w:spacing w:before="20" w:after="20" w:line="276" w:lineRule="auto"/>
              <w:ind w:firstLine="0"/>
            </w:pPr>
            <w:r/>
            <w:r>
              <w:rPr>
                <w:rFonts w:ascii="Times New Roman" w:hAnsi="Times New Roman" w:eastAsia="宋体"/>
                <w:b w:val="0"/>
                <w:i w:val="0"/>
                <w:sz w:val="21"/>
              </w:rPr>
              <w:t>八项库存 KPI 展示</w:t>
            </w:r>
          </w:p>
        </w:tc>
        <w:tc>
          <w:tcPr>
            <w:tcW w:type="dxa" w:w="7370"/>
          </w:tcPr>
          <w:p>
            <w:pPr>
              <w:spacing w:before="20" w:after="20" w:line="276" w:lineRule="auto"/>
              <w:ind w:firstLine="0"/>
            </w:pPr>
            <w:r/>
            <w:r>
              <w:rPr>
                <w:rFonts w:ascii="Times New Roman" w:hAnsi="Times New Roman" w:eastAsia="宋体"/>
                <w:b w:val="0"/>
                <w:i w:val="0"/>
                <w:sz w:val="21"/>
              </w:rPr>
              <w:t>8 项指标固定为账面库存（吨）、累计入库（吨）、未关联业务线入库（吨）、累计出库（吨）、未关联业务线出库（吨）、库存货值（元）、累计入库货值（元）、累计出库货值（元）；卡片按蓝、橙、绿三色循环底色；区域宽度不足时横向滚动并提供左右箭头翻页</w:t>
            </w:r>
          </w:p>
        </w:tc>
      </w:tr>
      <w:tr>
        <w:tc>
          <w:tcPr>
            <w:tcW w:type="dxa" w:w="1701"/>
          </w:tcPr>
          <w:p>
            <w:pPr>
              <w:spacing w:before="20" w:after="20" w:line="276" w:lineRule="auto"/>
              <w:ind w:firstLine="0"/>
            </w:pPr>
            <w:r/>
            <w:r>
              <w:rPr>
                <w:rFonts w:ascii="Times New Roman" w:hAnsi="Times New Roman" w:eastAsia="宋体"/>
                <w:b w:val="0"/>
                <w:i w:val="0"/>
                <w:sz w:val="21"/>
              </w:rPr>
              <w:t>库存三指标计算口径</w:t>
            </w:r>
          </w:p>
        </w:tc>
        <w:tc>
          <w:tcPr>
            <w:tcW w:type="dxa" w:w="7370"/>
          </w:tcPr>
          <w:p>
            <w:pPr>
              <w:spacing w:before="20" w:after="20" w:line="276" w:lineRule="auto"/>
              <w:ind w:firstLine="0"/>
            </w:pPr>
            <w:r/>
            <w:r>
              <w:rPr>
                <w:rFonts w:ascii="Times New Roman" w:hAnsi="Times New Roman" w:eastAsia="宋体"/>
                <w:b w:val="0"/>
                <w:i w:val="0"/>
                <w:sz w:val="21"/>
              </w:rPr>
              <w:t>实际库存等于入库数量减出库数量并含盘盈盘亏调整；账面库存等于来自合同的应收货物数量减已收货物数量；库存差异等于实际库存减账面库存，大于零为盘盈、小于零为盘亏、等于零为一致；差异列按盘盈绿、盘亏红着色</w:t>
            </w:r>
          </w:p>
        </w:tc>
      </w:tr>
      <w:tr>
        <w:tc>
          <w:tcPr>
            <w:tcW w:type="dxa" w:w="1701"/>
          </w:tcPr>
          <w:p>
            <w:pPr>
              <w:spacing w:before="20" w:after="20" w:line="276" w:lineRule="auto"/>
              <w:ind w:firstLine="0"/>
            </w:pPr>
            <w:r/>
            <w:r>
              <w:rPr>
                <w:rFonts w:ascii="Times New Roman" w:hAnsi="Times New Roman" w:eastAsia="宋体"/>
                <w:b w:val="0"/>
                <w:i w:val="0"/>
                <w:sz w:val="21"/>
              </w:rPr>
              <w:t>七字段多维筛选</w:t>
            </w:r>
          </w:p>
        </w:tc>
        <w:tc>
          <w:tcPr>
            <w:tcW w:type="dxa" w:w="7370"/>
          </w:tcPr>
          <w:p>
            <w:pPr>
              <w:spacing w:before="20" w:after="20" w:line="276" w:lineRule="auto"/>
              <w:ind w:firstLine="0"/>
            </w:pPr>
            <w:r/>
            <w:r>
              <w:rPr>
                <w:rFonts w:ascii="Times New Roman" w:hAnsi="Times New Roman" w:eastAsia="宋体"/>
                <w:b w:val="0"/>
                <w:i w:val="0"/>
                <w:sz w:val="21"/>
              </w:rPr>
              <w:t>7 个字段为仓房、货位、品类、单品名、业务类型、合同编号、库存差异；货位选项按所选仓房过滤，单品名选项按所选品类过滤；库存差异选项为全部、盘盈、盘亏、一致</w:t>
            </w:r>
          </w:p>
        </w:tc>
      </w:tr>
      <w:tr>
        <w:tc>
          <w:tcPr>
            <w:tcW w:type="dxa" w:w="1701"/>
          </w:tcPr>
          <w:p>
            <w:pPr>
              <w:spacing w:before="20" w:after="20" w:line="276" w:lineRule="auto"/>
              <w:ind w:firstLine="0"/>
            </w:pPr>
            <w:r/>
            <w:r>
              <w:rPr>
                <w:rFonts w:ascii="Times New Roman" w:hAnsi="Times New Roman" w:eastAsia="宋体"/>
                <w:b w:val="0"/>
                <w:i w:val="0"/>
                <w:sz w:val="21"/>
              </w:rPr>
              <w:t>品类库存列表与业务线台账列表</w:t>
            </w:r>
          </w:p>
        </w:tc>
        <w:tc>
          <w:tcPr>
            <w:tcW w:type="dxa" w:w="7370"/>
          </w:tcPr>
          <w:p>
            <w:pPr>
              <w:spacing w:before="20" w:after="20" w:line="276" w:lineRule="auto"/>
              <w:ind w:firstLine="0"/>
            </w:pPr>
            <w:r/>
            <w:r>
              <w:rPr>
                <w:rFonts w:ascii="Times New Roman" w:hAnsi="Times New Roman" w:eastAsia="宋体"/>
                <w:b w:val="0"/>
                <w:i w:val="0"/>
                <w:sz w:val="21"/>
              </w:rPr>
              <w:t>品类库存列表为 7 列加操作列共 8 列；业务线台账为 5 列；两个列表共用同一批筛选条件；金额与数量的小数位展示规则以最终确认口径为准</w:t>
            </w:r>
          </w:p>
        </w:tc>
      </w:tr>
      <w:tr>
        <w:tc>
          <w:tcPr>
            <w:tcW w:type="dxa" w:w="1701"/>
          </w:tcPr>
          <w:p>
            <w:pPr>
              <w:spacing w:before="20" w:after="20" w:line="276" w:lineRule="auto"/>
              <w:ind w:firstLine="0"/>
            </w:pPr>
            <w:r/>
            <w:r>
              <w:rPr>
                <w:rFonts w:ascii="Times New Roman" w:hAnsi="Times New Roman" w:eastAsia="宋体"/>
                <w:b w:val="0"/>
                <w:i w:val="0"/>
                <w:sz w:val="21"/>
              </w:rPr>
              <w:t>库存盘点入口</w:t>
            </w:r>
          </w:p>
        </w:tc>
        <w:tc>
          <w:tcPr>
            <w:tcW w:type="dxa" w:w="7370"/>
          </w:tcPr>
          <w:p>
            <w:pPr>
              <w:spacing w:before="20" w:after="20" w:line="276" w:lineRule="auto"/>
              <w:ind w:firstLine="0"/>
            </w:pPr>
            <w:r/>
            <w:r>
              <w:rPr>
                <w:rFonts w:ascii="Times New Roman" w:hAnsi="Times New Roman" w:eastAsia="宋体"/>
                <w:b w:val="0"/>
                <w:i w:val="0"/>
                <w:sz w:val="21"/>
              </w:rPr>
              <w:t>顶部库存盘点按钮跳转到巡库记录页；巡库发现的盘盈盘亏经确认后回写实际库存</w:t>
            </w:r>
          </w:p>
        </w:tc>
      </w:tr>
      <w:tr>
        <w:tc>
          <w:tcPr>
            <w:tcW w:type="dxa" w:w="1701"/>
          </w:tcPr>
          <w:p>
            <w:pPr>
              <w:spacing w:before="20" w:after="20" w:line="276" w:lineRule="auto"/>
              <w:ind w:firstLine="0"/>
            </w:pPr>
            <w:r/>
            <w:r>
              <w:rPr>
                <w:rFonts w:ascii="Times New Roman" w:hAnsi="Times New Roman" w:eastAsia="宋体"/>
                <w:b w:val="0"/>
                <w:i w:val="0"/>
                <w:sz w:val="21"/>
              </w:rPr>
              <w:t>库存台账数据导出</w:t>
            </w:r>
          </w:p>
        </w:tc>
        <w:tc>
          <w:tcPr>
            <w:tcW w:type="dxa" w:w="7370"/>
          </w:tcPr>
          <w:p>
            <w:pPr>
              <w:spacing w:before="20" w:after="20" w:line="276" w:lineRule="auto"/>
              <w:ind w:firstLine="0"/>
            </w:pPr>
            <w:r/>
            <w:r>
              <w:rPr>
                <w:rFonts w:ascii="Times New Roman" w:hAnsi="Times New Roman" w:eastAsia="宋体"/>
                <w:b w:val="0"/>
                <w:i w:val="0"/>
                <w:sz w:val="21"/>
              </w:rPr>
              <w:t>导出内容与当前筛选条件及当前视角一致，导出为 Excel 文件</w:t>
            </w:r>
          </w:p>
        </w:tc>
      </w:tr>
      <w:tr>
        <w:tc>
          <w:tcPr>
            <w:tcW w:type="dxa" w:w="1701"/>
          </w:tcPr>
          <w:p>
            <w:pPr>
              <w:spacing w:before="20" w:after="20" w:line="276" w:lineRule="auto"/>
              <w:ind w:firstLine="0"/>
            </w:pPr>
            <w:r/>
            <w:r>
              <w:rPr>
                <w:rFonts w:ascii="Times New Roman" w:hAnsi="Times New Roman" w:eastAsia="宋体"/>
                <w:b w:val="0"/>
                <w:i w:val="0"/>
                <w:sz w:val="21"/>
              </w:rPr>
              <w:t>仓储端行情采集与同步</w:t>
            </w:r>
          </w:p>
        </w:tc>
        <w:tc>
          <w:tcPr>
            <w:tcW w:type="dxa" w:w="7370"/>
          </w:tcPr>
          <w:p>
            <w:pPr>
              <w:spacing w:before="20" w:after="20" w:line="276" w:lineRule="auto"/>
              <w:ind w:firstLine="0"/>
            </w:pPr>
            <w:r/>
            <w:r>
              <w:rPr>
                <w:rFonts w:ascii="Times New Roman" w:hAnsi="Times New Roman" w:eastAsia="宋体"/>
                <w:b w:val="0"/>
                <w:i w:val="0"/>
                <w:sz w:val="21"/>
              </w:rPr>
              <w:t>行情维度为仓房或库点、品类、单品名；行情表记录当日行情价、较昨日涨跌幅、当月平均价、当月最高价、当月最低价、行情日期与数据来源；数据来源分手动录入与接口对接；涨跌幅按绿涨红跌着色；行情数据可同步到盯市价格规则库，波动可触发价格预警</w:t>
            </w:r>
          </w:p>
        </w:tc>
      </w:tr>
    </w:tbl>
    <w:p>
      <w:pPr>
        <w:spacing w:before="0" w:after="0" w:line="240" w:lineRule="auto"/>
      </w:pPr>
    </w:p>
    <w:p>
      <w:pPr>
        <w:spacing w:before="120" w:after="60" w:line="360" w:lineRule="auto"/>
      </w:pPr>
      <w:r>
        <w:rPr>
          <w:rFonts w:ascii="Times New Roman" w:hAnsi="Times New Roman" w:eastAsia="宋体"/>
          <w:b/>
          <w:i w:val="0"/>
          <w:sz w:val="24"/>
        </w:rPr>
        <w:t>待业务方确认：</w:t>
      </w:r>
    </w:p>
    <w:p>
      <w:pPr>
        <w:spacing w:before="0" w:after="60" w:line="336" w:lineRule="auto"/>
        <w:ind w:left="340" w:firstLine="0"/>
      </w:pPr>
      <w:r>
        <w:rPr>
          <w:rFonts w:ascii="Times New Roman" w:hAnsi="Times New Roman" w:eastAsia="宋体"/>
          <w:b w:val="0"/>
          <w:i w:val="0"/>
          <w:sz w:val="24"/>
        </w:rPr>
        <w:t>· 待业务方确认：库存台账「账面库存」的最终口径，KPI 区取值为累计入库减累计出库，与指标公式中合同应收减已收的账面库存同名不同义</w:t>
      </w:r>
    </w:p>
    <w:p>
      <w:pPr>
        <w:spacing w:before="0" w:after="60" w:line="336" w:lineRule="auto"/>
        <w:ind w:left="340" w:firstLine="0"/>
      </w:pPr>
      <w:r>
        <w:rPr>
          <w:rFonts w:ascii="Times New Roman" w:hAnsi="Times New Roman" w:eastAsia="宋体"/>
          <w:b w:val="0"/>
          <w:i w:val="0"/>
          <w:sz w:val="24"/>
        </w:rPr>
        <w:t>· 待业务方确认：库存货值与累计出入库货值的小数位与千分位展示规则，KPI 区与列表区小数位不一致且模块内千分位口径不统一</w:t>
      </w:r>
    </w:p>
    <w:p>
      <w:pPr>
        <w:spacing w:before="0" w:after="60" w:line="336" w:lineRule="auto"/>
        <w:ind w:left="340" w:firstLine="0"/>
      </w:pPr>
      <w:r>
        <w:rPr>
          <w:rFonts w:ascii="Times New Roman" w:hAnsi="Times New Roman" w:eastAsia="宋体"/>
          <w:b w:val="0"/>
          <w:i w:val="0"/>
          <w:sz w:val="24"/>
        </w:rPr>
        <w:t>· 待业务方确认：行情管理页是否在本期挂菜单入口，页面已实现但当前未挂载任何菜单</w:t>
      </w:r>
    </w:p>
    <w:p>
      <w:pPr>
        <w:spacing w:before="0" w:after="60" w:line="336" w:lineRule="auto"/>
        <w:ind w:left="340" w:firstLine="0"/>
      </w:pPr>
      <w:r>
        <w:rPr>
          <w:rFonts w:ascii="Times New Roman" w:hAnsi="Times New Roman" w:eastAsia="宋体"/>
          <w:b w:val="0"/>
          <w:i w:val="0"/>
          <w:sz w:val="24"/>
        </w:rPr>
        <w:t>· 待业务方确认：库存台账更新失败、业务线联动失败、合同已收已发回写失败等跨模块调用的重试、降级与回滚策略</w:t>
      </w:r>
    </w:p>
    <w:p>
      <w:pPr>
        <w:spacing w:before="0" w:after="60" w:line="336" w:lineRule="auto"/>
        <w:ind w:left="340" w:firstLine="0"/>
      </w:pPr>
      <w:r>
        <w:rPr>
          <w:rFonts w:ascii="Times New Roman" w:hAnsi="Times New Roman" w:eastAsia="宋体"/>
          <w:b w:val="0"/>
          <w:i w:val="0"/>
          <w:sz w:val="24"/>
        </w:rPr>
        <w:t>· 待业务方确认：品类配置的单品名与早期仓库类型枚举（starch、coal、sugar）的关系是否保留与并存</w:t>
      </w:r>
    </w:p>
    <w:p>
      <w:pPr>
        <w:spacing w:before="0" w:after="60" w:line="336" w:lineRule="auto"/>
        <w:ind w:left="340" w:firstLine="0"/>
      </w:pPr>
      <w:r>
        <w:rPr>
          <w:rFonts w:ascii="Times New Roman" w:hAnsi="Times New Roman" w:eastAsia="宋体"/>
          <w:b w:val="0"/>
          <w:i w:val="0"/>
          <w:sz w:val="24"/>
        </w:rPr>
        <w:t>· 待业务方确认：盘库差异 5% 阈值是否固定在代码层、不提供可配置界面</w:t>
      </w:r>
    </w:p>
    <w:p>
      <w:r>
        <w:br w:type="page"/>
      </w:r>
    </w:p>
    <w:p>
      <w:pPr>
        <w:pStyle w:val="Heading2"/>
        <w:keepNext/>
        <w:spacing w:before="240" w:after="120" w:line="312" w:lineRule="auto"/>
        <w:ind w:firstLine="0"/>
      </w:pPr>
      <w:r>
        <w:rPr>
          <w:rFonts w:ascii="Times New Roman" w:hAnsi="Times New Roman" w:eastAsia="黑体"/>
          <w:b/>
          <w:i w:val="0"/>
          <w:sz w:val="28"/>
        </w:rPr>
        <w:t>4.24　视频监控</w:t>
      </w:r>
    </w:p>
    <w:p>
      <w:pPr>
        <w:spacing w:before="0" w:after="160" w:line="360" w:lineRule="auto"/>
      </w:pPr>
      <w:r>
        <w:rPr>
          <w:rFonts w:ascii="Times New Roman" w:hAnsi="Times New Roman" w:eastAsia="宋体"/>
          <w:b w:val="0"/>
          <w:i w:val="0"/>
          <w:color w:val="595959"/>
          <w:sz w:val="21"/>
        </w:rPr>
        <w:t>菜单路径：仓储管理 / 视频监控</w:t>
      </w:r>
    </w:p>
    <w:p>
      <w:pPr>
        <w:pStyle w:val="Heading3"/>
        <w:keepNext/>
        <w:spacing w:before="160" w:after="80" w:line="312" w:lineRule="auto"/>
        <w:ind w:firstLine="0"/>
      </w:pPr>
      <w:r>
        <w:rPr>
          <w:rFonts w:ascii="Times New Roman" w:hAnsi="Times New Roman" w:eastAsia="黑体"/>
          <w:b/>
          <w:i w:val="0"/>
          <w:sz w:val="24"/>
        </w:rPr>
        <w:t>4.24.1　一页结论</w:t>
      </w:r>
    </w:p>
    <w:p>
      <w:pPr>
        <w:spacing w:before="0" w:after="120" w:line="360" w:lineRule="auto"/>
      </w:pPr>
      <w:r>
        <w:rPr>
          <w:rFonts w:ascii="Times New Roman" w:hAnsi="Times New Roman" w:eastAsia="宋体"/>
          <w:b w:val="0"/>
          <w:i w:val="0"/>
          <w:sz w:val="24"/>
        </w:rPr>
        <w:t>为仓储现场提供可视化监控入口：按库点查看摄像头实时画面与历史录像，识别货损、盗窃、火灾等异常事件并形成告警处置闭环。</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928"/>
            <w:shd w:val="clear" w:color="auto" w:fill="DCE6F1"/>
          </w:tcPr>
          <w:p>
            <w:pPr>
              <w:spacing w:before="40" w:after="40" w:line="276" w:lineRule="auto"/>
              <w:jc w:val="center"/>
            </w:pPr>
            <w:r/>
            <w:r>
              <w:rPr>
                <w:rFonts w:ascii="Times New Roman" w:hAnsi="Times New Roman" w:eastAsia="黑体"/>
                <w:b/>
                <w:i w:val="0"/>
                <w:sz w:val="21"/>
              </w:rPr>
              <w:t>问题</w:t>
            </w:r>
          </w:p>
        </w:tc>
        <w:tc>
          <w:tcPr>
            <w:tcW w:type="dxa" w:w="3572"/>
            <w:shd w:val="clear" w:color="auto" w:fill="DCE6F1"/>
          </w:tcPr>
          <w:p>
            <w:pPr>
              <w:spacing w:before="40" w:after="40" w:line="276" w:lineRule="auto"/>
              <w:jc w:val="center"/>
            </w:pPr>
            <w:r/>
            <w:r>
              <w:rPr>
                <w:rFonts w:ascii="Times New Roman" w:hAnsi="Times New Roman" w:eastAsia="黑体"/>
                <w:b/>
                <w:i w:val="0"/>
                <w:sz w:val="21"/>
              </w:rPr>
              <w:t>当前做法</w:t>
            </w:r>
          </w:p>
        </w:tc>
        <w:tc>
          <w:tcPr>
            <w:tcW w:type="dxa" w:w="3572"/>
            <w:shd w:val="clear" w:color="auto" w:fill="DCE6F1"/>
          </w:tcPr>
          <w:p>
            <w:pPr>
              <w:spacing w:before="40" w:after="40" w:line="276" w:lineRule="auto"/>
              <w:jc w:val="center"/>
            </w:pPr>
            <w:r/>
            <w:r>
              <w:rPr>
                <w:rFonts w:ascii="Times New Roman" w:hAnsi="Times New Roman" w:eastAsia="黑体"/>
                <w:b/>
                <w:i w:val="0"/>
                <w:sz w:val="21"/>
              </w:rPr>
              <w:t>本模块解法</w:t>
            </w:r>
          </w:p>
        </w:tc>
      </w:tr>
      <w:tr>
        <w:tc>
          <w:tcPr>
            <w:tcW w:type="dxa" w:w="1928"/>
          </w:tcPr>
          <w:p>
            <w:pPr>
              <w:spacing w:before="20" w:after="20" w:line="276" w:lineRule="auto"/>
              <w:ind w:firstLine="0"/>
            </w:pPr>
            <w:r/>
            <w:r>
              <w:rPr>
                <w:rFonts w:ascii="Times New Roman" w:hAnsi="Times New Roman" w:eastAsia="宋体"/>
                <w:b w:val="0"/>
                <w:i w:val="0"/>
                <w:sz w:val="21"/>
              </w:rPr>
              <w:t>仓储现场作业过程不可见</w:t>
            </w:r>
          </w:p>
        </w:tc>
        <w:tc>
          <w:tcPr>
            <w:tcW w:type="dxa" w:w="3572"/>
          </w:tcPr>
          <w:p>
            <w:pPr>
              <w:spacing w:before="20" w:after="20" w:line="276" w:lineRule="auto"/>
              <w:ind w:firstLine="0"/>
            </w:pPr>
            <w:r/>
            <w:r>
              <w:rPr>
                <w:rFonts w:ascii="Times New Roman" w:hAnsi="Times New Roman" w:eastAsia="宋体"/>
                <w:b w:val="0"/>
                <w:i w:val="0"/>
                <w:sz w:val="21"/>
              </w:rPr>
              <w:t>货物丢失、被冒领或错发之后才事后追查，没有现场画面可以回溯当时过程</w:t>
            </w:r>
          </w:p>
        </w:tc>
        <w:tc>
          <w:tcPr>
            <w:tcW w:type="dxa" w:w="3572"/>
          </w:tcPr>
          <w:p>
            <w:pPr>
              <w:spacing w:before="20" w:after="20" w:line="276" w:lineRule="auto"/>
              <w:ind w:firstLine="0"/>
            </w:pPr>
            <w:r/>
            <w:r>
              <w:rPr>
                <w:rFonts w:ascii="Times New Roman" w:hAnsi="Times New Roman" w:eastAsia="宋体"/>
                <w:b w:val="0"/>
                <w:i w:val="0"/>
                <w:sz w:val="21"/>
              </w:rPr>
              <w:t>按库点接入摄像头，提供多路实时画面预览与历史录像回放，作业过程可查</w:t>
            </w:r>
          </w:p>
        </w:tc>
      </w:tr>
      <w:tr>
        <w:tc>
          <w:tcPr>
            <w:tcW w:type="dxa" w:w="1928"/>
          </w:tcPr>
          <w:p>
            <w:pPr>
              <w:spacing w:before="20" w:after="20" w:line="276" w:lineRule="auto"/>
              <w:ind w:firstLine="0"/>
            </w:pPr>
            <w:r/>
            <w:r>
              <w:rPr>
                <w:rFonts w:ascii="Times New Roman" w:hAnsi="Times New Roman" w:eastAsia="宋体"/>
                <w:b w:val="0"/>
                <w:i w:val="0"/>
                <w:sz w:val="21"/>
              </w:rPr>
              <w:t>异常事件发现滞后</w:t>
            </w:r>
          </w:p>
        </w:tc>
        <w:tc>
          <w:tcPr>
            <w:tcW w:type="dxa" w:w="3572"/>
          </w:tcPr>
          <w:p>
            <w:pPr>
              <w:spacing w:before="20" w:after="20" w:line="276" w:lineRule="auto"/>
              <w:ind w:firstLine="0"/>
            </w:pPr>
            <w:r/>
            <w:r>
              <w:rPr>
                <w:rFonts w:ascii="Times New Roman" w:hAnsi="Times New Roman" w:eastAsia="宋体"/>
                <w:b w:val="0"/>
                <w:i w:val="0"/>
                <w:sz w:val="21"/>
              </w:rPr>
              <w:t>烟火、人员闯入、车辆滞留等异常完全依赖人工巡查才能发现</w:t>
            </w:r>
          </w:p>
        </w:tc>
        <w:tc>
          <w:tcPr>
            <w:tcW w:type="dxa" w:w="3572"/>
          </w:tcPr>
          <w:p>
            <w:pPr>
              <w:spacing w:before="20" w:after="20" w:line="276" w:lineRule="auto"/>
              <w:ind w:firstLine="0"/>
            </w:pPr>
            <w:r/>
            <w:r>
              <w:rPr>
                <w:rFonts w:ascii="Times New Roman" w:hAnsi="Times New Roman" w:eastAsia="宋体"/>
                <w:b w:val="0"/>
                <w:i w:val="0"/>
                <w:sz w:val="21"/>
              </w:rPr>
              <w:t>智能告警自动识别上述场景并实时推送，异常不必等人发现</w:t>
            </w:r>
          </w:p>
        </w:tc>
      </w:tr>
      <w:tr>
        <w:tc>
          <w:tcPr>
            <w:tcW w:type="dxa" w:w="1928"/>
          </w:tcPr>
          <w:p>
            <w:pPr>
              <w:spacing w:before="20" w:after="20" w:line="276" w:lineRule="auto"/>
              <w:ind w:firstLine="0"/>
            </w:pPr>
            <w:r/>
            <w:r>
              <w:rPr>
                <w:rFonts w:ascii="Times New Roman" w:hAnsi="Times New Roman" w:eastAsia="宋体"/>
                <w:b w:val="0"/>
                <w:i w:val="0"/>
                <w:sz w:val="21"/>
              </w:rPr>
              <w:t>录像留存完整性无据</w:t>
            </w:r>
          </w:p>
        </w:tc>
        <w:tc>
          <w:tcPr>
            <w:tcW w:type="dxa" w:w="3572"/>
          </w:tcPr>
          <w:p>
            <w:pPr>
              <w:spacing w:before="20" w:after="20" w:line="276" w:lineRule="auto"/>
              <w:ind w:firstLine="0"/>
            </w:pPr>
            <w:r/>
            <w:r>
              <w:rPr>
                <w:rFonts w:ascii="Times New Roman" w:hAnsi="Times New Roman" w:eastAsia="宋体"/>
                <w:b w:val="0"/>
                <w:i w:val="0"/>
                <w:sz w:val="21"/>
              </w:rPr>
              <w:t>事后无法证明录像是否完整、是否被覆盖，追溯结论不可靠</w:t>
            </w:r>
          </w:p>
        </w:tc>
        <w:tc>
          <w:tcPr>
            <w:tcW w:type="dxa" w:w="3572"/>
          </w:tcPr>
          <w:p>
            <w:pPr>
              <w:spacing w:before="20" w:after="20" w:line="276" w:lineRule="auto"/>
              <w:ind w:firstLine="0"/>
            </w:pPr>
            <w:r/>
            <w:r>
              <w:rPr>
                <w:rFonts w:ascii="Times New Roman" w:hAnsi="Times New Roman" w:eastAsia="宋体"/>
                <w:b w:val="0"/>
                <w:i w:val="0"/>
                <w:sz w:val="21"/>
              </w:rPr>
              <w:t>录像保留天数与完整性校验结果可查，录像丢失时主动告警</w:t>
            </w:r>
          </w:p>
        </w:tc>
      </w:tr>
      <w:tr>
        <w:tc>
          <w:tcPr>
            <w:tcW w:type="dxa" w:w="1928"/>
          </w:tcPr>
          <w:p>
            <w:pPr>
              <w:spacing w:before="20" w:after="20" w:line="276" w:lineRule="auto"/>
              <w:ind w:firstLine="0"/>
            </w:pPr>
            <w:r/>
            <w:r>
              <w:rPr>
                <w:rFonts w:ascii="Times New Roman" w:hAnsi="Times New Roman" w:eastAsia="宋体"/>
                <w:b w:val="0"/>
                <w:i w:val="0"/>
                <w:sz w:val="21"/>
              </w:rPr>
              <w:t>远程复核缺少通道</w:t>
            </w:r>
          </w:p>
        </w:tc>
        <w:tc>
          <w:tcPr>
            <w:tcW w:type="dxa" w:w="3572"/>
          </w:tcPr>
          <w:p>
            <w:pPr>
              <w:spacing w:before="20" w:after="20" w:line="276" w:lineRule="auto"/>
              <w:ind w:firstLine="0"/>
            </w:pPr>
            <w:r/>
            <w:r>
              <w:rPr>
                <w:rFonts w:ascii="Times New Roman" w:hAnsi="Times New Roman" w:eastAsia="宋体"/>
                <w:b w:val="0"/>
                <w:i w:val="0"/>
                <w:sz w:val="21"/>
              </w:rPr>
              <w:t>风控与客户想确认装卸过程，只能到现场或电话询问</w:t>
            </w:r>
          </w:p>
        </w:tc>
        <w:tc>
          <w:tcPr>
            <w:tcW w:type="dxa" w:w="3572"/>
          </w:tcPr>
          <w:p>
            <w:pPr>
              <w:spacing w:before="20" w:after="20" w:line="276" w:lineRule="auto"/>
              <w:ind w:firstLine="0"/>
            </w:pPr>
            <w:r/>
            <w:r>
              <w:rPr>
                <w:rFonts w:ascii="Times New Roman" w:hAnsi="Times New Roman" w:eastAsia="宋体"/>
                <w:b w:val="0"/>
                <w:i w:val="0"/>
                <w:sz w:val="21"/>
              </w:rPr>
              <w:t>出入库单与放货指令详情页可直接调取关联监控画面，远程即可复核履约真实性</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4.24.2　背景与目标</w:t>
      </w:r>
    </w:p>
    <w:tbl>
      <w:tblPr>
        <w:tblStyle w:val="TableGrid"/>
        <w:tblW w:type="auto" w:w="0"/>
        <w:jc w:val="center"/>
        <w:tblLayout w:type="fixed"/>
        <w:tblLook w:firstColumn="1" w:firstRow="1" w:lastColumn="0" w:lastRow="0" w:noHBand="0" w:noVBand="1" w:val="04A0"/>
      </w:tblPr>
      <w:tblGrid>
        <w:gridCol w:w="8958"/>
      </w:tblGrid>
      <w:tr>
        <w:trPr>
          <w:tblHeader w:val="true"/>
        </w:trPr>
        <w:tc>
          <w:tcPr>
            <w:tcW w:type="dxa" w:w="9071"/>
            <w:shd w:val="clear" w:color="auto" w:fill="DCE6F1"/>
          </w:tcPr>
          <w:p>
            <w:pPr>
              <w:spacing w:before="40" w:after="40" w:line="276" w:lineRule="auto"/>
              <w:jc w:val="center"/>
            </w:pPr>
            <w:r/>
            <w:r>
              <w:rPr>
                <w:rFonts w:ascii="Times New Roman" w:hAnsi="Times New Roman" w:eastAsia="黑体"/>
                <w:b/>
                <w:i w:val="0"/>
                <w:sz w:val="21"/>
              </w:rPr>
              <w:t>目标 / 衡量口径</w:t>
            </w:r>
          </w:p>
        </w:tc>
      </w:tr>
      <w:tr>
        <w:tc>
          <w:tcPr>
            <w:tcW w:type="dxa" w:w="9071"/>
          </w:tcPr>
          <w:p>
            <w:pPr>
              <w:spacing w:before="20" w:after="20" w:line="276" w:lineRule="auto"/>
              <w:ind w:firstLine="0"/>
            </w:pPr>
            <w:r/>
            <w:r>
              <w:rPr>
                <w:rFonts w:ascii="Times New Roman" w:hAnsi="Times New Roman" w:eastAsia="宋体"/>
                <w:b w:val="0"/>
                <w:i w:val="0"/>
                <w:sz w:val="21"/>
              </w:rPr>
              <w:t>库点摄像头实时画面支持最多 4×4 共 16 路同时预览</w:t>
            </w:r>
          </w:p>
        </w:tc>
      </w:tr>
      <w:tr>
        <w:tc>
          <w:tcPr>
            <w:tcW w:type="dxa" w:w="9071"/>
          </w:tcPr>
          <w:p>
            <w:pPr>
              <w:spacing w:before="20" w:after="20" w:line="276" w:lineRule="auto"/>
              <w:ind w:firstLine="0"/>
            </w:pPr>
            <w:r/>
            <w:r>
              <w:rPr>
                <w:rFonts w:ascii="Times New Roman" w:hAnsi="Times New Roman" w:eastAsia="宋体"/>
                <w:b w:val="0"/>
                <w:i w:val="0"/>
                <w:sz w:val="21"/>
              </w:rPr>
              <w:t>历史录像支持 7×24 小时回放，提供时间轴拖动与倍速播放</w:t>
            </w:r>
          </w:p>
        </w:tc>
      </w:tr>
      <w:tr>
        <w:tc>
          <w:tcPr>
            <w:tcW w:type="dxa" w:w="9071"/>
          </w:tcPr>
          <w:p>
            <w:pPr>
              <w:spacing w:before="20" w:after="20" w:line="276" w:lineRule="auto"/>
              <w:ind w:firstLine="0"/>
            </w:pPr>
            <w:r/>
            <w:r>
              <w:rPr>
                <w:rFonts w:ascii="Times New Roman" w:hAnsi="Times New Roman" w:eastAsia="宋体"/>
                <w:b w:val="0"/>
                <w:i w:val="0"/>
                <w:sz w:val="21"/>
              </w:rPr>
              <w:t>人员闯入、烟火检测、车辆滞留等异常由智能识别自动告警并实时推送</w:t>
            </w:r>
          </w:p>
        </w:tc>
      </w:tr>
      <w:tr>
        <w:tc>
          <w:tcPr>
            <w:tcW w:type="dxa" w:w="9071"/>
          </w:tcPr>
          <w:p>
            <w:pPr>
              <w:spacing w:before="20" w:after="20" w:line="276" w:lineRule="auto"/>
              <w:ind w:firstLine="0"/>
            </w:pPr>
            <w:r/>
            <w:r>
              <w:rPr>
                <w:rFonts w:ascii="Times New Roman" w:hAnsi="Times New Roman" w:eastAsia="宋体"/>
                <w:b w:val="0"/>
                <w:i w:val="0"/>
                <w:sz w:val="21"/>
              </w:rPr>
              <w:t>告警事件可分类登记并进入处理流程闭环</w:t>
            </w:r>
          </w:p>
        </w:tc>
      </w:tr>
    </w:tbl>
    <w:p>
      <w:pPr>
        <w:spacing w:before="0" w:after="0" w:line="240" w:lineRule="auto"/>
      </w:pPr>
    </w:p>
    <w:p>
      <w:pPr>
        <w:spacing w:before="80" w:after="120" w:line="360" w:lineRule="auto"/>
      </w:pPr>
      <w:r>
        <w:rPr>
          <w:rFonts w:ascii="Times New Roman" w:hAnsi="Times New Roman" w:eastAsia="宋体"/>
          <w:b w:val="0"/>
          <w:i w:val="0"/>
          <w:color w:val="595959"/>
          <w:sz w:val="21"/>
        </w:rPr>
        <w:t>说明：文中口径以业务方已确认结论为准；未确认项集中列于本章末与第 5 章。</w:t>
      </w:r>
    </w:p>
    <w:p>
      <w:pPr>
        <w:pStyle w:val="Heading3"/>
        <w:keepNext/>
        <w:spacing w:before="160" w:after="80" w:line="312" w:lineRule="auto"/>
        <w:ind w:firstLine="0"/>
      </w:pPr>
      <w:r>
        <w:rPr>
          <w:rFonts w:ascii="Times New Roman" w:hAnsi="Times New Roman" w:eastAsia="黑体"/>
          <w:b/>
          <w:i w:val="0"/>
          <w:sz w:val="24"/>
        </w:rPr>
        <w:t>4.24.3　角色与用户需求</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361"/>
            <w:shd w:val="clear" w:color="auto" w:fill="DCE6F1"/>
          </w:tcPr>
          <w:p>
            <w:pPr>
              <w:spacing w:before="40" w:after="40" w:line="276" w:lineRule="auto"/>
              <w:jc w:val="center"/>
            </w:pPr>
            <w:r/>
            <w:r>
              <w:rPr>
                <w:rFonts w:ascii="Times New Roman" w:hAnsi="Times New Roman" w:eastAsia="黑体"/>
                <w:b/>
                <w:i w:val="0"/>
                <w:sz w:val="21"/>
              </w:rPr>
              <w:t>角色</w:t>
            </w:r>
          </w:p>
        </w:tc>
        <w:tc>
          <w:tcPr>
            <w:tcW w:type="dxa" w:w="1247"/>
            <w:shd w:val="clear" w:color="auto" w:fill="DCE6F1"/>
          </w:tcPr>
          <w:p>
            <w:pPr>
              <w:spacing w:before="40" w:after="40" w:line="276" w:lineRule="auto"/>
              <w:jc w:val="center"/>
            </w:pPr>
            <w:r/>
            <w:r>
              <w:rPr>
                <w:rFonts w:ascii="Times New Roman" w:hAnsi="Times New Roman" w:eastAsia="黑体"/>
                <w:b/>
                <w:i w:val="0"/>
                <w:sz w:val="21"/>
              </w:rPr>
              <w:t>所属部门</w:t>
            </w:r>
          </w:p>
        </w:tc>
        <w:tc>
          <w:tcPr>
            <w:tcW w:type="dxa" w:w="6463"/>
            <w:shd w:val="clear" w:color="auto" w:fill="DCE6F1"/>
          </w:tcPr>
          <w:p>
            <w:pPr>
              <w:spacing w:before="40" w:after="40" w:line="276" w:lineRule="auto"/>
              <w:jc w:val="center"/>
            </w:pPr>
            <w:r/>
            <w:r>
              <w:rPr>
                <w:rFonts w:ascii="Times New Roman" w:hAnsi="Times New Roman" w:eastAsia="黑体"/>
                <w:b/>
                <w:i w:val="0"/>
                <w:sz w:val="21"/>
              </w:rPr>
              <w:t>用户需求（我要…以便…）</w:t>
            </w:r>
          </w:p>
        </w:tc>
      </w:tr>
      <w:tr>
        <w:tc>
          <w:tcPr>
            <w:tcW w:type="dxa" w:w="1361"/>
          </w:tcPr>
          <w:p>
            <w:pPr>
              <w:spacing w:before="20" w:after="20" w:line="276" w:lineRule="auto"/>
              <w:ind w:firstLine="0"/>
            </w:pPr>
            <w:r/>
            <w:r>
              <w:rPr>
                <w:rFonts w:ascii="Times New Roman" w:hAnsi="Times New Roman" w:eastAsia="宋体"/>
                <w:b w:val="0"/>
                <w:i w:val="0"/>
                <w:sz w:val="21"/>
              </w:rPr>
              <w:t>仓储部库管员</w:t>
            </w:r>
          </w:p>
        </w:tc>
        <w:tc>
          <w:tcPr>
            <w:tcW w:type="dxa" w:w="1247"/>
          </w:tcPr>
          <w:p>
            <w:pPr>
              <w:spacing w:before="20" w:after="20" w:line="276" w:lineRule="auto"/>
              <w:ind w:firstLine="0"/>
            </w:pPr>
            <w:r/>
            <w:r>
              <w:rPr>
                <w:rFonts w:ascii="Times New Roman" w:hAnsi="Times New Roman" w:eastAsia="宋体"/>
                <w:b w:val="0"/>
                <w:i w:val="0"/>
                <w:sz w:val="21"/>
              </w:rPr>
              <w:t>仓储部</w:t>
            </w:r>
          </w:p>
        </w:tc>
        <w:tc>
          <w:tcPr>
            <w:tcW w:type="dxa" w:w="6463"/>
          </w:tcPr>
          <w:p>
            <w:pPr>
              <w:spacing w:before="20" w:after="20" w:line="276" w:lineRule="auto"/>
              <w:ind w:firstLine="0"/>
            </w:pPr>
            <w:r/>
            <w:r>
              <w:rPr>
                <w:rFonts w:ascii="Times New Roman" w:hAnsi="Times New Roman" w:eastAsia="宋体"/>
                <w:b w:val="0"/>
                <w:i w:val="0"/>
                <w:sz w:val="21"/>
              </w:rPr>
              <w:t>我要实时查看库点作业画面，以便及时发现货损与冒领</w:t>
            </w:r>
          </w:p>
        </w:tc>
      </w:tr>
      <w:tr>
        <w:tc>
          <w:tcPr>
            <w:tcW w:type="dxa" w:w="1361"/>
          </w:tcPr>
          <w:p>
            <w:pPr>
              <w:spacing w:before="20" w:after="20" w:line="276" w:lineRule="auto"/>
              <w:ind w:firstLine="0"/>
            </w:pPr>
            <w:r/>
            <w:r>
              <w:rPr>
                <w:rFonts w:ascii="Times New Roman" w:hAnsi="Times New Roman" w:eastAsia="宋体"/>
                <w:b w:val="0"/>
                <w:i w:val="0"/>
                <w:sz w:val="21"/>
              </w:rPr>
              <w:t>仓储方运维人员</w:t>
            </w:r>
          </w:p>
        </w:tc>
        <w:tc>
          <w:tcPr>
            <w:tcW w:type="dxa" w:w="1247"/>
          </w:tcPr>
          <w:p>
            <w:pPr>
              <w:spacing w:before="20" w:after="20" w:line="276" w:lineRule="auto"/>
              <w:ind w:firstLine="0"/>
            </w:pPr>
            <w:r/>
            <w:r>
              <w:rPr>
                <w:rFonts w:ascii="Times New Roman" w:hAnsi="Times New Roman" w:eastAsia="宋体"/>
                <w:b w:val="0"/>
                <w:i w:val="0"/>
                <w:sz w:val="21"/>
              </w:rPr>
              <w:t>第三方仓储方</w:t>
            </w:r>
          </w:p>
        </w:tc>
        <w:tc>
          <w:tcPr>
            <w:tcW w:type="dxa" w:w="6463"/>
          </w:tcPr>
          <w:p>
            <w:pPr>
              <w:spacing w:before="20" w:after="20" w:line="276" w:lineRule="auto"/>
              <w:ind w:firstLine="0"/>
            </w:pPr>
            <w:r/>
            <w:r>
              <w:rPr>
                <w:rFonts w:ascii="Times New Roman" w:hAnsi="Times New Roman" w:eastAsia="宋体"/>
                <w:b w:val="0"/>
                <w:i w:val="0"/>
                <w:sz w:val="21"/>
              </w:rPr>
              <w:t>我要查看摄像头在线状态与录像完整性，以便处置设备离线与录像丢失</w:t>
            </w:r>
          </w:p>
        </w:tc>
      </w:tr>
      <w:tr>
        <w:tc>
          <w:tcPr>
            <w:tcW w:type="dxa" w:w="1361"/>
          </w:tcPr>
          <w:p>
            <w:pPr>
              <w:spacing w:before="20" w:after="20" w:line="276" w:lineRule="auto"/>
              <w:ind w:firstLine="0"/>
            </w:pPr>
            <w:r/>
            <w:r>
              <w:rPr>
                <w:rFonts w:ascii="Times New Roman" w:hAnsi="Times New Roman" w:eastAsia="宋体"/>
                <w:b w:val="0"/>
                <w:i w:val="0"/>
                <w:sz w:val="21"/>
              </w:rPr>
              <w:t>风控审核员</w:t>
            </w:r>
          </w:p>
        </w:tc>
        <w:tc>
          <w:tcPr>
            <w:tcW w:type="dxa" w:w="1247"/>
          </w:tcPr>
          <w:p>
            <w:pPr>
              <w:spacing w:before="20" w:after="20" w:line="276" w:lineRule="auto"/>
              <w:ind w:firstLine="0"/>
            </w:pPr>
            <w:r/>
            <w:r>
              <w:rPr>
                <w:rFonts w:ascii="Times New Roman" w:hAnsi="Times New Roman" w:eastAsia="宋体"/>
                <w:b w:val="0"/>
                <w:i w:val="0"/>
                <w:sz w:val="21"/>
              </w:rPr>
              <w:t>风控部</w:t>
            </w:r>
          </w:p>
        </w:tc>
        <w:tc>
          <w:tcPr>
            <w:tcW w:type="dxa" w:w="6463"/>
          </w:tcPr>
          <w:p>
            <w:pPr>
              <w:spacing w:before="20" w:after="20" w:line="276" w:lineRule="auto"/>
              <w:ind w:firstLine="0"/>
            </w:pPr>
            <w:r/>
            <w:r>
              <w:rPr>
                <w:rFonts w:ascii="Times New Roman" w:hAnsi="Times New Roman" w:eastAsia="宋体"/>
                <w:b w:val="0"/>
                <w:i w:val="0"/>
                <w:sz w:val="21"/>
              </w:rPr>
              <w:t>我要远程审查出入库过程录像，以便复核履约真实性</w:t>
            </w:r>
          </w:p>
        </w:tc>
      </w:tr>
      <w:tr>
        <w:tc>
          <w:tcPr>
            <w:tcW w:type="dxa" w:w="1361"/>
          </w:tcPr>
          <w:p>
            <w:pPr>
              <w:spacing w:before="20" w:after="20" w:line="276" w:lineRule="auto"/>
              <w:ind w:firstLine="0"/>
            </w:pPr>
            <w:r/>
            <w:r>
              <w:rPr>
                <w:rFonts w:ascii="Times New Roman" w:hAnsi="Times New Roman" w:eastAsia="宋体"/>
                <w:b w:val="0"/>
                <w:i w:val="0"/>
                <w:sz w:val="21"/>
              </w:rPr>
              <w:t>业务员</w:t>
            </w:r>
          </w:p>
        </w:tc>
        <w:tc>
          <w:tcPr>
            <w:tcW w:type="dxa" w:w="1247"/>
          </w:tcPr>
          <w:p>
            <w:pPr>
              <w:spacing w:before="20" w:after="20" w:line="276" w:lineRule="auto"/>
              <w:ind w:firstLine="0"/>
            </w:pPr>
            <w:r/>
            <w:r>
              <w:rPr>
                <w:rFonts w:ascii="Times New Roman" w:hAnsi="Times New Roman" w:eastAsia="宋体"/>
                <w:b w:val="0"/>
                <w:i w:val="0"/>
                <w:sz w:val="21"/>
              </w:rPr>
              <w:t>业务部</w:t>
            </w:r>
          </w:p>
        </w:tc>
        <w:tc>
          <w:tcPr>
            <w:tcW w:type="dxa" w:w="6463"/>
          </w:tcPr>
          <w:p>
            <w:pPr>
              <w:spacing w:before="20" w:after="20" w:line="276" w:lineRule="auto"/>
              <w:ind w:firstLine="0"/>
            </w:pPr>
            <w:r/>
            <w:r>
              <w:rPr>
                <w:rFonts w:ascii="Times New Roman" w:hAnsi="Times New Roman" w:eastAsia="宋体"/>
                <w:b w:val="0"/>
                <w:i w:val="0"/>
                <w:sz w:val="21"/>
              </w:rPr>
              <w:t>我要从单据详情调取关联监控，以便向客户说明货物存储状态</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4.24.4　功能结构与范围</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474"/>
            <w:shd w:val="clear" w:color="auto" w:fill="DCE6F1"/>
          </w:tcPr>
          <w:p>
            <w:pPr>
              <w:spacing w:before="40" w:after="40" w:line="276" w:lineRule="auto"/>
              <w:jc w:val="center"/>
            </w:pPr>
            <w:r/>
            <w:r>
              <w:rPr>
                <w:rFonts w:ascii="Times New Roman" w:hAnsi="Times New Roman" w:eastAsia="黑体"/>
                <w:b/>
                <w:i w:val="0"/>
                <w:sz w:val="21"/>
              </w:rPr>
              <w:t>功能</w:t>
            </w:r>
          </w:p>
        </w:tc>
        <w:tc>
          <w:tcPr>
            <w:tcW w:type="dxa" w:w="3175"/>
            <w:shd w:val="clear" w:color="auto" w:fill="DCE6F1"/>
          </w:tcPr>
          <w:p>
            <w:pPr>
              <w:spacing w:before="40" w:after="40" w:line="276" w:lineRule="auto"/>
              <w:jc w:val="center"/>
            </w:pPr>
            <w:r/>
            <w:r>
              <w:rPr>
                <w:rFonts w:ascii="Times New Roman" w:hAnsi="Times New Roman" w:eastAsia="黑体"/>
                <w:b/>
                <w:i w:val="0"/>
                <w:sz w:val="21"/>
              </w:rPr>
              <w:t>功能说明</w:t>
            </w:r>
          </w:p>
        </w:tc>
        <w:tc>
          <w:tcPr>
            <w:tcW w:type="dxa" w:w="4422"/>
            <w:shd w:val="clear" w:color="auto" w:fill="DCE6F1"/>
          </w:tcPr>
          <w:p>
            <w:pPr>
              <w:spacing w:before="40" w:after="40" w:line="276" w:lineRule="auto"/>
              <w:jc w:val="center"/>
            </w:pPr>
            <w:r/>
            <w:r>
              <w:rPr>
                <w:rFonts w:ascii="Times New Roman" w:hAnsi="Times New Roman" w:eastAsia="黑体"/>
                <w:b/>
                <w:i w:val="0"/>
                <w:sz w:val="21"/>
              </w:rPr>
              <w:t>关键规则</w:t>
            </w:r>
          </w:p>
        </w:tc>
      </w:tr>
      <w:tr>
        <w:tc>
          <w:tcPr>
            <w:tcW w:type="dxa" w:w="1474"/>
          </w:tcPr>
          <w:p>
            <w:pPr>
              <w:spacing w:before="20" w:after="20" w:line="276" w:lineRule="auto"/>
              <w:ind w:firstLine="0"/>
            </w:pPr>
            <w:r/>
            <w:r>
              <w:rPr>
                <w:rFonts w:ascii="Times New Roman" w:hAnsi="Times New Roman" w:eastAsia="宋体"/>
                <w:b w:val="0"/>
                <w:i w:val="0"/>
                <w:sz w:val="21"/>
              </w:rPr>
              <w:t>库点实时画面</w:t>
            </w:r>
          </w:p>
        </w:tc>
        <w:tc>
          <w:tcPr>
            <w:tcW w:type="dxa" w:w="3175"/>
          </w:tcPr>
          <w:p>
            <w:pPr>
              <w:spacing w:before="20" w:after="20" w:line="276" w:lineRule="auto"/>
              <w:ind w:firstLine="0"/>
            </w:pPr>
            <w:r/>
            <w:r>
              <w:rPr>
                <w:rFonts w:ascii="Times New Roman" w:hAnsi="Times New Roman" w:eastAsia="宋体"/>
                <w:b w:val="0"/>
                <w:i w:val="0"/>
                <w:sz w:val="21"/>
              </w:rPr>
              <w:t>按库点调取摄像头实时画面，支持多路分屏同时预览</w:t>
            </w:r>
          </w:p>
        </w:tc>
        <w:tc>
          <w:tcPr>
            <w:tcW w:type="dxa" w:w="4422"/>
          </w:tcPr>
          <w:p>
            <w:pPr>
              <w:spacing w:before="20" w:after="20" w:line="276" w:lineRule="auto"/>
              <w:ind w:firstLine="0"/>
            </w:pPr>
            <w:r/>
            <w:r>
              <w:rPr>
                <w:rFonts w:ascii="Times New Roman" w:hAnsi="Times New Roman" w:eastAsia="宋体"/>
                <w:b w:val="0"/>
                <w:i w:val="0"/>
                <w:sz w:val="21"/>
              </w:rPr>
              <w:t>支持多库点分屏查看，单屏最多 4×4 共 16 路同时预览；实时画面走 RTSP 或 HLS 协议接入</w:t>
            </w:r>
          </w:p>
        </w:tc>
      </w:tr>
      <w:tr>
        <w:tc>
          <w:tcPr>
            <w:tcW w:type="dxa" w:w="1474"/>
          </w:tcPr>
          <w:p>
            <w:pPr>
              <w:spacing w:before="20" w:after="20" w:line="276" w:lineRule="auto"/>
              <w:ind w:firstLine="0"/>
            </w:pPr>
            <w:r/>
            <w:r>
              <w:rPr>
                <w:rFonts w:ascii="Times New Roman" w:hAnsi="Times New Roman" w:eastAsia="宋体"/>
                <w:b w:val="0"/>
                <w:i w:val="0"/>
                <w:sz w:val="21"/>
              </w:rPr>
              <w:t>历史录像回放</w:t>
            </w:r>
          </w:p>
        </w:tc>
        <w:tc>
          <w:tcPr>
            <w:tcW w:type="dxa" w:w="3175"/>
          </w:tcPr>
          <w:p>
            <w:pPr>
              <w:spacing w:before="20" w:after="20" w:line="276" w:lineRule="auto"/>
              <w:ind w:firstLine="0"/>
            </w:pPr>
            <w:r/>
            <w:r>
              <w:rPr>
                <w:rFonts w:ascii="Times New Roman" w:hAnsi="Times New Roman" w:eastAsia="宋体"/>
                <w:b w:val="0"/>
                <w:i w:val="0"/>
                <w:sz w:val="21"/>
              </w:rPr>
              <w:t>按时间轴回放历史录像</w:t>
            </w:r>
          </w:p>
        </w:tc>
        <w:tc>
          <w:tcPr>
            <w:tcW w:type="dxa" w:w="4422"/>
          </w:tcPr>
          <w:p>
            <w:pPr>
              <w:spacing w:before="20" w:after="20" w:line="276" w:lineRule="auto"/>
              <w:ind w:firstLine="0"/>
            </w:pPr>
            <w:r/>
            <w:r>
              <w:rPr>
                <w:rFonts w:ascii="Times New Roman" w:hAnsi="Times New Roman" w:eastAsia="宋体"/>
                <w:b w:val="0"/>
                <w:i w:val="0"/>
                <w:sz w:val="21"/>
              </w:rPr>
              <w:t>支持 7×24 小时录像回放，提供时间轴拖动与倍速播放；录像保留天数默认 30 天</w:t>
            </w:r>
          </w:p>
        </w:tc>
      </w:tr>
      <w:tr>
        <w:tc>
          <w:tcPr>
            <w:tcW w:type="dxa" w:w="1474"/>
          </w:tcPr>
          <w:p>
            <w:pPr>
              <w:spacing w:before="20" w:after="20" w:line="276" w:lineRule="auto"/>
              <w:ind w:firstLine="0"/>
            </w:pPr>
            <w:r/>
            <w:r>
              <w:rPr>
                <w:rFonts w:ascii="Times New Roman" w:hAnsi="Times New Roman" w:eastAsia="宋体"/>
                <w:b w:val="0"/>
                <w:i w:val="0"/>
                <w:sz w:val="21"/>
              </w:rPr>
              <w:t>智能异常告警</w:t>
            </w:r>
          </w:p>
        </w:tc>
        <w:tc>
          <w:tcPr>
            <w:tcW w:type="dxa" w:w="3175"/>
          </w:tcPr>
          <w:p>
            <w:pPr>
              <w:spacing w:before="20" w:after="20" w:line="276" w:lineRule="auto"/>
              <w:ind w:firstLine="0"/>
            </w:pPr>
            <w:r/>
            <w:r>
              <w:rPr>
                <w:rFonts w:ascii="Times New Roman" w:hAnsi="Times New Roman" w:eastAsia="宋体"/>
                <w:b w:val="0"/>
                <w:i w:val="0"/>
                <w:sz w:val="21"/>
              </w:rPr>
              <w:t>由视频流自动识别异常场景并生成告警</w:t>
            </w:r>
          </w:p>
        </w:tc>
        <w:tc>
          <w:tcPr>
            <w:tcW w:type="dxa" w:w="4422"/>
          </w:tcPr>
          <w:p>
            <w:pPr>
              <w:spacing w:before="20" w:after="20" w:line="276" w:lineRule="auto"/>
              <w:ind w:firstLine="0"/>
            </w:pPr>
            <w:r/>
            <w:r>
              <w:rPr>
                <w:rFonts w:ascii="Times New Roman" w:hAnsi="Times New Roman" w:eastAsia="宋体"/>
                <w:b w:val="0"/>
                <w:i w:val="0"/>
                <w:sz w:val="21"/>
              </w:rPr>
              <w:t>人员闯入、烟火检测、车辆滞留等场景自动识别并告警；告警实时推送；告警事件按类型分类并进入处理流程闭环</w:t>
            </w:r>
          </w:p>
        </w:tc>
      </w:tr>
      <w:tr>
        <w:tc>
          <w:tcPr>
            <w:tcW w:type="dxa" w:w="1474"/>
          </w:tcPr>
          <w:p>
            <w:pPr>
              <w:spacing w:before="20" w:after="20" w:line="276" w:lineRule="auto"/>
              <w:ind w:firstLine="0"/>
            </w:pPr>
            <w:r/>
            <w:r>
              <w:rPr>
                <w:rFonts w:ascii="Times New Roman" w:hAnsi="Times New Roman" w:eastAsia="宋体"/>
                <w:b w:val="0"/>
                <w:i w:val="0"/>
                <w:sz w:val="21"/>
              </w:rPr>
              <w:t>云台控制</w:t>
            </w:r>
          </w:p>
        </w:tc>
        <w:tc>
          <w:tcPr>
            <w:tcW w:type="dxa" w:w="3175"/>
          </w:tcPr>
          <w:p>
            <w:pPr>
              <w:spacing w:before="20" w:after="20" w:line="276" w:lineRule="auto"/>
              <w:ind w:firstLine="0"/>
            </w:pPr>
            <w:r/>
            <w:r>
              <w:rPr>
                <w:rFonts w:ascii="Times New Roman" w:hAnsi="Times New Roman" w:eastAsia="宋体"/>
                <w:b w:val="0"/>
                <w:i w:val="0"/>
                <w:sz w:val="21"/>
              </w:rPr>
              <w:t>对云台摄像头进行远程视角与镜头控制</w:t>
            </w:r>
          </w:p>
        </w:tc>
        <w:tc>
          <w:tcPr>
            <w:tcW w:type="dxa" w:w="4422"/>
          </w:tcPr>
          <w:p>
            <w:pPr>
              <w:spacing w:before="20" w:after="20" w:line="276" w:lineRule="auto"/>
              <w:ind w:firstLine="0"/>
            </w:pPr>
            <w:r/>
            <w:r>
              <w:rPr>
                <w:rFonts w:ascii="Times New Roman" w:hAnsi="Times New Roman" w:eastAsia="宋体"/>
                <w:b w:val="0"/>
                <w:i w:val="0"/>
                <w:sz w:val="21"/>
              </w:rPr>
              <w:t>支持上下左右移动、变倍与聚焦三类控制动作；仅对支持云台的摄像头生效</w:t>
            </w:r>
          </w:p>
        </w:tc>
      </w:tr>
      <w:tr>
        <w:tc>
          <w:tcPr>
            <w:tcW w:type="dxa" w:w="1474"/>
          </w:tcPr>
          <w:p>
            <w:pPr>
              <w:spacing w:before="20" w:after="20" w:line="276" w:lineRule="auto"/>
              <w:ind w:firstLine="0"/>
            </w:pPr>
            <w:r/>
            <w:r>
              <w:rPr>
                <w:rFonts w:ascii="Times New Roman" w:hAnsi="Times New Roman" w:eastAsia="宋体"/>
                <w:b w:val="0"/>
                <w:i w:val="0"/>
                <w:sz w:val="21"/>
              </w:rPr>
              <w:t>摄像头台账</w:t>
            </w:r>
          </w:p>
        </w:tc>
        <w:tc>
          <w:tcPr>
            <w:tcW w:type="dxa" w:w="3175"/>
          </w:tcPr>
          <w:p>
            <w:pPr>
              <w:spacing w:before="20" w:after="20" w:line="276" w:lineRule="auto"/>
              <w:ind w:firstLine="0"/>
            </w:pPr>
            <w:r/>
            <w:r>
              <w:rPr>
                <w:rFonts w:ascii="Times New Roman" w:hAnsi="Times New Roman" w:eastAsia="宋体"/>
                <w:b w:val="0"/>
                <w:i w:val="0"/>
                <w:sz w:val="21"/>
              </w:rPr>
              <w:t>维护摄像头的基础信息与在线状态</w:t>
            </w:r>
          </w:p>
        </w:tc>
        <w:tc>
          <w:tcPr>
            <w:tcW w:type="dxa" w:w="4422"/>
          </w:tcPr>
          <w:p>
            <w:pPr>
              <w:spacing w:before="20" w:after="20" w:line="276" w:lineRule="auto"/>
              <w:ind w:firstLine="0"/>
            </w:pPr>
            <w:r/>
            <w:r>
              <w:rPr>
                <w:rFonts w:ascii="Times New Roman" w:hAnsi="Times New Roman" w:eastAsia="宋体"/>
                <w:b w:val="0"/>
                <w:i w:val="0"/>
                <w:sz w:val="21"/>
              </w:rPr>
              <w:t>摄像头 ID 由系统自动生成；安装位置枚举为大门、卸货区、库内、办公区、周界；在线状态枚举为在线、离线、故障；最后心跳按 yyyy-MM-dd HH:mm:ss 记录；IP 地址按 192.168.x.x 形式的内网地址记录</w:t>
            </w:r>
          </w:p>
        </w:tc>
      </w:tr>
      <w:tr>
        <w:tc>
          <w:tcPr>
            <w:tcW w:type="dxa" w:w="1474"/>
          </w:tcPr>
          <w:p>
            <w:pPr>
              <w:spacing w:before="20" w:after="20" w:line="276" w:lineRule="auto"/>
              <w:ind w:firstLine="0"/>
            </w:pPr>
            <w:r/>
            <w:r>
              <w:rPr>
                <w:rFonts w:ascii="Times New Roman" w:hAnsi="Times New Roman" w:eastAsia="宋体"/>
                <w:b w:val="0"/>
                <w:i w:val="0"/>
                <w:sz w:val="21"/>
              </w:rPr>
              <w:t>视频监控与仓储单据联动</w:t>
            </w:r>
          </w:p>
        </w:tc>
        <w:tc>
          <w:tcPr>
            <w:tcW w:type="dxa" w:w="3175"/>
          </w:tcPr>
          <w:p>
            <w:pPr>
              <w:spacing w:before="20" w:after="20" w:line="276" w:lineRule="auto"/>
              <w:ind w:firstLine="0"/>
            </w:pPr>
            <w:r/>
            <w:r>
              <w:rPr>
                <w:rFonts w:ascii="Times New Roman" w:hAnsi="Times New Roman" w:eastAsia="宋体"/>
                <w:b w:val="0"/>
                <w:i w:val="0"/>
                <w:sz w:val="21"/>
              </w:rPr>
              <w:t>从入库单详情、放货指令详情与预警中心进入监控画面</w:t>
            </w:r>
          </w:p>
        </w:tc>
        <w:tc>
          <w:tcPr>
            <w:tcW w:type="dxa" w:w="4422"/>
          </w:tcPr>
          <w:p>
            <w:pPr>
              <w:spacing w:before="20" w:after="20" w:line="276" w:lineRule="auto"/>
              <w:ind w:firstLine="0"/>
            </w:pPr>
            <w:r/>
            <w:r>
              <w:rPr>
                <w:rFonts w:ascii="Times New Roman" w:hAnsi="Times New Roman" w:eastAsia="宋体"/>
                <w:b w:val="0"/>
                <w:i w:val="0"/>
                <w:sz w:val="21"/>
              </w:rPr>
              <w:t>入库单详情与放货指令详情可按关联单据号进入监控画面；预警中心的异常事件告警可按摄像头编号进入监控画面</w:t>
            </w:r>
          </w:p>
        </w:tc>
      </w:tr>
    </w:tbl>
    <w:p>
      <w:pPr>
        <w:spacing w:before="0" w:after="0" w:line="240" w:lineRule="auto"/>
      </w:pP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tblGrid>
      <w:tr>
        <w:trPr>
          <w:tblHeader w:val="true"/>
        </w:trPr>
        <w:tc>
          <w:tcPr>
            <w:tcW w:type="dxa" w:w="1247"/>
            <w:shd w:val="clear" w:color="auto" w:fill="DCE6F1"/>
          </w:tcPr>
          <w:p>
            <w:pPr>
              <w:spacing w:before="40" w:after="40" w:line="276" w:lineRule="auto"/>
              <w:jc w:val="center"/>
            </w:pPr>
            <w:r/>
            <w:r>
              <w:rPr>
                <w:rFonts w:ascii="Times New Roman" w:hAnsi="Times New Roman" w:eastAsia="黑体"/>
                <w:b/>
                <w:i w:val="0"/>
                <w:sz w:val="19"/>
              </w:rPr>
              <w:t>页面</w:t>
            </w:r>
          </w:p>
        </w:tc>
        <w:tc>
          <w:tcPr>
            <w:tcW w:type="dxa" w:w="1474"/>
            <w:shd w:val="clear" w:color="auto" w:fill="DCE6F1"/>
          </w:tcPr>
          <w:p>
            <w:pPr>
              <w:spacing w:before="40" w:after="40" w:line="276" w:lineRule="auto"/>
              <w:jc w:val="center"/>
            </w:pPr>
            <w:r/>
            <w:r>
              <w:rPr>
                <w:rFonts w:ascii="Times New Roman" w:hAnsi="Times New Roman" w:eastAsia="黑体"/>
                <w:b/>
                <w:i w:val="0"/>
                <w:sz w:val="19"/>
              </w:rPr>
              <w:t>文件</w:t>
            </w:r>
          </w:p>
        </w:tc>
        <w:tc>
          <w:tcPr>
            <w:tcW w:type="dxa" w:w="1134"/>
            <w:shd w:val="clear" w:color="auto" w:fill="DCE6F1"/>
          </w:tcPr>
          <w:p>
            <w:pPr>
              <w:spacing w:before="40" w:after="40" w:line="276" w:lineRule="auto"/>
              <w:jc w:val="center"/>
            </w:pPr>
            <w:r/>
            <w:r>
              <w:rPr>
                <w:rFonts w:ascii="Times New Roman" w:hAnsi="Times New Roman" w:eastAsia="黑体"/>
                <w:b/>
                <w:i w:val="0"/>
                <w:sz w:val="19"/>
              </w:rPr>
              <w:t>入口</w:t>
            </w:r>
          </w:p>
        </w:tc>
        <w:tc>
          <w:tcPr>
            <w:tcW w:type="dxa" w:w="2041"/>
            <w:shd w:val="clear" w:color="auto" w:fill="DCE6F1"/>
          </w:tcPr>
          <w:p>
            <w:pPr>
              <w:spacing w:before="40" w:after="40" w:line="276" w:lineRule="auto"/>
              <w:jc w:val="center"/>
            </w:pPr>
            <w:r/>
            <w:r>
              <w:rPr>
                <w:rFonts w:ascii="Times New Roman" w:hAnsi="Times New Roman" w:eastAsia="黑体"/>
                <w:b/>
                <w:i w:val="0"/>
                <w:sz w:val="19"/>
              </w:rPr>
              <w:t>主要区块</w:t>
            </w:r>
          </w:p>
        </w:tc>
        <w:tc>
          <w:tcPr>
            <w:tcW w:type="dxa" w:w="1701"/>
            <w:shd w:val="clear" w:color="auto" w:fill="DCE6F1"/>
          </w:tcPr>
          <w:p>
            <w:pPr>
              <w:spacing w:before="40" w:after="40" w:line="276" w:lineRule="auto"/>
              <w:jc w:val="center"/>
            </w:pPr>
            <w:r/>
            <w:r>
              <w:rPr>
                <w:rFonts w:ascii="Times New Roman" w:hAnsi="Times New Roman" w:eastAsia="黑体"/>
                <w:b/>
                <w:i w:val="0"/>
                <w:sz w:val="19"/>
              </w:rPr>
              <w:t>主要操作</w:t>
            </w:r>
          </w:p>
        </w:tc>
        <w:tc>
          <w:tcPr>
            <w:tcW w:type="dxa" w:w="1474"/>
            <w:shd w:val="clear" w:color="auto" w:fill="DCE6F1"/>
          </w:tcPr>
          <w:p>
            <w:pPr>
              <w:spacing w:before="40" w:after="40" w:line="276" w:lineRule="auto"/>
              <w:jc w:val="center"/>
            </w:pPr>
            <w:r/>
            <w:r>
              <w:rPr>
                <w:rFonts w:ascii="Times New Roman" w:hAnsi="Times New Roman" w:eastAsia="黑体"/>
                <w:b/>
                <w:i w:val="0"/>
                <w:sz w:val="19"/>
              </w:rPr>
              <w:t>跳转</w:t>
            </w:r>
          </w:p>
        </w:tc>
      </w:tr>
      <w:tr>
        <w:tc>
          <w:tcPr>
            <w:tcW w:type="dxa" w:w="1247"/>
          </w:tcPr>
          <w:p>
            <w:pPr>
              <w:spacing w:before="20" w:after="20" w:line="276" w:lineRule="auto"/>
              <w:ind w:firstLine="0"/>
            </w:pPr>
            <w:r/>
            <w:r>
              <w:rPr>
                <w:rFonts w:ascii="Times New Roman" w:hAnsi="Times New Roman" w:eastAsia="宋体"/>
                <w:b w:val="0"/>
                <w:i w:val="0"/>
                <w:sz w:val="19"/>
              </w:rPr>
              <w:t>视频监控（库点监控）</w:t>
            </w:r>
          </w:p>
        </w:tc>
        <w:tc>
          <w:tcPr>
            <w:tcW w:type="dxa" w:w="1474"/>
          </w:tcPr>
          <w:p>
            <w:pPr>
              <w:spacing w:before="20" w:after="20" w:line="276" w:lineRule="auto"/>
              <w:ind w:firstLine="0"/>
            </w:pPr>
            <w:r/>
            <w:r>
              <w:rPr>
                <w:rFonts w:ascii="Times New Roman" w:hAnsi="Times New Roman" w:eastAsia="宋体"/>
                <w:b w:val="0"/>
                <w:i w:val="0"/>
                <w:sz w:val="19"/>
              </w:rPr>
              <w:t>warehouse-video.html</w:t>
            </w:r>
          </w:p>
        </w:tc>
        <w:tc>
          <w:tcPr>
            <w:tcW w:type="dxa" w:w="1134"/>
          </w:tcPr>
          <w:p>
            <w:pPr>
              <w:spacing w:before="20" w:after="20" w:line="276" w:lineRule="auto"/>
              <w:ind w:firstLine="0"/>
            </w:pPr>
            <w:r/>
            <w:r>
              <w:rPr>
                <w:rFonts w:ascii="Times New Roman" w:hAnsi="Times New Roman" w:eastAsia="宋体"/>
                <w:b w:val="0"/>
                <w:i w:val="0"/>
                <w:sz w:val="19"/>
              </w:rPr>
              <w:t>仓储管理 → 视频监控</w:t>
            </w:r>
          </w:p>
        </w:tc>
        <w:tc>
          <w:tcPr>
            <w:tcW w:type="dxa" w:w="2041"/>
          </w:tcPr>
          <w:p>
            <w:pPr>
              <w:spacing w:before="20" w:after="20" w:line="276" w:lineRule="auto"/>
              <w:ind w:firstLine="0"/>
            </w:pPr>
            <w:r/>
            <w:r>
              <w:rPr>
                <w:rFonts w:ascii="Times New Roman" w:hAnsi="Times New Roman" w:eastAsia="宋体"/>
                <w:b w:val="0"/>
                <w:i w:val="0"/>
                <w:sz w:val="19"/>
              </w:rPr>
              <w:t>页面标题与新增按钮、功能建设状态标签与说明、5 项预期能力清单（库点摄像头实时画面、历史录像回放、智能告警、云台控制、告警事件管理）</w:t>
            </w:r>
          </w:p>
        </w:tc>
        <w:tc>
          <w:tcPr>
            <w:tcW w:type="dxa" w:w="1701"/>
          </w:tcPr>
          <w:p>
            <w:pPr>
              <w:spacing w:before="20" w:after="20" w:line="276" w:lineRule="auto"/>
              <w:ind w:firstLine="0"/>
            </w:pPr>
            <w:r/>
            <w:r>
              <w:rPr>
                <w:rFonts w:ascii="Times New Roman" w:hAnsi="Times New Roman" w:eastAsia="宋体"/>
                <w:b w:val="0"/>
                <w:i w:val="0"/>
                <w:sz w:val="19"/>
              </w:rPr>
              <w:t>新增视频监控（页面顶部按钮，缺省页内未绑定后续交互）</w:t>
            </w:r>
          </w:p>
        </w:tc>
        <w:tc>
          <w:tcPr>
            <w:tcW w:type="dxa" w:w="1474"/>
          </w:tcPr>
          <w:p>
            <w:pPr>
              <w:spacing w:before="20" w:after="20" w:line="276" w:lineRule="auto"/>
              <w:ind w:firstLine="0"/>
            </w:pPr>
            <w:r/>
            <w:r>
              <w:rPr>
                <w:rFonts w:ascii="Times New Roman" w:hAnsi="Times New Roman" w:eastAsia="宋体"/>
                <w:b w:val="0"/>
                <w:i w:val="0"/>
                <w:sz w:val="19"/>
              </w:rPr>
              <w:t>缺省页无跳转；实际监控画面从系统监控的查看详情动作进入</w:t>
            </w:r>
          </w:p>
        </w:tc>
      </w:tr>
      <w:tr>
        <w:tc>
          <w:tcPr>
            <w:tcW w:type="dxa" w:w="1247"/>
          </w:tcPr>
          <w:p>
            <w:pPr>
              <w:spacing w:before="20" w:after="20" w:line="276" w:lineRule="auto"/>
              <w:ind w:firstLine="0"/>
            </w:pPr>
            <w:r/>
            <w:r>
              <w:rPr>
                <w:rFonts w:ascii="Times New Roman" w:hAnsi="Times New Roman" w:eastAsia="宋体"/>
                <w:b w:val="0"/>
                <w:i w:val="0"/>
                <w:sz w:val="19"/>
              </w:rPr>
              <w:t>系统监控（监控入口）</w:t>
            </w:r>
          </w:p>
        </w:tc>
        <w:tc>
          <w:tcPr>
            <w:tcW w:type="dxa" w:w="1474"/>
          </w:tcPr>
          <w:p>
            <w:pPr>
              <w:spacing w:before="20" w:after="20" w:line="276" w:lineRule="auto"/>
              <w:ind w:firstLine="0"/>
            </w:pPr>
            <w:r/>
            <w:r>
              <w:rPr>
                <w:rFonts w:ascii="Times New Roman" w:hAnsi="Times New Roman" w:eastAsia="宋体"/>
                <w:b w:val="0"/>
                <w:i w:val="0"/>
                <w:sz w:val="19"/>
              </w:rPr>
              <w:t>warehouse-system.html</w:t>
            </w:r>
          </w:p>
        </w:tc>
        <w:tc>
          <w:tcPr>
            <w:tcW w:type="dxa" w:w="1134"/>
          </w:tcPr>
          <w:p>
            <w:pPr>
              <w:spacing w:before="20" w:after="20" w:line="276" w:lineRule="auto"/>
              <w:ind w:firstLine="0"/>
            </w:pPr>
            <w:r/>
            <w:r>
              <w:rPr>
                <w:rFonts w:ascii="Times New Roman" w:hAnsi="Times New Roman" w:eastAsia="宋体"/>
                <w:b w:val="0"/>
                <w:i w:val="0"/>
                <w:sz w:val="19"/>
              </w:rPr>
              <w:t>仓储管理 → 系统管理 → 系统监控</w:t>
            </w:r>
          </w:p>
        </w:tc>
        <w:tc>
          <w:tcPr>
            <w:tcW w:type="dxa" w:w="2041"/>
          </w:tcPr>
          <w:p>
            <w:pPr>
              <w:spacing w:before="20" w:after="20" w:line="276" w:lineRule="auto"/>
              <w:ind w:firstLine="0"/>
            </w:pPr>
            <w:r/>
            <w:r>
              <w:rPr>
                <w:rFonts w:ascii="Times New Roman" w:hAnsi="Times New Roman" w:eastAsia="宋体"/>
                <w:b w:val="0"/>
                <w:i w:val="0"/>
                <w:sz w:val="19"/>
              </w:rPr>
              <w:t>6 个字段筛选区、4 个状态分栏（全部、正常、预警、故障，带计数）、9 列设备状态表格</w:t>
            </w:r>
          </w:p>
        </w:tc>
        <w:tc>
          <w:tcPr>
            <w:tcW w:type="dxa" w:w="1701"/>
          </w:tcPr>
          <w:p>
            <w:pPr>
              <w:spacing w:before="20" w:after="20" w:line="276" w:lineRule="auto"/>
              <w:ind w:firstLine="0"/>
            </w:pPr>
            <w:r/>
            <w:r>
              <w:rPr>
                <w:rFonts w:ascii="Times New Roman" w:hAnsi="Times New Roman" w:eastAsia="宋体"/>
                <w:b w:val="0"/>
                <w:i w:val="0"/>
                <w:sz w:val="19"/>
              </w:rPr>
              <w:t>搜索筛选、状态分栏切换、行内查看详情与查看历史</w:t>
            </w:r>
          </w:p>
        </w:tc>
        <w:tc>
          <w:tcPr>
            <w:tcW w:type="dxa" w:w="1474"/>
          </w:tcPr>
          <w:p>
            <w:pPr>
              <w:spacing w:before="20" w:after="20" w:line="276" w:lineRule="auto"/>
              <w:ind w:firstLine="0"/>
            </w:pPr>
            <w:r/>
            <w:r>
              <w:rPr>
                <w:rFonts w:ascii="Times New Roman" w:hAnsi="Times New Roman" w:eastAsia="宋体"/>
                <w:b w:val="0"/>
                <w:i w:val="0"/>
                <w:sz w:val="19"/>
              </w:rPr>
              <w:t>查看详情 → 视频监控页；查看历史 → 该设备的实时数据与最近上报时间</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4.24.5　数据关系</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474"/>
            <w:shd w:val="clear" w:color="auto" w:fill="DCE6F1"/>
          </w:tcPr>
          <w:p>
            <w:pPr>
              <w:spacing w:before="40" w:after="40" w:line="276" w:lineRule="auto"/>
              <w:jc w:val="center"/>
            </w:pPr>
            <w:r/>
            <w:r>
              <w:rPr>
                <w:rFonts w:ascii="Times New Roman" w:hAnsi="Times New Roman" w:eastAsia="黑体"/>
                <w:b/>
                <w:i w:val="0"/>
                <w:sz w:val="21"/>
              </w:rPr>
              <w:t>业务对象</w:t>
            </w:r>
          </w:p>
        </w:tc>
        <w:tc>
          <w:tcPr>
            <w:tcW w:type="dxa" w:w="4195"/>
            <w:shd w:val="clear" w:color="auto" w:fill="DCE6F1"/>
          </w:tcPr>
          <w:p>
            <w:pPr>
              <w:spacing w:before="40" w:after="40" w:line="276" w:lineRule="auto"/>
              <w:jc w:val="center"/>
            </w:pPr>
            <w:r/>
            <w:r>
              <w:rPr>
                <w:rFonts w:ascii="Times New Roman" w:hAnsi="Times New Roman" w:eastAsia="黑体"/>
                <w:b/>
                <w:i w:val="0"/>
                <w:sz w:val="21"/>
              </w:rPr>
              <w:t>关键字段与口径</w:t>
            </w:r>
          </w:p>
        </w:tc>
        <w:tc>
          <w:tcPr>
            <w:tcW w:type="dxa" w:w="3402"/>
            <w:shd w:val="clear" w:color="auto" w:fill="DCE6F1"/>
          </w:tcPr>
          <w:p>
            <w:pPr>
              <w:spacing w:before="40" w:after="40" w:line="276" w:lineRule="auto"/>
              <w:jc w:val="center"/>
            </w:pPr>
            <w:r/>
            <w:r>
              <w:rPr>
                <w:rFonts w:ascii="Times New Roman" w:hAnsi="Times New Roman" w:eastAsia="黑体"/>
                <w:b/>
                <w:i w:val="0"/>
                <w:sz w:val="21"/>
              </w:rPr>
              <w:t>与其他对象的关系</w:t>
            </w:r>
          </w:p>
        </w:tc>
      </w:tr>
      <w:tr>
        <w:tc>
          <w:tcPr>
            <w:tcW w:type="dxa" w:w="1474"/>
          </w:tcPr>
          <w:p>
            <w:pPr>
              <w:spacing w:before="20" w:after="20" w:line="276" w:lineRule="auto"/>
              <w:ind w:firstLine="0"/>
            </w:pPr>
            <w:r/>
            <w:r>
              <w:rPr>
                <w:rFonts w:ascii="Times New Roman" w:hAnsi="Times New Roman" w:eastAsia="宋体"/>
                <w:b w:val="0"/>
                <w:i w:val="0"/>
                <w:sz w:val="21"/>
              </w:rPr>
              <w:t>监控设备（摄像头）</w:t>
            </w:r>
          </w:p>
        </w:tc>
        <w:tc>
          <w:tcPr>
            <w:tcW w:type="dxa" w:w="4195"/>
          </w:tcPr>
          <w:p>
            <w:pPr>
              <w:spacing w:before="20" w:after="20" w:line="276" w:lineRule="auto"/>
              <w:ind w:firstLine="0"/>
            </w:pPr>
            <w:r/>
            <w:r>
              <w:rPr>
                <w:rFonts w:ascii="Times New Roman" w:hAnsi="Times New Roman" w:eastAsia="宋体"/>
                <w:b w:val="0"/>
                <w:i w:val="0"/>
                <w:sz w:val="21"/>
              </w:rPr>
              <w:t>摄像头 ID：系统自动生成</w:t>
            </w:r>
            <w:r>
              <w:br/>
            </w:r>
            <w:r>
              <w:rPr>
                <w:rFonts w:ascii="Times New Roman" w:hAnsi="Times New Roman" w:eastAsia="宋体"/>
                <w:b w:val="0"/>
                <w:i w:val="0"/>
                <w:sz w:val="21"/>
              </w:rPr>
              <w:t>所属仓库：关联仓库名称</w:t>
            </w:r>
            <w:r>
              <w:br/>
            </w:r>
            <w:r>
              <w:rPr>
                <w:rFonts w:ascii="Times New Roman" w:hAnsi="Times New Roman" w:eastAsia="宋体"/>
                <w:b w:val="0"/>
                <w:i w:val="0"/>
                <w:sz w:val="21"/>
              </w:rPr>
              <w:t>安装位置：大门、卸货区、库内、办公区、周界</w:t>
            </w:r>
            <w:r>
              <w:br/>
            </w:r>
            <w:r>
              <w:rPr>
                <w:rFonts w:ascii="Times New Roman" w:hAnsi="Times New Roman" w:eastAsia="宋体"/>
                <w:b w:val="0"/>
                <w:i w:val="0"/>
                <w:sz w:val="21"/>
              </w:rPr>
              <w:t>摄像头型号：海康、大华、宇视</w:t>
            </w:r>
            <w:r>
              <w:br/>
            </w:r>
            <w:r>
              <w:rPr>
                <w:rFonts w:ascii="Times New Roman" w:hAnsi="Times New Roman" w:eastAsia="宋体"/>
                <w:b w:val="0"/>
                <w:i w:val="0"/>
                <w:sz w:val="21"/>
              </w:rPr>
              <w:t>IP 地址：内网地址</w:t>
            </w:r>
            <w:r>
              <w:br/>
            </w:r>
            <w:r>
              <w:rPr>
                <w:rFonts w:ascii="Times New Roman" w:hAnsi="Times New Roman" w:eastAsia="宋体"/>
                <w:b w:val="0"/>
                <w:i w:val="0"/>
                <w:sz w:val="21"/>
              </w:rPr>
              <w:t>在线状态：在线、离线、故障</w:t>
            </w:r>
            <w:r>
              <w:br/>
            </w:r>
            <w:r>
              <w:rPr>
                <w:rFonts w:ascii="Times New Roman" w:hAnsi="Times New Roman" w:eastAsia="宋体"/>
                <w:b w:val="0"/>
                <w:i w:val="0"/>
                <w:sz w:val="21"/>
              </w:rPr>
              <w:t>最后心跳：yyyy-MM-dd HH:mm:ss</w:t>
            </w:r>
            <w:r>
              <w:br/>
            </w:r>
            <w:r>
              <w:rPr>
                <w:rFonts w:ascii="Times New Roman" w:hAnsi="Times New Roman" w:eastAsia="宋体"/>
                <w:b w:val="0"/>
                <w:i w:val="0"/>
                <w:sz w:val="21"/>
              </w:rPr>
              <w:t>录像保留天数：默认 30 天</w:t>
            </w:r>
          </w:p>
        </w:tc>
        <w:tc>
          <w:tcPr>
            <w:tcW w:type="dxa" w:w="3402"/>
          </w:tcPr>
          <w:p>
            <w:pPr>
              <w:spacing w:before="20" w:after="20" w:line="276" w:lineRule="auto"/>
              <w:ind w:firstLine="0"/>
            </w:pPr>
            <w:r/>
            <w:r>
              <w:rPr>
                <w:rFonts w:ascii="Times New Roman" w:hAnsi="Times New Roman" w:eastAsia="宋体"/>
                <w:b w:val="0"/>
                <w:i w:val="0"/>
                <w:sz w:val="21"/>
              </w:rPr>
              <w:t>摄像头通过仓库与库点关联，1 个库点对应多路摄像头；在线状态由心跳上报刷新</w:t>
            </w:r>
          </w:p>
        </w:tc>
      </w:tr>
      <w:tr>
        <w:tc>
          <w:tcPr>
            <w:tcW w:type="dxa" w:w="1474"/>
          </w:tcPr>
          <w:p>
            <w:pPr>
              <w:spacing w:before="20" w:after="20" w:line="276" w:lineRule="auto"/>
              <w:ind w:firstLine="0"/>
            </w:pPr>
            <w:r/>
            <w:r>
              <w:rPr>
                <w:rFonts w:ascii="Times New Roman" w:hAnsi="Times New Roman" w:eastAsia="宋体"/>
                <w:b w:val="0"/>
                <w:i w:val="0"/>
                <w:sz w:val="21"/>
              </w:rPr>
              <w:t>录像文件</w:t>
            </w:r>
          </w:p>
        </w:tc>
        <w:tc>
          <w:tcPr>
            <w:tcW w:type="dxa" w:w="4195"/>
          </w:tcPr>
          <w:p>
            <w:pPr>
              <w:spacing w:before="20" w:after="20" w:line="276" w:lineRule="auto"/>
              <w:ind w:firstLine="0"/>
            </w:pPr>
            <w:r/>
            <w:r>
              <w:rPr>
                <w:rFonts w:ascii="Times New Roman" w:hAnsi="Times New Roman" w:eastAsia="宋体"/>
                <w:b w:val="0"/>
                <w:i w:val="0"/>
                <w:sz w:val="21"/>
              </w:rPr>
              <w:t>录像所属摄像头</w:t>
            </w:r>
            <w:r>
              <w:br/>
            </w:r>
            <w:r>
              <w:rPr>
                <w:rFonts w:ascii="Times New Roman" w:hAnsi="Times New Roman" w:eastAsia="宋体"/>
                <w:b w:val="0"/>
                <w:i w:val="0"/>
                <w:sz w:val="21"/>
              </w:rPr>
              <w:t>录像时间段</w:t>
            </w:r>
            <w:r>
              <w:br/>
            </w:r>
            <w:r>
              <w:rPr>
                <w:rFonts w:ascii="Times New Roman" w:hAnsi="Times New Roman" w:eastAsia="宋体"/>
                <w:b w:val="0"/>
                <w:i w:val="0"/>
                <w:sz w:val="21"/>
              </w:rPr>
              <w:t>文件完整性校验结果</w:t>
            </w:r>
          </w:p>
        </w:tc>
        <w:tc>
          <w:tcPr>
            <w:tcW w:type="dxa" w:w="3402"/>
          </w:tcPr>
          <w:p>
            <w:pPr>
              <w:spacing w:before="20" w:after="20" w:line="276" w:lineRule="auto"/>
              <w:ind w:firstLine="0"/>
            </w:pPr>
            <w:r/>
            <w:r>
              <w:rPr>
                <w:rFonts w:ascii="Times New Roman" w:hAnsi="Times New Roman" w:eastAsia="宋体"/>
                <w:b w:val="0"/>
                <w:i w:val="0"/>
                <w:sz w:val="21"/>
              </w:rPr>
              <w:t>按摄像头保留策略滚动存储，完整性校验失败时触发告警</w:t>
            </w:r>
          </w:p>
        </w:tc>
      </w:tr>
      <w:tr>
        <w:tc>
          <w:tcPr>
            <w:tcW w:type="dxa" w:w="1474"/>
          </w:tcPr>
          <w:p>
            <w:pPr>
              <w:spacing w:before="20" w:after="20" w:line="276" w:lineRule="auto"/>
              <w:ind w:firstLine="0"/>
            </w:pPr>
            <w:r/>
            <w:r>
              <w:rPr>
                <w:rFonts w:ascii="Times New Roman" w:hAnsi="Times New Roman" w:eastAsia="宋体"/>
                <w:b w:val="0"/>
                <w:i w:val="0"/>
                <w:sz w:val="21"/>
              </w:rPr>
              <w:t>异常事件</w:t>
            </w:r>
          </w:p>
        </w:tc>
        <w:tc>
          <w:tcPr>
            <w:tcW w:type="dxa" w:w="4195"/>
          </w:tcPr>
          <w:p>
            <w:pPr>
              <w:spacing w:before="20" w:after="20" w:line="276" w:lineRule="auto"/>
              <w:ind w:firstLine="0"/>
            </w:pPr>
            <w:r/>
            <w:r>
              <w:rPr>
                <w:rFonts w:ascii="Times New Roman" w:hAnsi="Times New Roman" w:eastAsia="宋体"/>
                <w:b w:val="0"/>
                <w:i w:val="0"/>
                <w:sz w:val="21"/>
              </w:rPr>
              <w:t>事件类型：货损、盗窃、火灾、人员闯入、烟火检测、车辆滞留</w:t>
            </w:r>
            <w:r>
              <w:br/>
            </w:r>
            <w:r>
              <w:rPr>
                <w:rFonts w:ascii="Times New Roman" w:hAnsi="Times New Roman" w:eastAsia="宋体"/>
                <w:b w:val="0"/>
                <w:i w:val="0"/>
                <w:sz w:val="21"/>
              </w:rPr>
              <w:t>发生时间与关联摄像头</w:t>
            </w:r>
            <w:r>
              <w:br/>
            </w:r>
            <w:r>
              <w:rPr>
                <w:rFonts w:ascii="Times New Roman" w:hAnsi="Times New Roman" w:eastAsia="宋体"/>
                <w:b w:val="0"/>
                <w:i w:val="0"/>
                <w:sz w:val="21"/>
              </w:rPr>
              <w:t>自动截图</w:t>
            </w:r>
            <w:r>
              <w:br/>
            </w:r>
            <w:r>
              <w:rPr>
                <w:rFonts w:ascii="Times New Roman" w:hAnsi="Times New Roman" w:eastAsia="宋体"/>
                <w:b w:val="0"/>
                <w:i w:val="0"/>
                <w:sz w:val="21"/>
              </w:rPr>
              <w:t>处理状态与处理结论</w:t>
            </w:r>
          </w:p>
        </w:tc>
        <w:tc>
          <w:tcPr>
            <w:tcW w:type="dxa" w:w="3402"/>
          </w:tcPr>
          <w:p>
            <w:pPr>
              <w:spacing w:before="20" w:after="20" w:line="276" w:lineRule="auto"/>
              <w:ind w:firstLine="0"/>
            </w:pPr>
            <w:r/>
            <w:r>
              <w:rPr>
                <w:rFonts w:ascii="Times New Roman" w:hAnsi="Times New Roman" w:eastAsia="宋体"/>
                <w:b w:val="0"/>
                <w:i w:val="0"/>
                <w:sz w:val="21"/>
              </w:rPr>
              <w:t>异常事件实时推送给风控审核员，并向预警中心推送；处置完成后回写处理结论</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4.24.6　角色权限与数据权限</w:t>
      </w:r>
    </w:p>
    <w:p>
      <w:pPr>
        <w:spacing w:before="0" w:after="120" w:line="360" w:lineRule="auto"/>
      </w:pPr>
      <w:r>
        <w:rPr>
          <w:rFonts w:ascii="Times New Roman" w:hAnsi="Times New Roman" w:eastAsia="宋体"/>
          <w:b w:val="0"/>
          <w:i w:val="0"/>
          <w:sz w:val="24"/>
        </w:rPr>
        <w:t>本期为系统全量权限（业务方裁决 D17 / QA-012）；下表角色为典型使用角色，非权限分级。本期仅交付 WEB 端（业务方裁决 D9 / QA-004），监控查看在 PC 端网页完成，不提供移动端或巡库 App。</w:t>
      </w:r>
    </w:p>
    <w:p>
      <w:pPr>
        <w:spacing w:before="0" w:after="80" w:line="360" w:lineRule="auto"/>
      </w:pPr>
      <w:r>
        <w:rPr>
          <w:rFonts w:ascii="Times New Roman" w:hAnsi="Times New Roman" w:eastAsia="宋体"/>
          <w:b w:val="0"/>
          <w:i w:val="0"/>
          <w:sz w:val="24"/>
        </w:rPr>
        <w:t>数据可见性：按单据归属与业务筛选查看；手机号、统一社会信用代码等敏感字段默认打码，手动点击查看完整值且查看行为留痕。</w:t>
      </w:r>
    </w:p>
    <w:p>
      <w:pPr>
        <w:pStyle w:val="Heading3"/>
        <w:keepNext/>
        <w:spacing w:before="160" w:after="80" w:line="312" w:lineRule="auto"/>
        <w:ind w:firstLine="0"/>
      </w:pPr>
      <w:r>
        <w:rPr>
          <w:rFonts w:ascii="Times New Roman" w:hAnsi="Times New Roman" w:eastAsia="黑体"/>
          <w:b/>
          <w:i w:val="0"/>
          <w:sz w:val="24"/>
        </w:rPr>
        <w:t>4.24.7　业务流程与页面</w:t>
      </w:r>
    </w:p>
    <w:p>
      <w:pPr>
        <w:spacing w:before="120" w:after="60"/>
        <w:ind w:firstLine="0"/>
        <w:jc w:val="center"/>
      </w:pPr>
      <w:r>
        <w:drawing>
          <wp:inline xmlns:a="http://schemas.openxmlformats.org/drawingml/2006/main" xmlns:pic="http://schemas.openxmlformats.org/drawingml/2006/picture">
            <wp:extent cx="5616000" cy="1952690"/>
            <wp:docPr id="51" name="Picture 51"/>
            <wp:cNvGraphicFramePr>
              <a:graphicFrameLocks noChangeAspect="1"/>
            </wp:cNvGraphicFramePr>
            <a:graphic>
              <a:graphicData uri="http://schemas.openxmlformats.org/drawingml/2006/picture">
                <pic:pic>
                  <pic:nvPicPr>
                    <pic:cNvPr id="0" name="mermaid-warehouse-video.png"/>
                    <pic:cNvPicPr/>
                  </pic:nvPicPr>
                  <pic:blipFill>
                    <a:blip r:embed="rId61"/>
                    <a:stretch>
                      <a:fillRect/>
                    </a:stretch>
                  </pic:blipFill>
                  <pic:spPr>
                    <a:xfrm>
                      <a:off x="0" y="0"/>
                      <a:ext cx="5616000" cy="1952690"/>
                    </a:xfrm>
                    <a:prstGeom prst="rect"/>
                  </pic:spPr>
                </pic:pic>
              </a:graphicData>
            </a:graphic>
          </wp:inline>
        </w:drawing>
      </w:r>
    </w:p>
    <w:p>
      <w:pPr>
        <w:spacing w:before="0" w:after="200" w:line="240" w:lineRule="auto"/>
        <w:ind w:firstLine="0"/>
        <w:jc w:val="center"/>
      </w:pPr>
      <w:r>
        <w:rPr>
          <w:rFonts w:ascii="Times New Roman" w:hAnsi="Times New Roman" w:eastAsia="宋体"/>
          <w:b w:val="0"/>
          <w:i w:val="0"/>
          <w:sz w:val="21"/>
        </w:rPr>
        <w:t>图 4-24-1　视频监控 主业务流程</w:t>
      </w:r>
    </w:p>
    <w:p>
      <w:pPr>
        <w:spacing w:before="0" w:after="60" w:line="360" w:lineRule="auto"/>
      </w:pPr>
      <w:r>
        <w:rPr>
          <w:rFonts w:ascii="Times New Roman" w:hAnsi="Times New Roman" w:eastAsia="宋体"/>
          <w:b/>
          <w:i w:val="0"/>
          <w:sz w:val="24"/>
        </w:rPr>
        <w:t>主流程步骤：</w:t>
      </w:r>
    </w:p>
    <w:p>
      <w:pPr>
        <w:spacing w:before="0" w:after="60" w:line="336" w:lineRule="auto"/>
        <w:ind w:left="510" w:hanging="510"/>
      </w:pPr>
      <w:r>
        <w:rPr>
          <w:rFonts w:ascii="Times New Roman" w:hAnsi="Times New Roman" w:eastAsia="宋体"/>
          <w:b w:val="0"/>
          <w:i w:val="0"/>
          <w:sz w:val="24"/>
        </w:rPr>
        <w:t>1. 从系统监控页查看设备状态，或由预警中心推送的异常事件告警进入视频监控</w:t>
      </w:r>
    </w:p>
    <w:p>
      <w:pPr>
        <w:spacing w:before="0" w:after="60" w:line="336" w:lineRule="auto"/>
        <w:ind w:left="510" w:hanging="510"/>
      </w:pPr>
      <w:r>
        <w:rPr>
          <w:rFonts w:ascii="Times New Roman" w:hAnsi="Times New Roman" w:eastAsia="宋体"/>
          <w:b w:val="0"/>
          <w:i w:val="0"/>
          <w:sz w:val="24"/>
        </w:rPr>
        <w:t>2. 在视频监控页选择目标库点</w:t>
      </w:r>
    </w:p>
    <w:p>
      <w:pPr>
        <w:spacing w:before="0" w:after="60" w:line="336" w:lineRule="auto"/>
        <w:ind w:left="510" w:hanging="510"/>
      </w:pPr>
      <w:r>
        <w:rPr>
          <w:rFonts w:ascii="Times New Roman" w:hAnsi="Times New Roman" w:eastAsia="宋体"/>
          <w:b w:val="0"/>
          <w:i w:val="0"/>
          <w:sz w:val="24"/>
        </w:rPr>
        <w:t>3. 打开多路实时画面预览，最多 16 路同时显示</w:t>
      </w:r>
    </w:p>
    <w:p>
      <w:pPr>
        <w:spacing w:before="0" w:after="60" w:line="336" w:lineRule="auto"/>
        <w:ind w:left="510" w:hanging="510"/>
      </w:pPr>
      <w:r>
        <w:rPr>
          <w:rFonts w:ascii="Times New Roman" w:hAnsi="Times New Roman" w:eastAsia="宋体"/>
          <w:b w:val="0"/>
          <w:i w:val="0"/>
          <w:sz w:val="24"/>
        </w:rPr>
        <w:t>4. 发现疑似异常时使用云台控制调整视角与镜头进行确认</w:t>
      </w:r>
    </w:p>
    <w:p>
      <w:pPr>
        <w:spacing w:before="0" w:after="60" w:line="336" w:lineRule="auto"/>
        <w:ind w:left="510" w:hanging="510"/>
      </w:pPr>
      <w:r>
        <w:rPr>
          <w:rFonts w:ascii="Times New Roman" w:hAnsi="Times New Roman" w:eastAsia="宋体"/>
          <w:b w:val="0"/>
          <w:i w:val="0"/>
          <w:sz w:val="24"/>
        </w:rPr>
        <w:t>5. 智能识别自动生成告警并实时推送</w:t>
      </w:r>
    </w:p>
    <w:p>
      <w:pPr>
        <w:spacing w:before="0" w:after="60" w:line="336" w:lineRule="auto"/>
        <w:ind w:left="510" w:hanging="510"/>
      </w:pPr>
      <w:r>
        <w:rPr>
          <w:rFonts w:ascii="Times New Roman" w:hAnsi="Times New Roman" w:eastAsia="宋体"/>
          <w:b w:val="0"/>
          <w:i w:val="0"/>
          <w:sz w:val="24"/>
        </w:rPr>
        <w:t>6. 进入告警事件管理，按事件类型分类登记并进入处理流程</w:t>
      </w:r>
    </w:p>
    <w:p>
      <w:pPr>
        <w:spacing w:before="0" w:after="60" w:line="336" w:lineRule="auto"/>
        <w:ind w:left="510" w:hanging="510"/>
      </w:pPr>
      <w:r>
        <w:rPr>
          <w:rFonts w:ascii="Times New Roman" w:hAnsi="Times New Roman" w:eastAsia="宋体"/>
          <w:b w:val="0"/>
          <w:i w:val="0"/>
          <w:sz w:val="24"/>
        </w:rPr>
        <w:t>7. 需要追溯时按时间轴拖动回放历史录像</w:t>
      </w:r>
    </w:p>
    <w:p>
      <w:pPr>
        <w:spacing w:before="0" w:after="60" w:line="336" w:lineRule="auto"/>
        <w:ind w:left="510" w:hanging="510"/>
      </w:pPr>
      <w:r>
        <w:rPr>
          <w:rFonts w:ascii="Times New Roman" w:hAnsi="Times New Roman" w:eastAsia="宋体"/>
          <w:b w:val="0"/>
          <w:i w:val="0"/>
          <w:sz w:val="24"/>
        </w:rPr>
        <w:t>8. 事件处理完成后回写处理结论并归档</w:t>
      </w:r>
    </w:p>
    <w:p>
      <w:pPr>
        <w:spacing w:before="120" w:after="60" w:line="360" w:lineRule="auto"/>
      </w:pPr>
      <w:r>
        <w:rPr>
          <w:rFonts w:ascii="Times New Roman" w:hAnsi="Times New Roman" w:eastAsia="宋体"/>
          <w:b/>
          <w:i w:val="0"/>
          <w:sz w:val="24"/>
        </w:rPr>
        <w:t>异常分支：</w:t>
      </w:r>
    </w:p>
    <w:tbl>
      <w:tblPr>
        <w:tblStyle w:val="TableGrid"/>
        <w:tblW w:type="auto" w:w="0"/>
        <w:jc w:val="center"/>
        <w:tblLayout w:type="fixed"/>
        <w:tblLook w:firstColumn="1" w:firstRow="1" w:lastColumn="0" w:lastRow="0" w:noHBand="0" w:noVBand="1" w:val="04A0"/>
      </w:tblPr>
      <w:tblGrid>
        <w:gridCol w:w="4479"/>
        <w:gridCol w:w="4479"/>
      </w:tblGrid>
      <w:tr>
        <w:trPr>
          <w:tblHeader w:val="true"/>
        </w:trPr>
        <w:tc>
          <w:tcPr>
            <w:tcW w:type="dxa" w:w="2835"/>
            <w:shd w:val="clear" w:color="auto" w:fill="DCE6F1"/>
          </w:tcPr>
          <w:p>
            <w:pPr>
              <w:spacing w:before="40" w:after="40" w:line="276" w:lineRule="auto"/>
              <w:jc w:val="center"/>
            </w:pPr>
            <w:r/>
            <w:r>
              <w:rPr>
                <w:rFonts w:ascii="Times New Roman" w:hAnsi="Times New Roman" w:eastAsia="黑体"/>
                <w:b/>
                <w:i w:val="0"/>
                <w:sz w:val="21"/>
              </w:rPr>
              <w:t>异常场景</w:t>
            </w:r>
          </w:p>
        </w:tc>
        <w:tc>
          <w:tcPr>
            <w:tcW w:type="dxa" w:w="6236"/>
            <w:shd w:val="clear" w:color="auto" w:fill="DCE6F1"/>
          </w:tcPr>
          <w:p>
            <w:pPr>
              <w:spacing w:before="40" w:after="40" w:line="276" w:lineRule="auto"/>
              <w:jc w:val="center"/>
            </w:pPr>
            <w:r/>
            <w:r>
              <w:rPr>
                <w:rFonts w:ascii="Times New Roman" w:hAnsi="Times New Roman" w:eastAsia="黑体"/>
                <w:b/>
                <w:i w:val="0"/>
                <w:sz w:val="21"/>
              </w:rPr>
              <w:t>系统处理</w:t>
            </w:r>
          </w:p>
        </w:tc>
      </w:tr>
      <w:tr>
        <w:tc>
          <w:tcPr>
            <w:tcW w:type="dxa" w:w="2835"/>
          </w:tcPr>
          <w:p>
            <w:pPr>
              <w:spacing w:before="20" w:after="20" w:line="276" w:lineRule="auto"/>
              <w:ind w:firstLine="0"/>
            </w:pPr>
            <w:r/>
            <w:r>
              <w:rPr>
                <w:rFonts w:ascii="Times New Roman" w:hAnsi="Times New Roman" w:eastAsia="宋体"/>
                <w:b w:val="0"/>
                <w:i w:val="0"/>
                <w:sz w:val="21"/>
              </w:rPr>
              <w:t>摄像头离线</w:t>
            </w:r>
          </w:p>
        </w:tc>
        <w:tc>
          <w:tcPr>
            <w:tcW w:type="dxa" w:w="6236"/>
          </w:tcPr>
          <w:p>
            <w:pPr>
              <w:spacing w:before="20" w:after="20" w:line="276" w:lineRule="auto"/>
              <w:ind w:firstLine="0"/>
            </w:pPr>
            <w:r/>
            <w:r>
              <w:rPr>
                <w:rFonts w:ascii="Times New Roman" w:hAnsi="Times New Roman" w:eastAsia="宋体"/>
                <w:b w:val="0"/>
                <w:i w:val="0"/>
                <w:sz w:val="21"/>
              </w:rPr>
              <w:t>红色告警并自动通知运维</w:t>
            </w:r>
          </w:p>
        </w:tc>
      </w:tr>
      <w:tr>
        <w:tc>
          <w:tcPr>
            <w:tcW w:type="dxa" w:w="2835"/>
          </w:tcPr>
          <w:p>
            <w:pPr>
              <w:spacing w:before="20" w:after="20" w:line="276" w:lineRule="auto"/>
              <w:ind w:firstLine="0"/>
            </w:pPr>
            <w:r/>
            <w:r>
              <w:rPr>
                <w:rFonts w:ascii="Times New Roman" w:hAnsi="Times New Roman" w:eastAsia="宋体"/>
                <w:b w:val="0"/>
                <w:i w:val="0"/>
                <w:sz w:val="21"/>
              </w:rPr>
              <w:t>录像丢失</w:t>
            </w:r>
          </w:p>
        </w:tc>
        <w:tc>
          <w:tcPr>
            <w:tcW w:type="dxa" w:w="6236"/>
          </w:tcPr>
          <w:p>
            <w:pPr>
              <w:spacing w:before="20" w:after="20" w:line="276" w:lineRule="auto"/>
              <w:ind w:firstLine="0"/>
            </w:pPr>
            <w:r/>
            <w:r>
              <w:rPr>
                <w:rFonts w:ascii="Times New Roman" w:hAnsi="Times New Roman" w:eastAsia="宋体"/>
                <w:b w:val="0"/>
                <w:i w:val="0"/>
                <w:sz w:val="21"/>
              </w:rPr>
              <w:t>黄色告警并提示「录像完整性校验失败」</w:t>
            </w:r>
          </w:p>
        </w:tc>
      </w:tr>
      <w:tr>
        <w:tc>
          <w:tcPr>
            <w:tcW w:type="dxa" w:w="2835"/>
          </w:tcPr>
          <w:p>
            <w:pPr>
              <w:spacing w:before="20" w:after="20" w:line="276" w:lineRule="auto"/>
              <w:ind w:firstLine="0"/>
            </w:pPr>
            <w:r/>
            <w:r>
              <w:rPr>
                <w:rFonts w:ascii="Times New Roman" w:hAnsi="Times New Roman" w:eastAsia="宋体"/>
                <w:b w:val="0"/>
                <w:i w:val="0"/>
                <w:sz w:val="21"/>
              </w:rPr>
              <w:t>货损、盗窃等异常事件</w:t>
            </w:r>
          </w:p>
        </w:tc>
        <w:tc>
          <w:tcPr>
            <w:tcW w:type="dxa" w:w="6236"/>
          </w:tcPr>
          <w:p>
            <w:pPr>
              <w:spacing w:before="20" w:after="20" w:line="276" w:lineRule="auto"/>
              <w:ind w:firstLine="0"/>
            </w:pPr>
            <w:r/>
            <w:r>
              <w:rPr>
                <w:rFonts w:ascii="Times New Roman" w:hAnsi="Times New Roman" w:eastAsia="宋体"/>
                <w:b w:val="0"/>
                <w:i w:val="0"/>
                <w:sz w:val="21"/>
              </w:rPr>
              <w:t>红色告警、自动截图并推送风控审核员</w:t>
            </w:r>
          </w:p>
        </w:tc>
      </w:tr>
      <w:tr>
        <w:tc>
          <w:tcPr>
            <w:tcW w:type="dxa" w:w="2835"/>
          </w:tcPr>
          <w:p>
            <w:pPr>
              <w:spacing w:before="20" w:after="20" w:line="276" w:lineRule="auto"/>
              <w:ind w:firstLine="0"/>
            </w:pPr>
            <w:r/>
            <w:r>
              <w:rPr>
                <w:rFonts w:ascii="Times New Roman" w:hAnsi="Times New Roman" w:eastAsia="宋体"/>
                <w:b w:val="0"/>
                <w:i w:val="0"/>
                <w:sz w:val="21"/>
              </w:rPr>
              <w:t>网络抖动导致画面中断</w:t>
            </w:r>
          </w:p>
        </w:tc>
        <w:tc>
          <w:tcPr>
            <w:tcW w:type="dxa" w:w="6236"/>
          </w:tcPr>
          <w:p>
            <w:pPr>
              <w:spacing w:before="20" w:after="20" w:line="276" w:lineRule="auto"/>
              <w:ind w:firstLine="0"/>
            </w:pPr>
            <w:r/>
            <w:r>
              <w:rPr>
                <w:rFonts w:ascii="Times New Roman" w:hAnsi="Times New Roman" w:eastAsia="宋体"/>
                <w:b w:val="0"/>
                <w:i w:val="0"/>
                <w:sz w:val="21"/>
              </w:rPr>
              <w:t>自动重连，最多重试 3 次</w:t>
            </w:r>
          </w:p>
        </w:tc>
      </w:tr>
    </w:tbl>
    <w:p>
      <w:pPr>
        <w:spacing w:before="0" w:after="0" w:line="240" w:lineRule="auto"/>
      </w:pPr>
    </w:p>
    <w:p>
      <w:pPr>
        <w:spacing w:before="120" w:after="60"/>
        <w:ind w:firstLine="0"/>
        <w:jc w:val="center"/>
      </w:pPr>
      <w:r>
        <w:drawing>
          <wp:inline xmlns:a="http://schemas.openxmlformats.org/drawingml/2006/main" xmlns:pic="http://schemas.openxmlformats.org/drawingml/2006/picture">
            <wp:extent cx="5616000" cy="3334500"/>
            <wp:docPr id="52" name="Picture 52"/>
            <wp:cNvGraphicFramePr>
              <a:graphicFrameLocks noChangeAspect="1"/>
            </wp:cNvGraphicFramePr>
            <a:graphic>
              <a:graphicData uri="http://schemas.openxmlformats.org/drawingml/2006/picture">
                <pic:pic>
                  <pic:nvPicPr>
                    <pic:cNvPr id="0" name="warehouse-video.png"/>
                    <pic:cNvPicPr/>
                  </pic:nvPicPr>
                  <pic:blipFill>
                    <a:blip r:embed="rId62"/>
                    <a:stretch>
                      <a:fillRect/>
                    </a:stretch>
                  </pic:blipFill>
                  <pic:spPr>
                    <a:xfrm>
                      <a:off x="0" y="0"/>
                      <a:ext cx="5616000" cy="3334500"/>
                    </a:xfrm>
                    <a:prstGeom prst="rect"/>
                  </pic:spPr>
                </pic:pic>
              </a:graphicData>
            </a:graphic>
          </wp:inline>
        </w:drawing>
      </w:r>
    </w:p>
    <w:p>
      <w:pPr>
        <w:spacing w:before="0" w:after="200" w:line="240" w:lineRule="auto"/>
        <w:ind w:firstLine="0"/>
        <w:jc w:val="center"/>
      </w:pPr>
      <w:r>
        <w:rPr>
          <w:rFonts w:ascii="Times New Roman" w:hAnsi="Times New Roman" w:eastAsia="宋体"/>
          <w:b w:val="0"/>
          <w:i w:val="0"/>
          <w:sz w:val="21"/>
        </w:rPr>
        <w:t>图 4-24-2　视频监控 原型页面</w:t>
      </w:r>
    </w:p>
    <w:p>
      <w:pPr>
        <w:spacing w:before="80" w:after="60" w:line="360" w:lineRule="auto"/>
      </w:pPr>
      <w:r>
        <w:rPr>
          <w:rFonts w:ascii="Times New Roman" w:hAnsi="Times New Roman" w:eastAsia="宋体"/>
          <w:b/>
          <w:i w:val="0"/>
          <w:sz w:val="24"/>
        </w:rPr>
        <w:t>页面级说明：</w:t>
      </w: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tblGrid>
      <w:tr>
        <w:trPr>
          <w:tblHeader w:val="true"/>
        </w:trPr>
        <w:tc>
          <w:tcPr>
            <w:tcW w:type="dxa" w:w="1178"/>
            <w:shd w:val="clear" w:color="auto" w:fill="DCE6F1"/>
          </w:tcPr>
          <w:p>
            <w:pPr>
              <w:spacing w:before="40" w:after="40" w:line="276" w:lineRule="auto"/>
              <w:jc w:val="center"/>
            </w:pPr>
            <w:r/>
            <w:r>
              <w:rPr>
                <w:rFonts w:ascii="Times New Roman" w:hAnsi="Times New Roman" w:eastAsia="黑体"/>
                <w:b/>
                <w:i w:val="0"/>
                <w:sz w:val="19"/>
              </w:rPr>
              <w:t>页面</w:t>
            </w:r>
          </w:p>
        </w:tc>
        <w:tc>
          <w:tcPr>
            <w:tcW w:type="dxa" w:w="1531"/>
            <w:shd w:val="clear" w:color="auto" w:fill="DCE6F1"/>
          </w:tcPr>
          <w:p>
            <w:pPr>
              <w:spacing w:before="40" w:after="40" w:line="276" w:lineRule="auto"/>
              <w:jc w:val="center"/>
            </w:pPr>
            <w:r/>
            <w:r>
              <w:rPr>
                <w:rFonts w:ascii="Times New Roman" w:hAnsi="Times New Roman" w:eastAsia="黑体"/>
                <w:b/>
                <w:i w:val="0"/>
                <w:sz w:val="19"/>
              </w:rPr>
              <w:t>原型文件</w:t>
            </w:r>
          </w:p>
        </w:tc>
        <w:tc>
          <w:tcPr>
            <w:tcW w:type="dxa" w:w="1119"/>
            <w:shd w:val="clear" w:color="auto" w:fill="DCE6F1"/>
          </w:tcPr>
          <w:p>
            <w:pPr>
              <w:spacing w:before="40" w:after="40" w:line="276" w:lineRule="auto"/>
              <w:jc w:val="center"/>
            </w:pPr>
            <w:r/>
            <w:r>
              <w:rPr>
                <w:rFonts w:ascii="Times New Roman" w:hAnsi="Times New Roman" w:eastAsia="黑体"/>
                <w:b/>
                <w:i w:val="0"/>
                <w:sz w:val="19"/>
              </w:rPr>
              <w:t>进入方式</w:t>
            </w:r>
          </w:p>
        </w:tc>
        <w:tc>
          <w:tcPr>
            <w:tcW w:type="dxa" w:w="2062"/>
            <w:shd w:val="clear" w:color="auto" w:fill="DCE6F1"/>
          </w:tcPr>
          <w:p>
            <w:pPr>
              <w:spacing w:before="40" w:after="40" w:line="276" w:lineRule="auto"/>
              <w:jc w:val="center"/>
            </w:pPr>
            <w:r/>
            <w:r>
              <w:rPr>
                <w:rFonts w:ascii="Times New Roman" w:hAnsi="Times New Roman" w:eastAsia="黑体"/>
                <w:b/>
                <w:i w:val="0"/>
                <w:sz w:val="19"/>
              </w:rPr>
              <w:t>关键区块</w:t>
            </w:r>
          </w:p>
        </w:tc>
        <w:tc>
          <w:tcPr>
            <w:tcW w:type="dxa" w:w="1767"/>
            <w:shd w:val="clear" w:color="auto" w:fill="DCE6F1"/>
          </w:tcPr>
          <w:p>
            <w:pPr>
              <w:spacing w:before="40" w:after="40" w:line="276" w:lineRule="auto"/>
              <w:jc w:val="center"/>
            </w:pPr>
            <w:r/>
            <w:r>
              <w:rPr>
                <w:rFonts w:ascii="Times New Roman" w:hAnsi="Times New Roman" w:eastAsia="黑体"/>
                <w:b/>
                <w:i w:val="0"/>
                <w:sz w:val="19"/>
              </w:rPr>
              <w:t>主要按钮与行为</w:t>
            </w:r>
          </w:p>
        </w:tc>
        <w:tc>
          <w:tcPr>
            <w:tcW w:type="dxa" w:w="1414"/>
            <w:shd w:val="clear" w:color="auto" w:fill="DCE6F1"/>
          </w:tcPr>
          <w:p>
            <w:pPr>
              <w:spacing w:before="40" w:after="40" w:line="276" w:lineRule="auto"/>
              <w:jc w:val="center"/>
            </w:pPr>
            <w:r/>
            <w:r>
              <w:rPr>
                <w:rFonts w:ascii="Times New Roman" w:hAnsi="Times New Roman" w:eastAsia="黑体"/>
                <w:b/>
                <w:i w:val="0"/>
                <w:sz w:val="19"/>
              </w:rPr>
              <w:t>跳转去向</w:t>
            </w:r>
          </w:p>
        </w:tc>
      </w:tr>
      <w:tr>
        <w:tc>
          <w:tcPr>
            <w:tcW w:type="dxa" w:w="1178"/>
          </w:tcPr>
          <w:p>
            <w:pPr>
              <w:spacing w:before="20" w:after="20" w:line="276" w:lineRule="auto"/>
              <w:ind w:firstLine="0"/>
            </w:pPr>
            <w:r/>
            <w:r>
              <w:rPr>
                <w:rFonts w:ascii="Times New Roman" w:hAnsi="Times New Roman" w:eastAsia="宋体"/>
                <w:b w:val="0"/>
                <w:i w:val="0"/>
                <w:sz w:val="19"/>
              </w:rPr>
              <w:t>视频监控（库点监控）</w:t>
            </w:r>
          </w:p>
        </w:tc>
        <w:tc>
          <w:tcPr>
            <w:tcW w:type="dxa" w:w="1531"/>
          </w:tcPr>
          <w:p>
            <w:pPr>
              <w:spacing w:before="20" w:after="20" w:line="276" w:lineRule="auto"/>
              <w:ind w:firstLine="0"/>
            </w:pPr>
            <w:r/>
            <w:r>
              <w:rPr>
                <w:rFonts w:ascii="Times New Roman" w:hAnsi="Times New Roman" w:eastAsia="宋体"/>
                <w:b w:val="0"/>
                <w:i w:val="0"/>
                <w:sz w:val="19"/>
              </w:rPr>
              <w:t>warehouse-video.html</w:t>
            </w:r>
          </w:p>
        </w:tc>
        <w:tc>
          <w:tcPr>
            <w:tcW w:type="dxa" w:w="1119"/>
          </w:tcPr>
          <w:p>
            <w:pPr>
              <w:spacing w:before="20" w:after="20" w:line="276" w:lineRule="auto"/>
              <w:ind w:firstLine="0"/>
            </w:pPr>
            <w:r/>
            <w:r>
              <w:rPr>
                <w:rFonts w:ascii="Times New Roman" w:hAnsi="Times New Roman" w:eastAsia="宋体"/>
                <w:b w:val="0"/>
                <w:i w:val="0"/>
                <w:sz w:val="19"/>
              </w:rPr>
              <w:t>仓储管理 → 视频监控</w:t>
            </w:r>
          </w:p>
        </w:tc>
        <w:tc>
          <w:tcPr>
            <w:tcW w:type="dxa" w:w="2062"/>
          </w:tcPr>
          <w:p>
            <w:pPr>
              <w:spacing w:before="20" w:after="20" w:line="276" w:lineRule="auto"/>
              <w:ind w:firstLine="0"/>
            </w:pPr>
            <w:r/>
            <w:r>
              <w:rPr>
                <w:rFonts w:ascii="Times New Roman" w:hAnsi="Times New Roman" w:eastAsia="宋体"/>
                <w:b w:val="0"/>
                <w:i w:val="0"/>
                <w:sz w:val="19"/>
              </w:rPr>
              <w:t>页面标题与新增按钮、功能建设状态标签与说明、5 项预期能力清单（库点摄像头实时画面、历史录像回放、智能告警、云台控制、告警事件管理）</w:t>
            </w:r>
          </w:p>
        </w:tc>
        <w:tc>
          <w:tcPr>
            <w:tcW w:type="dxa" w:w="1767"/>
          </w:tcPr>
          <w:p>
            <w:pPr>
              <w:spacing w:before="20" w:after="20" w:line="276" w:lineRule="auto"/>
              <w:ind w:firstLine="0"/>
            </w:pPr>
            <w:r/>
            <w:r>
              <w:rPr>
                <w:rFonts w:ascii="Times New Roman" w:hAnsi="Times New Roman" w:eastAsia="宋体"/>
                <w:b w:val="0"/>
                <w:i w:val="0"/>
                <w:sz w:val="19"/>
              </w:rPr>
              <w:t>新增视频监控（页面顶部按钮，缺省页内未绑定后续交互）</w:t>
            </w:r>
          </w:p>
        </w:tc>
        <w:tc>
          <w:tcPr>
            <w:tcW w:type="dxa" w:w="1414"/>
          </w:tcPr>
          <w:p>
            <w:pPr>
              <w:spacing w:before="20" w:after="20" w:line="276" w:lineRule="auto"/>
              <w:ind w:firstLine="0"/>
            </w:pPr>
            <w:r/>
            <w:r>
              <w:rPr>
                <w:rFonts w:ascii="Times New Roman" w:hAnsi="Times New Roman" w:eastAsia="宋体"/>
                <w:b w:val="0"/>
                <w:i w:val="0"/>
                <w:sz w:val="19"/>
              </w:rPr>
              <w:t>缺省页无跳转；实际监控画面从系统监控的查看详情动作进入</w:t>
            </w:r>
          </w:p>
        </w:tc>
      </w:tr>
      <w:tr>
        <w:tc>
          <w:tcPr>
            <w:tcW w:type="dxa" w:w="1178"/>
          </w:tcPr>
          <w:p>
            <w:pPr>
              <w:spacing w:before="20" w:after="20" w:line="276" w:lineRule="auto"/>
              <w:ind w:firstLine="0"/>
            </w:pPr>
            <w:r/>
            <w:r>
              <w:rPr>
                <w:rFonts w:ascii="Times New Roman" w:hAnsi="Times New Roman" w:eastAsia="宋体"/>
                <w:b w:val="0"/>
                <w:i w:val="0"/>
                <w:sz w:val="19"/>
              </w:rPr>
              <w:t>系统监控（监控入口）</w:t>
            </w:r>
          </w:p>
        </w:tc>
        <w:tc>
          <w:tcPr>
            <w:tcW w:type="dxa" w:w="1531"/>
          </w:tcPr>
          <w:p>
            <w:pPr>
              <w:spacing w:before="20" w:after="20" w:line="276" w:lineRule="auto"/>
              <w:ind w:firstLine="0"/>
            </w:pPr>
            <w:r/>
            <w:r>
              <w:rPr>
                <w:rFonts w:ascii="Times New Roman" w:hAnsi="Times New Roman" w:eastAsia="宋体"/>
                <w:b w:val="0"/>
                <w:i w:val="0"/>
                <w:sz w:val="19"/>
              </w:rPr>
              <w:t>warehouse-system.html</w:t>
            </w:r>
          </w:p>
        </w:tc>
        <w:tc>
          <w:tcPr>
            <w:tcW w:type="dxa" w:w="1119"/>
          </w:tcPr>
          <w:p>
            <w:pPr>
              <w:spacing w:before="20" w:after="20" w:line="276" w:lineRule="auto"/>
              <w:ind w:firstLine="0"/>
            </w:pPr>
            <w:r/>
            <w:r>
              <w:rPr>
                <w:rFonts w:ascii="Times New Roman" w:hAnsi="Times New Roman" w:eastAsia="宋体"/>
                <w:b w:val="0"/>
                <w:i w:val="0"/>
                <w:sz w:val="19"/>
              </w:rPr>
              <w:t>仓储管理 → 系统管理 → 系统监控</w:t>
            </w:r>
          </w:p>
        </w:tc>
        <w:tc>
          <w:tcPr>
            <w:tcW w:type="dxa" w:w="2062"/>
          </w:tcPr>
          <w:p>
            <w:pPr>
              <w:spacing w:before="20" w:after="20" w:line="276" w:lineRule="auto"/>
              <w:ind w:firstLine="0"/>
            </w:pPr>
            <w:r/>
            <w:r>
              <w:rPr>
                <w:rFonts w:ascii="Times New Roman" w:hAnsi="Times New Roman" w:eastAsia="宋体"/>
                <w:b w:val="0"/>
                <w:i w:val="0"/>
                <w:sz w:val="19"/>
              </w:rPr>
              <w:t>6 个字段筛选区、4 个状态分栏（全部、正常、预警、故障，带计数）、9 列设备状态表格</w:t>
            </w:r>
          </w:p>
        </w:tc>
        <w:tc>
          <w:tcPr>
            <w:tcW w:type="dxa" w:w="1767"/>
          </w:tcPr>
          <w:p>
            <w:pPr>
              <w:spacing w:before="20" w:after="20" w:line="276" w:lineRule="auto"/>
              <w:ind w:firstLine="0"/>
            </w:pPr>
            <w:r/>
            <w:r>
              <w:rPr>
                <w:rFonts w:ascii="Times New Roman" w:hAnsi="Times New Roman" w:eastAsia="宋体"/>
                <w:b w:val="0"/>
                <w:i w:val="0"/>
                <w:sz w:val="19"/>
              </w:rPr>
              <w:t>搜索筛选、状态分栏切换、行内查看详情与查看历史</w:t>
            </w:r>
          </w:p>
        </w:tc>
        <w:tc>
          <w:tcPr>
            <w:tcW w:type="dxa" w:w="1414"/>
          </w:tcPr>
          <w:p>
            <w:pPr>
              <w:spacing w:before="20" w:after="20" w:line="276" w:lineRule="auto"/>
              <w:ind w:firstLine="0"/>
            </w:pPr>
            <w:r/>
            <w:r>
              <w:rPr>
                <w:rFonts w:ascii="Times New Roman" w:hAnsi="Times New Roman" w:eastAsia="宋体"/>
                <w:b w:val="0"/>
                <w:i w:val="0"/>
                <w:sz w:val="19"/>
              </w:rPr>
              <w:t>查看详情 → 视频监控页；查看历史 → 该设备的实时数据与最近上报时间</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4.24.8　验收标准与待确认项</w:t>
      </w:r>
    </w:p>
    <w:tbl>
      <w:tblPr>
        <w:tblStyle w:val="TableGrid"/>
        <w:tblW w:type="auto" w:w="0"/>
        <w:jc w:val="center"/>
        <w:tblLayout w:type="fixed"/>
        <w:tblLook w:firstColumn="1" w:firstRow="1" w:lastColumn="0" w:lastRow="0" w:noHBand="0" w:noVBand="1" w:val="04A0"/>
      </w:tblPr>
      <w:tblGrid>
        <w:gridCol w:w="4479"/>
        <w:gridCol w:w="4479"/>
      </w:tblGrid>
      <w:tr>
        <w:trPr>
          <w:tblHeader w:val="true"/>
        </w:trPr>
        <w:tc>
          <w:tcPr>
            <w:tcW w:type="dxa" w:w="1701"/>
            <w:shd w:val="clear" w:color="auto" w:fill="DCE6F1"/>
          </w:tcPr>
          <w:p>
            <w:pPr>
              <w:spacing w:before="40" w:after="40" w:line="276" w:lineRule="auto"/>
              <w:jc w:val="center"/>
            </w:pPr>
            <w:r/>
            <w:r>
              <w:rPr>
                <w:rFonts w:ascii="Times New Roman" w:hAnsi="Times New Roman" w:eastAsia="黑体"/>
                <w:b/>
                <w:i w:val="0"/>
                <w:sz w:val="21"/>
              </w:rPr>
              <w:t>功能</w:t>
            </w:r>
          </w:p>
        </w:tc>
        <w:tc>
          <w:tcPr>
            <w:tcW w:type="dxa" w:w="7370"/>
            <w:shd w:val="clear" w:color="auto" w:fill="DCE6F1"/>
          </w:tcPr>
          <w:p>
            <w:pPr>
              <w:spacing w:before="40" w:after="40" w:line="276" w:lineRule="auto"/>
              <w:jc w:val="center"/>
            </w:pPr>
            <w:r/>
            <w:r>
              <w:rPr>
                <w:rFonts w:ascii="Times New Roman" w:hAnsi="Times New Roman" w:eastAsia="黑体"/>
                <w:b/>
                <w:i w:val="0"/>
                <w:sz w:val="21"/>
              </w:rPr>
              <w:t>验收要点（由关键规则转写）</w:t>
            </w:r>
          </w:p>
        </w:tc>
      </w:tr>
      <w:tr>
        <w:tc>
          <w:tcPr>
            <w:tcW w:type="dxa" w:w="1701"/>
          </w:tcPr>
          <w:p>
            <w:pPr>
              <w:spacing w:before="20" w:after="20" w:line="276" w:lineRule="auto"/>
              <w:ind w:firstLine="0"/>
            </w:pPr>
            <w:r/>
            <w:r>
              <w:rPr>
                <w:rFonts w:ascii="Times New Roman" w:hAnsi="Times New Roman" w:eastAsia="宋体"/>
                <w:b w:val="0"/>
                <w:i w:val="0"/>
                <w:sz w:val="21"/>
              </w:rPr>
              <w:t>库点实时画面</w:t>
            </w:r>
          </w:p>
        </w:tc>
        <w:tc>
          <w:tcPr>
            <w:tcW w:type="dxa" w:w="7370"/>
          </w:tcPr>
          <w:p>
            <w:pPr>
              <w:spacing w:before="20" w:after="20" w:line="276" w:lineRule="auto"/>
              <w:ind w:firstLine="0"/>
            </w:pPr>
            <w:r/>
            <w:r>
              <w:rPr>
                <w:rFonts w:ascii="Times New Roman" w:hAnsi="Times New Roman" w:eastAsia="宋体"/>
                <w:b w:val="0"/>
                <w:i w:val="0"/>
                <w:sz w:val="21"/>
              </w:rPr>
              <w:t>支持多库点分屏查看，单屏最多 4×4 共 16 路同时预览；实时画面走 RTSP 或 HLS 协议接入</w:t>
            </w:r>
          </w:p>
        </w:tc>
      </w:tr>
      <w:tr>
        <w:tc>
          <w:tcPr>
            <w:tcW w:type="dxa" w:w="1701"/>
          </w:tcPr>
          <w:p>
            <w:pPr>
              <w:spacing w:before="20" w:after="20" w:line="276" w:lineRule="auto"/>
              <w:ind w:firstLine="0"/>
            </w:pPr>
            <w:r/>
            <w:r>
              <w:rPr>
                <w:rFonts w:ascii="Times New Roman" w:hAnsi="Times New Roman" w:eastAsia="宋体"/>
                <w:b w:val="0"/>
                <w:i w:val="0"/>
                <w:sz w:val="21"/>
              </w:rPr>
              <w:t>历史录像回放</w:t>
            </w:r>
          </w:p>
        </w:tc>
        <w:tc>
          <w:tcPr>
            <w:tcW w:type="dxa" w:w="7370"/>
          </w:tcPr>
          <w:p>
            <w:pPr>
              <w:spacing w:before="20" w:after="20" w:line="276" w:lineRule="auto"/>
              <w:ind w:firstLine="0"/>
            </w:pPr>
            <w:r/>
            <w:r>
              <w:rPr>
                <w:rFonts w:ascii="Times New Roman" w:hAnsi="Times New Roman" w:eastAsia="宋体"/>
                <w:b w:val="0"/>
                <w:i w:val="0"/>
                <w:sz w:val="21"/>
              </w:rPr>
              <w:t>支持 7×24 小时录像回放，提供时间轴拖动与倍速播放；录像保留天数默认 30 天</w:t>
            </w:r>
          </w:p>
        </w:tc>
      </w:tr>
      <w:tr>
        <w:tc>
          <w:tcPr>
            <w:tcW w:type="dxa" w:w="1701"/>
          </w:tcPr>
          <w:p>
            <w:pPr>
              <w:spacing w:before="20" w:after="20" w:line="276" w:lineRule="auto"/>
              <w:ind w:firstLine="0"/>
            </w:pPr>
            <w:r/>
            <w:r>
              <w:rPr>
                <w:rFonts w:ascii="Times New Roman" w:hAnsi="Times New Roman" w:eastAsia="宋体"/>
                <w:b w:val="0"/>
                <w:i w:val="0"/>
                <w:sz w:val="21"/>
              </w:rPr>
              <w:t>智能异常告警</w:t>
            </w:r>
          </w:p>
        </w:tc>
        <w:tc>
          <w:tcPr>
            <w:tcW w:type="dxa" w:w="7370"/>
          </w:tcPr>
          <w:p>
            <w:pPr>
              <w:spacing w:before="20" w:after="20" w:line="276" w:lineRule="auto"/>
              <w:ind w:firstLine="0"/>
            </w:pPr>
            <w:r/>
            <w:r>
              <w:rPr>
                <w:rFonts w:ascii="Times New Roman" w:hAnsi="Times New Roman" w:eastAsia="宋体"/>
                <w:b w:val="0"/>
                <w:i w:val="0"/>
                <w:sz w:val="21"/>
              </w:rPr>
              <w:t>人员闯入、烟火检测、车辆滞留等场景自动识别并告警；告警实时推送；告警事件按类型分类并进入处理流程闭环</w:t>
            </w:r>
          </w:p>
        </w:tc>
      </w:tr>
      <w:tr>
        <w:tc>
          <w:tcPr>
            <w:tcW w:type="dxa" w:w="1701"/>
          </w:tcPr>
          <w:p>
            <w:pPr>
              <w:spacing w:before="20" w:after="20" w:line="276" w:lineRule="auto"/>
              <w:ind w:firstLine="0"/>
            </w:pPr>
            <w:r/>
            <w:r>
              <w:rPr>
                <w:rFonts w:ascii="Times New Roman" w:hAnsi="Times New Roman" w:eastAsia="宋体"/>
                <w:b w:val="0"/>
                <w:i w:val="0"/>
                <w:sz w:val="21"/>
              </w:rPr>
              <w:t>云台控制</w:t>
            </w:r>
          </w:p>
        </w:tc>
        <w:tc>
          <w:tcPr>
            <w:tcW w:type="dxa" w:w="7370"/>
          </w:tcPr>
          <w:p>
            <w:pPr>
              <w:spacing w:before="20" w:after="20" w:line="276" w:lineRule="auto"/>
              <w:ind w:firstLine="0"/>
            </w:pPr>
            <w:r/>
            <w:r>
              <w:rPr>
                <w:rFonts w:ascii="Times New Roman" w:hAnsi="Times New Roman" w:eastAsia="宋体"/>
                <w:b w:val="0"/>
                <w:i w:val="0"/>
                <w:sz w:val="21"/>
              </w:rPr>
              <w:t>支持上下左右移动、变倍与聚焦三类控制动作；仅对支持云台的摄像头生效</w:t>
            </w:r>
          </w:p>
        </w:tc>
      </w:tr>
      <w:tr>
        <w:tc>
          <w:tcPr>
            <w:tcW w:type="dxa" w:w="1701"/>
          </w:tcPr>
          <w:p>
            <w:pPr>
              <w:spacing w:before="20" w:after="20" w:line="276" w:lineRule="auto"/>
              <w:ind w:firstLine="0"/>
            </w:pPr>
            <w:r/>
            <w:r>
              <w:rPr>
                <w:rFonts w:ascii="Times New Roman" w:hAnsi="Times New Roman" w:eastAsia="宋体"/>
                <w:b w:val="0"/>
                <w:i w:val="0"/>
                <w:sz w:val="21"/>
              </w:rPr>
              <w:t>摄像头台账</w:t>
            </w:r>
          </w:p>
        </w:tc>
        <w:tc>
          <w:tcPr>
            <w:tcW w:type="dxa" w:w="7370"/>
          </w:tcPr>
          <w:p>
            <w:pPr>
              <w:spacing w:before="20" w:after="20" w:line="276" w:lineRule="auto"/>
              <w:ind w:firstLine="0"/>
            </w:pPr>
            <w:r/>
            <w:r>
              <w:rPr>
                <w:rFonts w:ascii="Times New Roman" w:hAnsi="Times New Roman" w:eastAsia="宋体"/>
                <w:b w:val="0"/>
                <w:i w:val="0"/>
                <w:sz w:val="21"/>
              </w:rPr>
              <w:t>摄像头 ID 由系统自动生成；安装位置枚举为大门、卸货区、库内、办公区、周界；在线状态枚举为在线、离线、故障；最后心跳按 yyyy-MM-dd HH:mm:ss 记录；IP 地址按 192.168.x.x 形式的内网地址记录</w:t>
            </w:r>
          </w:p>
        </w:tc>
      </w:tr>
      <w:tr>
        <w:tc>
          <w:tcPr>
            <w:tcW w:type="dxa" w:w="1701"/>
          </w:tcPr>
          <w:p>
            <w:pPr>
              <w:spacing w:before="20" w:after="20" w:line="276" w:lineRule="auto"/>
              <w:ind w:firstLine="0"/>
            </w:pPr>
            <w:r/>
            <w:r>
              <w:rPr>
                <w:rFonts w:ascii="Times New Roman" w:hAnsi="Times New Roman" w:eastAsia="宋体"/>
                <w:b w:val="0"/>
                <w:i w:val="0"/>
                <w:sz w:val="21"/>
              </w:rPr>
              <w:t>视频监控与仓储单据联动</w:t>
            </w:r>
          </w:p>
        </w:tc>
        <w:tc>
          <w:tcPr>
            <w:tcW w:type="dxa" w:w="7370"/>
          </w:tcPr>
          <w:p>
            <w:pPr>
              <w:spacing w:before="20" w:after="20" w:line="276" w:lineRule="auto"/>
              <w:ind w:firstLine="0"/>
            </w:pPr>
            <w:r/>
            <w:r>
              <w:rPr>
                <w:rFonts w:ascii="Times New Roman" w:hAnsi="Times New Roman" w:eastAsia="宋体"/>
                <w:b w:val="0"/>
                <w:i w:val="0"/>
                <w:sz w:val="21"/>
              </w:rPr>
              <w:t>入库单详情与放货指令详情可按关联单据号进入监控画面；预警中心的异常事件告警可按摄像头编号进入监控画面</w:t>
            </w:r>
          </w:p>
        </w:tc>
      </w:tr>
    </w:tbl>
    <w:p>
      <w:pPr>
        <w:spacing w:before="0" w:after="0" w:line="240" w:lineRule="auto"/>
      </w:pPr>
    </w:p>
    <w:p>
      <w:pPr>
        <w:spacing w:before="120" w:after="60" w:line="360" w:lineRule="auto"/>
      </w:pPr>
      <w:r>
        <w:rPr>
          <w:rFonts w:ascii="Times New Roman" w:hAnsi="Times New Roman" w:eastAsia="宋体"/>
          <w:b/>
          <w:i w:val="0"/>
          <w:sz w:val="24"/>
        </w:rPr>
        <w:t>待业务方确认：</w:t>
      </w:r>
    </w:p>
    <w:p>
      <w:pPr>
        <w:spacing w:before="0" w:after="60" w:line="336" w:lineRule="auto"/>
        <w:ind w:left="340" w:firstLine="0"/>
      </w:pPr>
      <w:r>
        <w:rPr>
          <w:rFonts w:ascii="Times New Roman" w:hAnsi="Times New Roman" w:eastAsia="宋体"/>
          <w:b w:val="0"/>
          <w:i w:val="0"/>
          <w:sz w:val="24"/>
        </w:rPr>
        <w:t>· 待业务方确认：视频监控本期是交付完整功能，还是按缺省页保持与线上系统一致</w:t>
      </w:r>
    </w:p>
    <w:p>
      <w:pPr>
        <w:spacing w:before="0" w:after="60" w:line="336" w:lineRule="auto"/>
        <w:ind w:left="340" w:firstLine="0"/>
      </w:pPr>
      <w:r>
        <w:rPr>
          <w:rFonts w:ascii="Times New Roman" w:hAnsi="Times New Roman" w:eastAsia="宋体"/>
          <w:b w:val="0"/>
          <w:i w:val="0"/>
          <w:sz w:val="24"/>
        </w:rPr>
        <w:t>· 待业务方确认：监控设备表、仓库与摄像头关联表、录像文件表、异常事件表的数据结构与字段清单</w:t>
      </w:r>
    </w:p>
    <w:p>
      <w:pPr>
        <w:spacing w:before="0" w:after="60" w:line="336" w:lineRule="auto"/>
        <w:ind w:left="340" w:firstLine="0"/>
      </w:pPr>
      <w:r>
        <w:rPr>
          <w:rFonts w:ascii="Times New Roman" w:hAnsi="Times New Roman" w:eastAsia="宋体"/>
          <w:b w:val="0"/>
          <w:i w:val="0"/>
          <w:sz w:val="24"/>
        </w:rPr>
        <w:t>· 待业务方确认：视频流的接入与回放实现方式，以及录像的存储位置与保留策略执行方式</w:t>
      </w:r>
    </w:p>
    <w:p>
      <w:pPr>
        <w:spacing w:before="0" w:after="60" w:line="336" w:lineRule="auto"/>
        <w:ind w:left="340" w:firstLine="0"/>
      </w:pPr>
      <w:r>
        <w:rPr>
          <w:rFonts w:ascii="Times New Roman" w:hAnsi="Times New Roman" w:eastAsia="宋体"/>
          <w:b w:val="0"/>
          <w:i w:val="0"/>
          <w:sz w:val="24"/>
        </w:rPr>
        <w:t>· 待业务方确认：摄像头型号的枚举取值范围</w:t>
      </w:r>
    </w:p>
    <w:p>
      <w:pPr>
        <w:spacing w:before="0" w:after="60" w:line="336" w:lineRule="auto"/>
        <w:ind w:left="340" w:firstLine="0"/>
      </w:pPr>
      <w:r>
        <w:rPr>
          <w:rFonts w:ascii="Times New Roman" w:hAnsi="Times New Roman" w:eastAsia="宋体"/>
          <w:b w:val="0"/>
          <w:i w:val="0"/>
          <w:sz w:val="24"/>
        </w:rPr>
        <w:t>· 待业务方确认：告警事件与预警中心的推送与处置分工，避免同一事件重复告警</w:t>
      </w:r>
    </w:p>
    <w:p>
      <w:pPr>
        <w:spacing w:before="0" w:after="60" w:line="336" w:lineRule="auto"/>
        <w:ind w:left="340" w:firstLine="0"/>
      </w:pPr>
      <w:r>
        <w:rPr>
          <w:rFonts w:ascii="Times New Roman" w:hAnsi="Times New Roman" w:eastAsia="宋体"/>
          <w:b w:val="0"/>
          <w:i w:val="0"/>
          <w:sz w:val="24"/>
        </w:rPr>
        <w:t>· 待业务方确认：是否需要记录查看监控的行为留痕，以及保留期限</w:t>
      </w:r>
    </w:p>
    <w:p>
      <w:r>
        <w:br w:type="page"/>
      </w:r>
    </w:p>
    <w:p>
      <w:pPr>
        <w:pStyle w:val="Heading2"/>
        <w:keepNext/>
        <w:spacing w:before="240" w:after="120" w:line="312" w:lineRule="auto"/>
        <w:ind w:firstLine="0"/>
      </w:pPr>
      <w:r>
        <w:rPr>
          <w:rFonts w:ascii="Times New Roman" w:hAnsi="Times New Roman" w:eastAsia="黑体"/>
          <w:b/>
          <w:i w:val="0"/>
          <w:sz w:val="28"/>
        </w:rPr>
        <w:t>4.25　巡库管理</w:t>
      </w:r>
    </w:p>
    <w:p>
      <w:pPr>
        <w:spacing w:before="0" w:after="160" w:line="360" w:lineRule="auto"/>
      </w:pPr>
      <w:r>
        <w:rPr>
          <w:rFonts w:ascii="Times New Roman" w:hAnsi="Times New Roman" w:eastAsia="宋体"/>
          <w:b w:val="0"/>
          <w:i w:val="0"/>
          <w:color w:val="595959"/>
          <w:sz w:val="21"/>
        </w:rPr>
        <w:t>菜单路径：仓储管理 / 巡库管理</w:t>
      </w:r>
    </w:p>
    <w:p>
      <w:pPr>
        <w:pStyle w:val="Heading3"/>
        <w:keepNext/>
        <w:spacing w:before="160" w:after="80" w:line="312" w:lineRule="auto"/>
        <w:ind w:firstLine="0"/>
      </w:pPr>
      <w:r>
        <w:rPr>
          <w:rFonts w:ascii="Times New Roman" w:hAnsi="Times New Roman" w:eastAsia="黑体"/>
          <w:b/>
          <w:i w:val="0"/>
          <w:sz w:val="24"/>
        </w:rPr>
        <w:t>4.25.1　一页结论</w:t>
      </w:r>
    </w:p>
    <w:p>
      <w:pPr>
        <w:spacing w:before="0" w:after="120" w:line="360" w:lineRule="auto"/>
      </w:pPr>
      <w:r>
        <w:rPr>
          <w:rFonts w:ascii="Times New Roman" w:hAnsi="Times New Roman" w:eastAsia="宋体"/>
          <w:b w:val="0"/>
          <w:i w:val="0"/>
          <w:sz w:val="24"/>
        </w:rPr>
        <w:t>记录仓储现场的定期巡检与异常盘点：登记巡库结果与处理状态，把发现的盘盈盘亏转成库存调整，形成从巡检到账实核对的闭环。</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928"/>
            <w:shd w:val="clear" w:color="auto" w:fill="DCE6F1"/>
          </w:tcPr>
          <w:p>
            <w:pPr>
              <w:spacing w:before="40" w:after="40" w:line="276" w:lineRule="auto"/>
              <w:jc w:val="center"/>
            </w:pPr>
            <w:r/>
            <w:r>
              <w:rPr>
                <w:rFonts w:ascii="Times New Roman" w:hAnsi="Times New Roman" w:eastAsia="黑体"/>
                <w:b/>
                <w:i w:val="0"/>
                <w:sz w:val="21"/>
              </w:rPr>
              <w:t>问题</w:t>
            </w:r>
          </w:p>
        </w:tc>
        <w:tc>
          <w:tcPr>
            <w:tcW w:type="dxa" w:w="3572"/>
            <w:shd w:val="clear" w:color="auto" w:fill="DCE6F1"/>
          </w:tcPr>
          <w:p>
            <w:pPr>
              <w:spacing w:before="40" w:after="40" w:line="276" w:lineRule="auto"/>
              <w:jc w:val="center"/>
            </w:pPr>
            <w:r/>
            <w:r>
              <w:rPr>
                <w:rFonts w:ascii="Times New Roman" w:hAnsi="Times New Roman" w:eastAsia="黑体"/>
                <w:b/>
                <w:i w:val="0"/>
                <w:sz w:val="21"/>
              </w:rPr>
              <w:t>当前做法</w:t>
            </w:r>
          </w:p>
        </w:tc>
        <w:tc>
          <w:tcPr>
            <w:tcW w:type="dxa" w:w="3572"/>
            <w:shd w:val="clear" w:color="auto" w:fill="DCE6F1"/>
          </w:tcPr>
          <w:p>
            <w:pPr>
              <w:spacing w:before="40" w:after="40" w:line="276" w:lineRule="auto"/>
              <w:jc w:val="center"/>
            </w:pPr>
            <w:r/>
            <w:r>
              <w:rPr>
                <w:rFonts w:ascii="Times New Roman" w:hAnsi="Times New Roman" w:eastAsia="黑体"/>
                <w:b/>
                <w:i w:val="0"/>
                <w:sz w:val="21"/>
              </w:rPr>
              <w:t>本模块解法</w:t>
            </w:r>
          </w:p>
        </w:tc>
      </w:tr>
      <w:tr>
        <w:tc>
          <w:tcPr>
            <w:tcW w:type="dxa" w:w="1928"/>
          </w:tcPr>
          <w:p>
            <w:pPr>
              <w:spacing w:before="20" w:after="20" w:line="276" w:lineRule="auto"/>
              <w:ind w:firstLine="0"/>
            </w:pPr>
            <w:r/>
            <w:r>
              <w:rPr>
                <w:rFonts w:ascii="Times New Roman" w:hAnsi="Times New Roman" w:eastAsia="宋体"/>
                <w:b w:val="0"/>
                <w:i w:val="0"/>
                <w:sz w:val="21"/>
              </w:rPr>
              <w:t>巡检无留痕，事后说不清是否巡过</w:t>
            </w:r>
          </w:p>
        </w:tc>
        <w:tc>
          <w:tcPr>
            <w:tcW w:type="dxa" w:w="3572"/>
          </w:tcPr>
          <w:p>
            <w:pPr>
              <w:spacing w:before="20" w:after="20" w:line="276" w:lineRule="auto"/>
              <w:ind w:firstLine="0"/>
            </w:pPr>
            <w:r/>
            <w:r>
              <w:rPr>
                <w:rFonts w:ascii="Times New Roman" w:hAnsi="Times New Roman" w:eastAsia="宋体"/>
                <w:b w:val="0"/>
                <w:i w:val="0"/>
                <w:sz w:val="21"/>
              </w:rPr>
              <w:t>库管定期巡检靠纸质记录，货物受损或错放时无法证明巡检范围与时间</w:t>
            </w:r>
          </w:p>
        </w:tc>
        <w:tc>
          <w:tcPr>
            <w:tcW w:type="dxa" w:w="3572"/>
          </w:tcPr>
          <w:p>
            <w:pPr>
              <w:spacing w:before="20" w:after="20" w:line="276" w:lineRule="auto"/>
              <w:ind w:firstLine="0"/>
            </w:pPr>
            <w:r/>
            <w:r>
              <w:rPr>
                <w:rFonts w:ascii="Times New Roman" w:hAnsi="Times New Roman" w:eastAsia="宋体"/>
                <w:b w:val="0"/>
                <w:i w:val="0"/>
                <w:sz w:val="21"/>
              </w:rPr>
              <w:t>每次巡库生成巡库记录，留存巡库人员、巡库时间、巡库结果与处理状态</w:t>
            </w:r>
          </w:p>
        </w:tc>
      </w:tr>
      <w:tr>
        <w:tc>
          <w:tcPr>
            <w:tcW w:type="dxa" w:w="1928"/>
          </w:tcPr>
          <w:p>
            <w:pPr>
              <w:spacing w:before="20" w:after="20" w:line="276" w:lineRule="auto"/>
              <w:ind w:firstLine="0"/>
            </w:pPr>
            <w:r/>
            <w:r>
              <w:rPr>
                <w:rFonts w:ascii="Times New Roman" w:hAnsi="Times New Roman" w:eastAsia="宋体"/>
                <w:b w:val="0"/>
                <w:i w:val="0"/>
                <w:sz w:val="21"/>
              </w:rPr>
              <w:t>巡检发现问题没有闭环</w:t>
            </w:r>
          </w:p>
        </w:tc>
        <w:tc>
          <w:tcPr>
            <w:tcW w:type="dxa" w:w="3572"/>
          </w:tcPr>
          <w:p>
            <w:pPr>
              <w:spacing w:before="20" w:after="20" w:line="276" w:lineRule="auto"/>
              <w:ind w:firstLine="0"/>
            </w:pPr>
            <w:r/>
            <w:r>
              <w:rPr>
                <w:rFonts w:ascii="Times New Roman" w:hAnsi="Times New Roman" w:eastAsia="宋体"/>
                <w:b w:val="0"/>
                <w:i w:val="0"/>
                <w:sz w:val="21"/>
              </w:rPr>
              <w:t>发现货损、错放、串仓只在口头反馈给主管，后续是否整改无从跟踪</w:t>
            </w:r>
          </w:p>
        </w:tc>
        <w:tc>
          <w:tcPr>
            <w:tcW w:type="dxa" w:w="3572"/>
          </w:tcPr>
          <w:p>
            <w:pPr>
              <w:spacing w:before="20" w:after="20" w:line="276" w:lineRule="auto"/>
              <w:ind w:firstLine="0"/>
            </w:pPr>
            <w:r/>
            <w:r>
              <w:rPr>
                <w:rFonts w:ascii="Times New Roman" w:hAnsi="Times New Roman" w:eastAsia="宋体"/>
                <w:b w:val="0"/>
                <w:i w:val="0"/>
                <w:sz w:val="21"/>
              </w:rPr>
              <w:t>巡库结果分正常、异常、待处理三类，配合已处理、未处理、已关闭三种处理状态与处理时间跟踪闭环</w:t>
            </w:r>
          </w:p>
        </w:tc>
      </w:tr>
      <w:tr>
        <w:tc>
          <w:tcPr>
            <w:tcW w:type="dxa" w:w="1928"/>
          </w:tcPr>
          <w:p>
            <w:pPr>
              <w:spacing w:before="20" w:after="20" w:line="276" w:lineRule="auto"/>
              <w:ind w:firstLine="0"/>
            </w:pPr>
            <w:r/>
            <w:r>
              <w:rPr>
                <w:rFonts w:ascii="Times New Roman" w:hAnsi="Times New Roman" w:eastAsia="宋体"/>
                <w:b w:val="0"/>
                <w:i w:val="0"/>
                <w:sz w:val="21"/>
              </w:rPr>
              <w:t>盘盈盘亏没有调整入口</w:t>
            </w:r>
          </w:p>
        </w:tc>
        <w:tc>
          <w:tcPr>
            <w:tcW w:type="dxa" w:w="3572"/>
          </w:tcPr>
          <w:p>
            <w:pPr>
              <w:spacing w:before="20" w:after="20" w:line="276" w:lineRule="auto"/>
              <w:ind w:firstLine="0"/>
            </w:pPr>
            <w:r/>
            <w:r>
              <w:rPr>
                <w:rFonts w:ascii="Times New Roman" w:hAnsi="Times New Roman" w:eastAsia="宋体"/>
                <w:b w:val="0"/>
                <w:i w:val="0"/>
                <w:sz w:val="21"/>
              </w:rPr>
              <w:t>盘点出的差异要线下做调整单，再由人工去改库存</w:t>
            </w:r>
          </w:p>
        </w:tc>
        <w:tc>
          <w:tcPr>
            <w:tcW w:type="dxa" w:w="3572"/>
          </w:tcPr>
          <w:p>
            <w:pPr>
              <w:spacing w:before="20" w:after="20" w:line="276" w:lineRule="auto"/>
              <w:ind w:firstLine="0"/>
            </w:pPr>
            <w:r/>
            <w:r>
              <w:rPr>
                <w:rFonts w:ascii="Times New Roman" w:hAnsi="Times New Roman" w:eastAsia="宋体"/>
                <w:b w:val="0"/>
                <w:i w:val="0"/>
                <w:sz w:val="21"/>
              </w:rPr>
              <w:t>巡库记录支持一键提交盘盈入库或盘亏出库，提交后自动更新库存台账实际库存</w:t>
            </w:r>
          </w:p>
        </w:tc>
      </w:tr>
      <w:tr>
        <w:tc>
          <w:tcPr>
            <w:tcW w:type="dxa" w:w="1928"/>
          </w:tcPr>
          <w:p>
            <w:pPr>
              <w:spacing w:before="20" w:after="20" w:line="276" w:lineRule="auto"/>
              <w:ind w:firstLine="0"/>
            </w:pPr>
            <w:r/>
            <w:r>
              <w:rPr>
                <w:rFonts w:ascii="Times New Roman" w:hAnsi="Times New Roman" w:eastAsia="宋体"/>
                <w:b w:val="0"/>
                <w:i w:val="0"/>
                <w:sz w:val="21"/>
              </w:rPr>
              <w:t>该巡哪些仓房靠人工记忆</w:t>
            </w:r>
          </w:p>
        </w:tc>
        <w:tc>
          <w:tcPr>
            <w:tcW w:type="dxa" w:w="3572"/>
          </w:tcPr>
          <w:p>
            <w:pPr>
              <w:spacing w:before="20" w:after="20" w:line="276" w:lineRule="auto"/>
              <w:ind w:firstLine="0"/>
            </w:pPr>
            <w:r/>
            <w:r>
              <w:rPr>
                <w:rFonts w:ascii="Times New Roman" w:hAnsi="Times New Roman" w:eastAsia="宋体"/>
                <w:b w:val="0"/>
                <w:i w:val="0"/>
                <w:sz w:val="21"/>
              </w:rPr>
              <w:t>巡库计划靠仓管自己排，容易漏巡某个仓房</w:t>
            </w:r>
          </w:p>
        </w:tc>
        <w:tc>
          <w:tcPr>
            <w:tcW w:type="dxa" w:w="3572"/>
          </w:tcPr>
          <w:p>
            <w:pPr>
              <w:spacing w:before="20" w:after="20" w:line="276" w:lineRule="auto"/>
              <w:ind w:firstLine="0"/>
            </w:pPr>
            <w:r/>
            <w:r>
              <w:rPr>
                <w:rFonts w:ascii="Times New Roman" w:hAnsi="Times New Roman" w:eastAsia="宋体"/>
                <w:b w:val="0"/>
                <w:i w:val="0"/>
                <w:sz w:val="21"/>
              </w:rPr>
              <w:t>仓房管理提供仓房级巡库任务开关，开启后该仓房自动纳入巡库计划</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4.25.2　背景与目标</w:t>
      </w:r>
    </w:p>
    <w:tbl>
      <w:tblPr>
        <w:tblStyle w:val="TableGrid"/>
        <w:tblW w:type="auto" w:w="0"/>
        <w:jc w:val="center"/>
        <w:tblLayout w:type="fixed"/>
        <w:tblLook w:firstColumn="1" w:firstRow="1" w:lastColumn="0" w:lastRow="0" w:noHBand="0" w:noVBand="1" w:val="04A0"/>
      </w:tblPr>
      <w:tblGrid>
        <w:gridCol w:w="8958"/>
      </w:tblGrid>
      <w:tr>
        <w:trPr>
          <w:tblHeader w:val="true"/>
        </w:trPr>
        <w:tc>
          <w:tcPr>
            <w:tcW w:type="dxa" w:w="9071"/>
            <w:shd w:val="clear" w:color="auto" w:fill="DCE6F1"/>
          </w:tcPr>
          <w:p>
            <w:pPr>
              <w:spacing w:before="40" w:after="40" w:line="276" w:lineRule="auto"/>
              <w:jc w:val="center"/>
            </w:pPr>
            <w:r/>
            <w:r>
              <w:rPr>
                <w:rFonts w:ascii="Times New Roman" w:hAnsi="Times New Roman" w:eastAsia="黑体"/>
                <w:b/>
                <w:i w:val="0"/>
                <w:sz w:val="21"/>
              </w:rPr>
              <w:t>目标 / 衡量口径</w:t>
            </w:r>
          </w:p>
        </w:tc>
      </w:tr>
      <w:tr>
        <w:tc>
          <w:tcPr>
            <w:tcW w:type="dxa" w:w="9071"/>
          </w:tcPr>
          <w:p>
            <w:pPr>
              <w:spacing w:before="20" w:after="20" w:line="276" w:lineRule="auto"/>
              <w:ind w:firstLine="0"/>
            </w:pPr>
            <w:r/>
            <w:r>
              <w:rPr>
                <w:rFonts w:ascii="Times New Roman" w:hAnsi="Times New Roman" w:eastAsia="宋体"/>
                <w:b w:val="0"/>
                <w:i w:val="0"/>
                <w:sz w:val="21"/>
              </w:rPr>
              <w:t>每次巡库都生成可追溯的巡库记录，包含巡库人员、巡库时间、巡库结果与处理状态</w:t>
            </w:r>
          </w:p>
        </w:tc>
      </w:tr>
      <w:tr>
        <w:tc>
          <w:tcPr>
            <w:tcW w:type="dxa" w:w="9071"/>
          </w:tcPr>
          <w:p>
            <w:pPr>
              <w:spacing w:before="20" w:after="20" w:line="276" w:lineRule="auto"/>
              <w:ind w:firstLine="0"/>
            </w:pPr>
            <w:r/>
            <w:r>
              <w:rPr>
                <w:rFonts w:ascii="Times New Roman" w:hAnsi="Times New Roman" w:eastAsia="宋体"/>
                <w:b w:val="0"/>
                <w:i w:val="0"/>
                <w:sz w:val="21"/>
              </w:rPr>
              <w:t>巡库结果与处理状态在列表筛选与状态标签上口径一致，异常与待处理一眼可辨</w:t>
            </w:r>
          </w:p>
        </w:tc>
      </w:tr>
      <w:tr>
        <w:tc>
          <w:tcPr>
            <w:tcW w:type="dxa" w:w="9071"/>
          </w:tcPr>
          <w:p>
            <w:pPr>
              <w:spacing w:before="20" w:after="20" w:line="276" w:lineRule="auto"/>
              <w:ind w:firstLine="0"/>
            </w:pPr>
            <w:r/>
            <w:r>
              <w:rPr>
                <w:rFonts w:ascii="Times New Roman" w:hAnsi="Times New Roman" w:eastAsia="宋体"/>
                <w:b w:val="0"/>
                <w:i w:val="0"/>
                <w:sz w:val="21"/>
              </w:rPr>
              <w:t>巡库发现的盘盈盘亏可一键转为盘盈入库或盘亏出库并更新实际库存</w:t>
            </w:r>
          </w:p>
        </w:tc>
      </w:tr>
      <w:tr>
        <w:tc>
          <w:tcPr>
            <w:tcW w:type="dxa" w:w="9071"/>
          </w:tcPr>
          <w:p>
            <w:pPr>
              <w:spacing w:before="20" w:after="20" w:line="276" w:lineRule="auto"/>
              <w:ind w:firstLine="0"/>
            </w:pPr>
            <w:r/>
            <w:r>
              <w:rPr>
                <w:rFonts w:ascii="Times New Roman" w:hAnsi="Times New Roman" w:eastAsia="宋体"/>
                <w:b w:val="0"/>
                <w:i w:val="0"/>
                <w:sz w:val="21"/>
              </w:rPr>
              <w:t>仓房级巡库任务开关可配置，开启的仓房自动纳入巡库计划</w:t>
            </w:r>
          </w:p>
        </w:tc>
      </w:tr>
    </w:tbl>
    <w:p>
      <w:pPr>
        <w:spacing w:before="0" w:after="0" w:line="240" w:lineRule="auto"/>
      </w:pPr>
    </w:p>
    <w:p>
      <w:pPr>
        <w:spacing w:before="80" w:after="120" w:line="360" w:lineRule="auto"/>
      </w:pPr>
      <w:r>
        <w:rPr>
          <w:rFonts w:ascii="Times New Roman" w:hAnsi="Times New Roman" w:eastAsia="宋体"/>
          <w:b w:val="0"/>
          <w:i w:val="0"/>
          <w:color w:val="595959"/>
          <w:sz w:val="21"/>
        </w:rPr>
        <w:t>说明：文中口径以业务方已确认结论为准；未确认项集中列于本章末与第 5 章。</w:t>
      </w:r>
    </w:p>
    <w:p>
      <w:pPr>
        <w:pStyle w:val="Heading3"/>
        <w:keepNext/>
        <w:spacing w:before="160" w:after="80" w:line="312" w:lineRule="auto"/>
        <w:ind w:firstLine="0"/>
      </w:pPr>
      <w:r>
        <w:rPr>
          <w:rFonts w:ascii="Times New Roman" w:hAnsi="Times New Roman" w:eastAsia="黑体"/>
          <w:b/>
          <w:i w:val="0"/>
          <w:sz w:val="24"/>
        </w:rPr>
        <w:t>4.25.3　角色与用户需求</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361"/>
            <w:shd w:val="clear" w:color="auto" w:fill="DCE6F1"/>
          </w:tcPr>
          <w:p>
            <w:pPr>
              <w:spacing w:before="40" w:after="40" w:line="276" w:lineRule="auto"/>
              <w:jc w:val="center"/>
            </w:pPr>
            <w:r/>
            <w:r>
              <w:rPr>
                <w:rFonts w:ascii="Times New Roman" w:hAnsi="Times New Roman" w:eastAsia="黑体"/>
                <w:b/>
                <w:i w:val="0"/>
                <w:sz w:val="21"/>
              </w:rPr>
              <w:t>角色</w:t>
            </w:r>
          </w:p>
        </w:tc>
        <w:tc>
          <w:tcPr>
            <w:tcW w:type="dxa" w:w="1247"/>
            <w:shd w:val="clear" w:color="auto" w:fill="DCE6F1"/>
          </w:tcPr>
          <w:p>
            <w:pPr>
              <w:spacing w:before="40" w:after="40" w:line="276" w:lineRule="auto"/>
              <w:jc w:val="center"/>
            </w:pPr>
            <w:r/>
            <w:r>
              <w:rPr>
                <w:rFonts w:ascii="Times New Roman" w:hAnsi="Times New Roman" w:eastAsia="黑体"/>
                <w:b/>
                <w:i w:val="0"/>
                <w:sz w:val="21"/>
              </w:rPr>
              <w:t>所属部门</w:t>
            </w:r>
          </w:p>
        </w:tc>
        <w:tc>
          <w:tcPr>
            <w:tcW w:type="dxa" w:w="6463"/>
            <w:shd w:val="clear" w:color="auto" w:fill="DCE6F1"/>
          </w:tcPr>
          <w:p>
            <w:pPr>
              <w:spacing w:before="40" w:after="40" w:line="276" w:lineRule="auto"/>
              <w:jc w:val="center"/>
            </w:pPr>
            <w:r/>
            <w:r>
              <w:rPr>
                <w:rFonts w:ascii="Times New Roman" w:hAnsi="Times New Roman" w:eastAsia="黑体"/>
                <w:b/>
                <w:i w:val="0"/>
                <w:sz w:val="21"/>
              </w:rPr>
              <w:t>用户需求（我要…以便…）</w:t>
            </w:r>
          </w:p>
        </w:tc>
      </w:tr>
      <w:tr>
        <w:tc>
          <w:tcPr>
            <w:tcW w:type="dxa" w:w="1361"/>
          </w:tcPr>
          <w:p>
            <w:pPr>
              <w:spacing w:before="20" w:after="20" w:line="276" w:lineRule="auto"/>
              <w:ind w:firstLine="0"/>
            </w:pPr>
            <w:r/>
            <w:r>
              <w:rPr>
                <w:rFonts w:ascii="Times New Roman" w:hAnsi="Times New Roman" w:eastAsia="宋体"/>
                <w:b w:val="0"/>
                <w:i w:val="0"/>
                <w:sz w:val="21"/>
              </w:rPr>
              <w:t>仓储部库管员</w:t>
            </w:r>
          </w:p>
        </w:tc>
        <w:tc>
          <w:tcPr>
            <w:tcW w:type="dxa" w:w="1247"/>
          </w:tcPr>
          <w:p>
            <w:pPr>
              <w:spacing w:before="20" w:after="20" w:line="276" w:lineRule="auto"/>
              <w:ind w:firstLine="0"/>
            </w:pPr>
            <w:r/>
            <w:r>
              <w:rPr>
                <w:rFonts w:ascii="Times New Roman" w:hAnsi="Times New Roman" w:eastAsia="宋体"/>
                <w:b w:val="0"/>
                <w:i w:val="0"/>
                <w:sz w:val="21"/>
              </w:rPr>
              <w:t>仓储部</w:t>
            </w:r>
          </w:p>
        </w:tc>
        <w:tc>
          <w:tcPr>
            <w:tcW w:type="dxa" w:w="6463"/>
          </w:tcPr>
          <w:p>
            <w:pPr>
              <w:spacing w:before="20" w:after="20" w:line="276" w:lineRule="auto"/>
              <w:ind w:firstLine="0"/>
            </w:pPr>
            <w:r/>
            <w:r>
              <w:rPr>
                <w:rFonts w:ascii="Times New Roman" w:hAnsi="Times New Roman" w:eastAsia="宋体"/>
                <w:b w:val="0"/>
                <w:i w:val="0"/>
                <w:sz w:val="21"/>
              </w:rPr>
              <w:t>我要按仓房逐个巡检并登记巡库结果，以便异常可追溯可核查</w:t>
            </w:r>
          </w:p>
        </w:tc>
      </w:tr>
      <w:tr>
        <w:tc>
          <w:tcPr>
            <w:tcW w:type="dxa" w:w="1361"/>
          </w:tcPr>
          <w:p>
            <w:pPr>
              <w:spacing w:before="20" w:after="20" w:line="276" w:lineRule="auto"/>
              <w:ind w:firstLine="0"/>
            </w:pPr>
            <w:r/>
            <w:r>
              <w:rPr>
                <w:rFonts w:ascii="Times New Roman" w:hAnsi="Times New Roman" w:eastAsia="宋体"/>
                <w:b w:val="0"/>
                <w:i w:val="0"/>
                <w:sz w:val="21"/>
              </w:rPr>
              <w:t>仓储方巡检人员</w:t>
            </w:r>
          </w:p>
        </w:tc>
        <w:tc>
          <w:tcPr>
            <w:tcW w:type="dxa" w:w="1247"/>
          </w:tcPr>
          <w:p>
            <w:pPr>
              <w:spacing w:before="20" w:after="20" w:line="276" w:lineRule="auto"/>
              <w:ind w:firstLine="0"/>
            </w:pPr>
            <w:r/>
            <w:r>
              <w:rPr>
                <w:rFonts w:ascii="Times New Roman" w:hAnsi="Times New Roman" w:eastAsia="宋体"/>
                <w:b w:val="0"/>
                <w:i w:val="0"/>
                <w:sz w:val="21"/>
              </w:rPr>
              <w:t>第三方仓储方</w:t>
            </w:r>
          </w:p>
        </w:tc>
        <w:tc>
          <w:tcPr>
            <w:tcW w:type="dxa" w:w="6463"/>
          </w:tcPr>
          <w:p>
            <w:pPr>
              <w:spacing w:before="20" w:after="20" w:line="276" w:lineRule="auto"/>
              <w:ind w:firstLine="0"/>
            </w:pPr>
            <w:r/>
            <w:r>
              <w:rPr>
                <w:rFonts w:ascii="Times New Roman" w:hAnsi="Times New Roman" w:eastAsia="宋体"/>
                <w:b w:val="0"/>
                <w:i w:val="0"/>
                <w:sz w:val="21"/>
              </w:rPr>
              <w:t>我要按巡库计划自动纳入的仓房执行巡检，以便巡库不漏仓</w:t>
            </w:r>
          </w:p>
        </w:tc>
      </w:tr>
      <w:tr>
        <w:tc>
          <w:tcPr>
            <w:tcW w:type="dxa" w:w="1361"/>
          </w:tcPr>
          <w:p>
            <w:pPr>
              <w:spacing w:before="20" w:after="20" w:line="276" w:lineRule="auto"/>
              <w:ind w:firstLine="0"/>
            </w:pPr>
            <w:r/>
            <w:r>
              <w:rPr>
                <w:rFonts w:ascii="Times New Roman" w:hAnsi="Times New Roman" w:eastAsia="宋体"/>
                <w:b w:val="0"/>
                <w:i w:val="0"/>
                <w:sz w:val="21"/>
              </w:rPr>
              <w:t>库管负责人</w:t>
            </w:r>
          </w:p>
        </w:tc>
        <w:tc>
          <w:tcPr>
            <w:tcW w:type="dxa" w:w="1247"/>
          </w:tcPr>
          <w:p>
            <w:pPr>
              <w:spacing w:before="20" w:after="20" w:line="276" w:lineRule="auto"/>
              <w:ind w:firstLine="0"/>
            </w:pPr>
            <w:r/>
            <w:r>
              <w:rPr>
                <w:rFonts w:ascii="Times New Roman" w:hAnsi="Times New Roman" w:eastAsia="宋体"/>
                <w:b w:val="0"/>
                <w:i w:val="0"/>
                <w:sz w:val="21"/>
              </w:rPr>
              <w:t>仓储部</w:t>
            </w:r>
          </w:p>
        </w:tc>
        <w:tc>
          <w:tcPr>
            <w:tcW w:type="dxa" w:w="6463"/>
          </w:tcPr>
          <w:p>
            <w:pPr>
              <w:spacing w:before="20" w:after="20" w:line="276" w:lineRule="auto"/>
              <w:ind w:firstLine="0"/>
            </w:pPr>
            <w:r/>
            <w:r>
              <w:rPr>
                <w:rFonts w:ascii="Times New Roman" w:hAnsi="Times New Roman" w:eastAsia="宋体"/>
                <w:b w:val="0"/>
                <w:i w:val="0"/>
                <w:sz w:val="21"/>
              </w:rPr>
              <w:t>我要查看未处理与异常的巡库记录，以便督促整改并核对处理时效</w:t>
            </w:r>
          </w:p>
        </w:tc>
      </w:tr>
      <w:tr>
        <w:tc>
          <w:tcPr>
            <w:tcW w:type="dxa" w:w="1361"/>
          </w:tcPr>
          <w:p>
            <w:pPr>
              <w:spacing w:before="20" w:after="20" w:line="276" w:lineRule="auto"/>
              <w:ind w:firstLine="0"/>
            </w:pPr>
            <w:r/>
            <w:r>
              <w:rPr>
                <w:rFonts w:ascii="Times New Roman" w:hAnsi="Times New Roman" w:eastAsia="宋体"/>
                <w:b w:val="0"/>
                <w:i w:val="0"/>
                <w:sz w:val="21"/>
              </w:rPr>
              <w:t>风控审核员</w:t>
            </w:r>
          </w:p>
        </w:tc>
        <w:tc>
          <w:tcPr>
            <w:tcW w:type="dxa" w:w="1247"/>
          </w:tcPr>
          <w:p>
            <w:pPr>
              <w:spacing w:before="20" w:after="20" w:line="276" w:lineRule="auto"/>
              <w:ind w:firstLine="0"/>
            </w:pPr>
            <w:r/>
            <w:r>
              <w:rPr>
                <w:rFonts w:ascii="Times New Roman" w:hAnsi="Times New Roman" w:eastAsia="宋体"/>
                <w:b w:val="0"/>
                <w:i w:val="0"/>
                <w:sz w:val="21"/>
              </w:rPr>
              <w:t>风控部</w:t>
            </w:r>
          </w:p>
        </w:tc>
        <w:tc>
          <w:tcPr>
            <w:tcW w:type="dxa" w:w="6463"/>
          </w:tcPr>
          <w:p>
            <w:pPr>
              <w:spacing w:before="20" w:after="20" w:line="276" w:lineRule="auto"/>
              <w:ind w:firstLine="0"/>
            </w:pPr>
            <w:r/>
            <w:r>
              <w:rPr>
                <w:rFonts w:ascii="Times New Roman" w:hAnsi="Times New Roman" w:eastAsia="宋体"/>
                <w:b w:val="0"/>
                <w:i w:val="0"/>
                <w:sz w:val="21"/>
              </w:rPr>
              <w:t>我要在巡库异常时调取监控视频与巡库报告，以便核实货物状况与责任</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4.25.4　功能结构与范围</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474"/>
            <w:shd w:val="clear" w:color="auto" w:fill="DCE6F1"/>
          </w:tcPr>
          <w:p>
            <w:pPr>
              <w:spacing w:before="40" w:after="40" w:line="276" w:lineRule="auto"/>
              <w:jc w:val="center"/>
            </w:pPr>
            <w:r/>
            <w:r>
              <w:rPr>
                <w:rFonts w:ascii="Times New Roman" w:hAnsi="Times New Roman" w:eastAsia="黑体"/>
                <w:b/>
                <w:i w:val="0"/>
                <w:sz w:val="21"/>
              </w:rPr>
              <w:t>功能</w:t>
            </w:r>
          </w:p>
        </w:tc>
        <w:tc>
          <w:tcPr>
            <w:tcW w:type="dxa" w:w="3175"/>
            <w:shd w:val="clear" w:color="auto" w:fill="DCE6F1"/>
          </w:tcPr>
          <w:p>
            <w:pPr>
              <w:spacing w:before="40" w:after="40" w:line="276" w:lineRule="auto"/>
              <w:jc w:val="center"/>
            </w:pPr>
            <w:r/>
            <w:r>
              <w:rPr>
                <w:rFonts w:ascii="Times New Roman" w:hAnsi="Times New Roman" w:eastAsia="黑体"/>
                <w:b/>
                <w:i w:val="0"/>
                <w:sz w:val="21"/>
              </w:rPr>
              <w:t>功能说明</w:t>
            </w:r>
          </w:p>
        </w:tc>
        <w:tc>
          <w:tcPr>
            <w:tcW w:type="dxa" w:w="4422"/>
            <w:shd w:val="clear" w:color="auto" w:fill="DCE6F1"/>
          </w:tcPr>
          <w:p>
            <w:pPr>
              <w:spacing w:before="40" w:after="40" w:line="276" w:lineRule="auto"/>
              <w:jc w:val="center"/>
            </w:pPr>
            <w:r/>
            <w:r>
              <w:rPr>
                <w:rFonts w:ascii="Times New Roman" w:hAnsi="Times New Roman" w:eastAsia="黑体"/>
                <w:b/>
                <w:i w:val="0"/>
                <w:sz w:val="21"/>
              </w:rPr>
              <w:t>关键规则</w:t>
            </w:r>
          </w:p>
        </w:tc>
      </w:tr>
      <w:tr>
        <w:tc>
          <w:tcPr>
            <w:tcW w:type="dxa" w:w="1474"/>
          </w:tcPr>
          <w:p>
            <w:pPr>
              <w:spacing w:before="20" w:after="20" w:line="276" w:lineRule="auto"/>
              <w:ind w:firstLine="0"/>
            </w:pPr>
            <w:r/>
            <w:r>
              <w:rPr>
                <w:rFonts w:ascii="Times New Roman" w:hAnsi="Times New Roman" w:eastAsia="宋体"/>
                <w:b w:val="0"/>
                <w:i w:val="0"/>
                <w:sz w:val="21"/>
              </w:rPr>
              <w:t>巡库记录列表</w:t>
            </w:r>
          </w:p>
        </w:tc>
        <w:tc>
          <w:tcPr>
            <w:tcW w:type="dxa" w:w="3175"/>
          </w:tcPr>
          <w:p>
            <w:pPr>
              <w:spacing w:before="20" w:after="20" w:line="276" w:lineRule="auto"/>
              <w:ind w:firstLine="0"/>
            </w:pPr>
            <w:r/>
            <w:r>
              <w:rPr>
                <w:rFonts w:ascii="Times New Roman" w:hAnsi="Times New Roman" w:eastAsia="宋体"/>
                <w:b w:val="0"/>
                <w:i w:val="0"/>
                <w:sz w:val="21"/>
              </w:rPr>
              <w:t>巡库记录主列表，按巡库结果、处理状态与巡库时间筛选并逐条呈现巡检事实</w:t>
            </w:r>
          </w:p>
        </w:tc>
        <w:tc>
          <w:tcPr>
            <w:tcW w:type="dxa" w:w="4422"/>
          </w:tcPr>
          <w:p>
            <w:pPr>
              <w:spacing w:before="20" w:after="20" w:line="276" w:lineRule="auto"/>
              <w:ind w:firstLine="0"/>
            </w:pPr>
            <w:r/>
            <w:r>
              <w:rPr>
                <w:rFonts w:ascii="Times New Roman" w:hAnsi="Times New Roman" w:eastAsia="宋体"/>
                <w:b w:val="0"/>
                <w:i w:val="0"/>
                <w:sz w:val="21"/>
              </w:rPr>
              <w:t>列表不设状态分栏；筛选区固定 3 个字段：巡库结果、处理状态、巡库时间区间；表格共 12 列：序号、仓库名称、仓房、货主、巡库时间、巡库结果、处理状态、处理时间、巡库人员、监管负责人、报告生成时间、操作</w:t>
            </w:r>
          </w:p>
        </w:tc>
      </w:tr>
      <w:tr>
        <w:tc>
          <w:tcPr>
            <w:tcW w:type="dxa" w:w="1474"/>
          </w:tcPr>
          <w:p>
            <w:pPr>
              <w:spacing w:before="20" w:after="20" w:line="276" w:lineRule="auto"/>
              <w:ind w:firstLine="0"/>
            </w:pPr>
            <w:r/>
            <w:r>
              <w:rPr>
                <w:rFonts w:ascii="Times New Roman" w:hAnsi="Times New Roman" w:eastAsia="宋体"/>
                <w:b w:val="0"/>
                <w:i w:val="0"/>
                <w:sz w:val="21"/>
              </w:rPr>
              <w:t>巡库结果与处理状态组合</w:t>
            </w:r>
          </w:p>
        </w:tc>
        <w:tc>
          <w:tcPr>
            <w:tcW w:type="dxa" w:w="3175"/>
          </w:tcPr>
          <w:p>
            <w:pPr>
              <w:spacing w:before="20" w:after="20" w:line="276" w:lineRule="auto"/>
              <w:ind w:firstLine="0"/>
            </w:pPr>
            <w:r/>
            <w:r>
              <w:rPr>
                <w:rFonts w:ascii="Times New Roman" w:hAnsi="Times New Roman" w:eastAsia="宋体"/>
                <w:b w:val="0"/>
                <w:i w:val="0"/>
                <w:sz w:val="21"/>
              </w:rPr>
              <w:t>巡库记录的双维度状态模型</w:t>
            </w:r>
          </w:p>
        </w:tc>
        <w:tc>
          <w:tcPr>
            <w:tcW w:type="dxa" w:w="4422"/>
          </w:tcPr>
          <w:p>
            <w:pPr>
              <w:spacing w:before="20" w:after="20" w:line="276" w:lineRule="auto"/>
              <w:ind w:firstLine="0"/>
            </w:pPr>
            <w:r/>
            <w:r>
              <w:rPr>
                <w:rFonts w:ascii="Times New Roman" w:hAnsi="Times New Roman" w:eastAsia="宋体"/>
                <w:b w:val="0"/>
                <w:i w:val="0"/>
                <w:sz w:val="21"/>
              </w:rPr>
              <w:t>巡库结果 3 个取值：正常、异常、待处理；处理状态 3 个取值：已处理、未处理、已关闭；两个维度共 9 种组合；巡库结果状态标签按绿（正常）、红（异常）、黄（待处理）三色循环</w:t>
            </w:r>
          </w:p>
        </w:tc>
      </w:tr>
      <w:tr>
        <w:tc>
          <w:tcPr>
            <w:tcW w:type="dxa" w:w="1474"/>
          </w:tcPr>
          <w:p>
            <w:pPr>
              <w:spacing w:before="20" w:after="20" w:line="276" w:lineRule="auto"/>
              <w:ind w:firstLine="0"/>
            </w:pPr>
            <w:r/>
            <w:r>
              <w:rPr>
                <w:rFonts w:ascii="Times New Roman" w:hAnsi="Times New Roman" w:eastAsia="宋体"/>
                <w:b w:val="0"/>
                <w:i w:val="0"/>
                <w:sz w:val="21"/>
              </w:rPr>
              <w:t>新增巡库登记</w:t>
            </w:r>
          </w:p>
        </w:tc>
        <w:tc>
          <w:tcPr>
            <w:tcW w:type="dxa" w:w="3175"/>
          </w:tcPr>
          <w:p>
            <w:pPr>
              <w:spacing w:before="20" w:after="20" w:line="276" w:lineRule="auto"/>
              <w:ind w:firstLine="0"/>
            </w:pPr>
            <w:r/>
            <w:r>
              <w:rPr>
                <w:rFonts w:ascii="Times New Roman" w:hAnsi="Times New Roman" w:eastAsia="宋体"/>
                <w:b w:val="0"/>
                <w:i w:val="0"/>
                <w:sz w:val="21"/>
              </w:rPr>
              <w:t>巡库记录的登记入口，以弹窗形式填写本次巡检事实</w:t>
            </w:r>
          </w:p>
        </w:tc>
        <w:tc>
          <w:tcPr>
            <w:tcW w:type="dxa" w:w="4422"/>
          </w:tcPr>
          <w:p>
            <w:pPr>
              <w:spacing w:before="20" w:after="20" w:line="276" w:lineRule="auto"/>
              <w:ind w:firstLine="0"/>
            </w:pPr>
            <w:r/>
            <w:r>
              <w:rPr>
                <w:rFonts w:ascii="Times New Roman" w:hAnsi="Times New Roman" w:eastAsia="宋体"/>
                <w:b w:val="0"/>
                <w:i w:val="0"/>
                <w:sz w:val="21"/>
              </w:rPr>
              <w:t>顶部「新增巡库」按钮触发弹窗；巡库记录必须关联仓房与货位；巡库类型为定期巡检、异常盘点、抽查三类之一</w:t>
            </w:r>
          </w:p>
        </w:tc>
      </w:tr>
      <w:tr>
        <w:tc>
          <w:tcPr>
            <w:tcW w:type="dxa" w:w="1474"/>
          </w:tcPr>
          <w:p>
            <w:pPr>
              <w:spacing w:before="20" w:after="20" w:line="276" w:lineRule="auto"/>
              <w:ind w:firstLine="0"/>
            </w:pPr>
            <w:r/>
            <w:r>
              <w:rPr>
                <w:rFonts w:ascii="Times New Roman" w:hAnsi="Times New Roman" w:eastAsia="宋体"/>
                <w:b w:val="0"/>
                <w:i w:val="0"/>
                <w:sz w:val="21"/>
              </w:rPr>
              <w:t>巡库问题记录与处置</w:t>
            </w:r>
          </w:p>
        </w:tc>
        <w:tc>
          <w:tcPr>
            <w:tcW w:type="dxa" w:w="3175"/>
          </w:tcPr>
          <w:p>
            <w:pPr>
              <w:spacing w:before="20" w:after="20" w:line="276" w:lineRule="auto"/>
              <w:ind w:firstLine="0"/>
            </w:pPr>
            <w:r/>
            <w:r>
              <w:rPr>
                <w:rFonts w:ascii="Times New Roman" w:hAnsi="Times New Roman" w:eastAsia="宋体"/>
                <w:b w:val="0"/>
                <w:i w:val="0"/>
                <w:sz w:val="21"/>
              </w:rPr>
              <w:t>记录巡检发现的问题及其处理过程</w:t>
            </w:r>
          </w:p>
        </w:tc>
        <w:tc>
          <w:tcPr>
            <w:tcW w:type="dxa" w:w="4422"/>
          </w:tcPr>
          <w:p>
            <w:pPr>
              <w:spacing w:before="20" w:after="20" w:line="276" w:lineRule="auto"/>
              <w:ind w:firstLine="0"/>
            </w:pPr>
            <w:r/>
            <w:r>
              <w:rPr>
                <w:rFonts w:ascii="Times New Roman" w:hAnsi="Times New Roman" w:eastAsia="宋体"/>
                <w:b w:val="0"/>
                <w:i w:val="0"/>
                <w:sz w:val="21"/>
              </w:rPr>
              <w:t>巡库记录含发现问题数与附件数（图片与视频）；异常巡库须填写处理状态与处理时间；巡库报告生成后回写报告生成时间</w:t>
            </w:r>
          </w:p>
        </w:tc>
      </w:tr>
      <w:tr>
        <w:tc>
          <w:tcPr>
            <w:tcW w:type="dxa" w:w="1474"/>
          </w:tcPr>
          <w:p>
            <w:pPr>
              <w:spacing w:before="20" w:after="20" w:line="276" w:lineRule="auto"/>
              <w:ind w:firstLine="0"/>
            </w:pPr>
            <w:r/>
            <w:r>
              <w:rPr>
                <w:rFonts w:ascii="Times New Roman" w:hAnsi="Times New Roman" w:eastAsia="宋体"/>
                <w:b w:val="0"/>
                <w:i w:val="0"/>
                <w:sz w:val="21"/>
              </w:rPr>
              <w:t>盘盈盘亏一键转单</w:t>
            </w:r>
          </w:p>
        </w:tc>
        <w:tc>
          <w:tcPr>
            <w:tcW w:type="dxa" w:w="3175"/>
          </w:tcPr>
          <w:p>
            <w:pPr>
              <w:spacing w:before="20" w:after="20" w:line="276" w:lineRule="auto"/>
              <w:ind w:firstLine="0"/>
            </w:pPr>
            <w:r/>
            <w:r>
              <w:rPr>
                <w:rFonts w:ascii="Times New Roman" w:hAnsi="Times New Roman" w:eastAsia="宋体"/>
                <w:b w:val="0"/>
                <w:i w:val="0"/>
                <w:sz w:val="21"/>
              </w:rPr>
              <w:t>把巡库发现的差异直接转成库存调整单据</w:t>
            </w:r>
          </w:p>
        </w:tc>
        <w:tc>
          <w:tcPr>
            <w:tcW w:type="dxa" w:w="4422"/>
          </w:tcPr>
          <w:p>
            <w:pPr>
              <w:spacing w:before="20" w:after="20" w:line="276" w:lineRule="auto"/>
              <w:ind w:firstLine="0"/>
            </w:pPr>
            <w:r/>
            <w:r>
              <w:rPr>
                <w:rFonts w:ascii="Times New Roman" w:hAnsi="Times New Roman" w:eastAsia="宋体"/>
                <w:b w:val="0"/>
                <w:i w:val="0"/>
                <w:sz w:val="21"/>
              </w:rPr>
              <w:t>巡库记录支持一键提交盘盈入库或盘亏出库；转单后更新库存台账实际库存并联动业务线</w:t>
            </w:r>
          </w:p>
        </w:tc>
      </w:tr>
      <w:tr>
        <w:tc>
          <w:tcPr>
            <w:tcW w:type="dxa" w:w="1474"/>
          </w:tcPr>
          <w:p>
            <w:pPr>
              <w:spacing w:before="20" w:after="20" w:line="276" w:lineRule="auto"/>
              <w:ind w:firstLine="0"/>
            </w:pPr>
            <w:r/>
            <w:r>
              <w:rPr>
                <w:rFonts w:ascii="Times New Roman" w:hAnsi="Times New Roman" w:eastAsia="宋体"/>
                <w:b w:val="0"/>
                <w:i w:val="0"/>
                <w:sz w:val="21"/>
              </w:rPr>
              <w:t>仓房巡库任务开关</w:t>
            </w:r>
          </w:p>
        </w:tc>
        <w:tc>
          <w:tcPr>
            <w:tcW w:type="dxa" w:w="3175"/>
          </w:tcPr>
          <w:p>
            <w:pPr>
              <w:spacing w:before="20" w:after="20" w:line="276" w:lineRule="auto"/>
              <w:ind w:firstLine="0"/>
            </w:pPr>
            <w:r/>
            <w:r>
              <w:rPr>
                <w:rFonts w:ascii="Times New Roman" w:hAnsi="Times New Roman" w:eastAsia="宋体"/>
                <w:b w:val="0"/>
                <w:i w:val="0"/>
                <w:sz w:val="21"/>
              </w:rPr>
              <w:t>在仓房维度决定哪些仓房需要纳入巡库计划</w:t>
            </w:r>
          </w:p>
        </w:tc>
        <w:tc>
          <w:tcPr>
            <w:tcW w:type="dxa" w:w="4422"/>
          </w:tcPr>
          <w:p>
            <w:pPr>
              <w:spacing w:before="20" w:after="20" w:line="276" w:lineRule="auto"/>
              <w:ind w:firstLine="0"/>
            </w:pPr>
            <w:r/>
            <w:r>
              <w:rPr>
                <w:rFonts w:ascii="Times New Roman" w:hAnsi="Times New Roman" w:eastAsia="宋体"/>
                <w:b w:val="0"/>
                <w:i w:val="0"/>
                <w:sz w:val="21"/>
              </w:rPr>
              <w:t>仓房列表提供巡库任务开关，开关为开启状态时该仓房自动纳入巡库计划；切换开关即时生效并给出结果提示；开关切换不做二次确认；开关点击与行点击互不冲突</w:t>
            </w:r>
          </w:p>
        </w:tc>
      </w:tr>
      <w:tr>
        <w:tc>
          <w:tcPr>
            <w:tcW w:type="dxa" w:w="1474"/>
          </w:tcPr>
          <w:p>
            <w:pPr>
              <w:spacing w:before="20" w:after="20" w:line="276" w:lineRule="auto"/>
              <w:ind w:firstLine="0"/>
            </w:pPr>
            <w:r/>
            <w:r>
              <w:rPr>
                <w:rFonts w:ascii="Times New Roman" w:hAnsi="Times New Roman" w:eastAsia="宋体"/>
                <w:b w:val="0"/>
                <w:i w:val="0"/>
                <w:sz w:val="21"/>
              </w:rPr>
              <w:t>巡库记录导出</w:t>
            </w:r>
          </w:p>
        </w:tc>
        <w:tc>
          <w:tcPr>
            <w:tcW w:type="dxa" w:w="3175"/>
          </w:tcPr>
          <w:p>
            <w:pPr>
              <w:spacing w:before="20" w:after="20" w:line="276" w:lineRule="auto"/>
              <w:ind w:firstLine="0"/>
            </w:pPr>
            <w:r/>
            <w:r>
              <w:rPr>
                <w:rFonts w:ascii="Times New Roman" w:hAnsi="Times New Roman" w:eastAsia="宋体"/>
                <w:b w:val="0"/>
                <w:i w:val="0"/>
                <w:sz w:val="21"/>
              </w:rPr>
              <w:t>把当前筛选的巡库记录导出</w:t>
            </w:r>
          </w:p>
        </w:tc>
        <w:tc>
          <w:tcPr>
            <w:tcW w:type="dxa" w:w="4422"/>
          </w:tcPr>
          <w:p>
            <w:pPr>
              <w:spacing w:before="20" w:after="20" w:line="276" w:lineRule="auto"/>
              <w:ind w:firstLine="0"/>
            </w:pPr>
            <w:r/>
            <w:r>
              <w:rPr>
                <w:rFonts w:ascii="Times New Roman" w:hAnsi="Times New Roman" w:eastAsia="宋体"/>
                <w:b w:val="0"/>
                <w:i w:val="0"/>
                <w:sz w:val="21"/>
              </w:rPr>
              <w:t>数据导出按钮导出当前筛选条件下的巡库记录</w:t>
            </w:r>
          </w:p>
        </w:tc>
      </w:tr>
    </w:tbl>
    <w:p>
      <w:pPr>
        <w:spacing w:before="0" w:after="0" w:line="240" w:lineRule="auto"/>
      </w:pP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tblGrid>
      <w:tr>
        <w:trPr>
          <w:tblHeader w:val="true"/>
        </w:trPr>
        <w:tc>
          <w:tcPr>
            <w:tcW w:type="dxa" w:w="1247"/>
            <w:shd w:val="clear" w:color="auto" w:fill="DCE6F1"/>
          </w:tcPr>
          <w:p>
            <w:pPr>
              <w:spacing w:before="40" w:after="40" w:line="276" w:lineRule="auto"/>
              <w:jc w:val="center"/>
            </w:pPr>
            <w:r/>
            <w:r>
              <w:rPr>
                <w:rFonts w:ascii="Times New Roman" w:hAnsi="Times New Roman" w:eastAsia="黑体"/>
                <w:b/>
                <w:i w:val="0"/>
                <w:sz w:val="19"/>
              </w:rPr>
              <w:t>页面</w:t>
            </w:r>
          </w:p>
        </w:tc>
        <w:tc>
          <w:tcPr>
            <w:tcW w:type="dxa" w:w="1474"/>
            <w:shd w:val="clear" w:color="auto" w:fill="DCE6F1"/>
          </w:tcPr>
          <w:p>
            <w:pPr>
              <w:spacing w:before="40" w:after="40" w:line="276" w:lineRule="auto"/>
              <w:jc w:val="center"/>
            </w:pPr>
            <w:r/>
            <w:r>
              <w:rPr>
                <w:rFonts w:ascii="Times New Roman" w:hAnsi="Times New Roman" w:eastAsia="黑体"/>
                <w:b/>
                <w:i w:val="0"/>
                <w:sz w:val="19"/>
              </w:rPr>
              <w:t>文件</w:t>
            </w:r>
          </w:p>
        </w:tc>
        <w:tc>
          <w:tcPr>
            <w:tcW w:type="dxa" w:w="1134"/>
            <w:shd w:val="clear" w:color="auto" w:fill="DCE6F1"/>
          </w:tcPr>
          <w:p>
            <w:pPr>
              <w:spacing w:before="40" w:after="40" w:line="276" w:lineRule="auto"/>
              <w:jc w:val="center"/>
            </w:pPr>
            <w:r/>
            <w:r>
              <w:rPr>
                <w:rFonts w:ascii="Times New Roman" w:hAnsi="Times New Roman" w:eastAsia="黑体"/>
                <w:b/>
                <w:i w:val="0"/>
                <w:sz w:val="19"/>
              </w:rPr>
              <w:t>入口</w:t>
            </w:r>
          </w:p>
        </w:tc>
        <w:tc>
          <w:tcPr>
            <w:tcW w:type="dxa" w:w="2041"/>
            <w:shd w:val="clear" w:color="auto" w:fill="DCE6F1"/>
          </w:tcPr>
          <w:p>
            <w:pPr>
              <w:spacing w:before="40" w:after="40" w:line="276" w:lineRule="auto"/>
              <w:jc w:val="center"/>
            </w:pPr>
            <w:r/>
            <w:r>
              <w:rPr>
                <w:rFonts w:ascii="Times New Roman" w:hAnsi="Times New Roman" w:eastAsia="黑体"/>
                <w:b/>
                <w:i w:val="0"/>
                <w:sz w:val="19"/>
              </w:rPr>
              <w:t>主要区块</w:t>
            </w:r>
          </w:p>
        </w:tc>
        <w:tc>
          <w:tcPr>
            <w:tcW w:type="dxa" w:w="1701"/>
            <w:shd w:val="clear" w:color="auto" w:fill="DCE6F1"/>
          </w:tcPr>
          <w:p>
            <w:pPr>
              <w:spacing w:before="40" w:after="40" w:line="276" w:lineRule="auto"/>
              <w:jc w:val="center"/>
            </w:pPr>
            <w:r/>
            <w:r>
              <w:rPr>
                <w:rFonts w:ascii="Times New Roman" w:hAnsi="Times New Roman" w:eastAsia="黑体"/>
                <w:b/>
                <w:i w:val="0"/>
                <w:sz w:val="19"/>
              </w:rPr>
              <w:t>主要操作</w:t>
            </w:r>
          </w:p>
        </w:tc>
        <w:tc>
          <w:tcPr>
            <w:tcW w:type="dxa" w:w="1474"/>
            <w:shd w:val="clear" w:color="auto" w:fill="DCE6F1"/>
          </w:tcPr>
          <w:p>
            <w:pPr>
              <w:spacing w:before="40" w:after="40" w:line="276" w:lineRule="auto"/>
              <w:jc w:val="center"/>
            </w:pPr>
            <w:r/>
            <w:r>
              <w:rPr>
                <w:rFonts w:ascii="Times New Roman" w:hAnsi="Times New Roman" w:eastAsia="黑体"/>
                <w:b/>
                <w:i w:val="0"/>
                <w:sz w:val="19"/>
              </w:rPr>
              <w:t>跳转</w:t>
            </w:r>
          </w:p>
        </w:tc>
      </w:tr>
      <w:tr>
        <w:tc>
          <w:tcPr>
            <w:tcW w:type="dxa" w:w="1247"/>
          </w:tcPr>
          <w:p>
            <w:pPr>
              <w:spacing w:before="20" w:after="20" w:line="276" w:lineRule="auto"/>
              <w:ind w:firstLine="0"/>
            </w:pPr>
            <w:r/>
            <w:r>
              <w:rPr>
                <w:rFonts w:ascii="Times New Roman" w:hAnsi="Times New Roman" w:eastAsia="宋体"/>
                <w:b w:val="0"/>
                <w:i w:val="0"/>
                <w:sz w:val="19"/>
              </w:rPr>
              <w:t>巡库记录（列表）</w:t>
            </w:r>
          </w:p>
        </w:tc>
        <w:tc>
          <w:tcPr>
            <w:tcW w:type="dxa" w:w="1474"/>
          </w:tcPr>
          <w:p>
            <w:pPr>
              <w:spacing w:before="20" w:after="20" w:line="276" w:lineRule="auto"/>
              <w:ind w:firstLine="0"/>
            </w:pPr>
            <w:r/>
            <w:r>
              <w:rPr>
                <w:rFonts w:ascii="Times New Roman" w:hAnsi="Times New Roman" w:eastAsia="宋体"/>
                <w:b w:val="0"/>
                <w:i w:val="0"/>
                <w:sz w:val="19"/>
              </w:rPr>
              <w:t>warehouse-patrol.html</w:t>
            </w:r>
          </w:p>
        </w:tc>
        <w:tc>
          <w:tcPr>
            <w:tcW w:type="dxa" w:w="1134"/>
          </w:tcPr>
          <w:p>
            <w:pPr>
              <w:spacing w:before="20" w:after="20" w:line="276" w:lineRule="auto"/>
              <w:ind w:firstLine="0"/>
            </w:pPr>
            <w:r/>
            <w:r>
              <w:rPr>
                <w:rFonts w:ascii="Times New Roman" w:hAnsi="Times New Roman" w:eastAsia="宋体"/>
                <w:b w:val="0"/>
                <w:i w:val="0"/>
                <w:sz w:val="19"/>
              </w:rPr>
              <w:t>仓储管理 → 巡库管理</w:t>
            </w:r>
          </w:p>
        </w:tc>
        <w:tc>
          <w:tcPr>
            <w:tcW w:type="dxa" w:w="2041"/>
          </w:tcPr>
          <w:p>
            <w:pPr>
              <w:spacing w:before="20" w:after="20" w:line="276" w:lineRule="auto"/>
              <w:ind w:firstLine="0"/>
            </w:pPr>
            <w:r/>
            <w:r>
              <w:rPr>
                <w:rFonts w:ascii="Times New Roman" w:hAnsi="Times New Roman" w:eastAsia="宋体"/>
                <w:b w:val="0"/>
                <w:i w:val="0"/>
                <w:sz w:val="19"/>
              </w:rPr>
              <w:t>3 个字段筛选区（巡库结果、处理状态、巡库时间）、12 列表格；当前无记录时展示暂无数据空状态</w:t>
            </w:r>
          </w:p>
        </w:tc>
        <w:tc>
          <w:tcPr>
            <w:tcW w:type="dxa" w:w="1701"/>
          </w:tcPr>
          <w:p>
            <w:pPr>
              <w:spacing w:before="20" w:after="20" w:line="276" w:lineRule="auto"/>
              <w:ind w:firstLine="0"/>
            </w:pPr>
            <w:r/>
            <w:r>
              <w:rPr>
                <w:rFonts w:ascii="Times New Roman" w:hAnsi="Times New Roman" w:eastAsia="宋体"/>
                <w:b w:val="0"/>
                <w:i w:val="0"/>
                <w:sz w:val="19"/>
              </w:rPr>
              <w:t>新增巡库、数据导出、搜索筛选；行内：查看、编辑、一键盘盈盘亏</w:t>
            </w:r>
          </w:p>
        </w:tc>
        <w:tc>
          <w:tcPr>
            <w:tcW w:type="dxa" w:w="1474"/>
          </w:tcPr>
          <w:p>
            <w:pPr>
              <w:spacing w:before="20" w:after="20" w:line="276" w:lineRule="auto"/>
              <w:ind w:firstLine="0"/>
            </w:pPr>
            <w:r/>
            <w:r>
              <w:rPr>
                <w:rFonts w:ascii="Times New Roman" w:hAnsi="Times New Roman" w:eastAsia="宋体"/>
                <w:b w:val="0"/>
                <w:i w:val="0"/>
                <w:sz w:val="19"/>
              </w:rPr>
              <w:t>一键盘盈盘亏 → 盘盈入库或盘亏出库登记；其余为页面内操作</w:t>
            </w:r>
          </w:p>
        </w:tc>
      </w:tr>
      <w:tr>
        <w:tc>
          <w:tcPr>
            <w:tcW w:type="dxa" w:w="1247"/>
          </w:tcPr>
          <w:p>
            <w:pPr>
              <w:spacing w:before="20" w:after="20" w:line="276" w:lineRule="auto"/>
              <w:ind w:firstLine="0"/>
            </w:pPr>
            <w:r/>
            <w:r>
              <w:rPr>
                <w:rFonts w:ascii="Times New Roman" w:hAnsi="Times New Roman" w:eastAsia="宋体"/>
                <w:b w:val="0"/>
                <w:i w:val="0"/>
                <w:sz w:val="19"/>
              </w:rPr>
              <w:t>仓房管理（巡库任务配置）</w:t>
            </w:r>
          </w:p>
        </w:tc>
        <w:tc>
          <w:tcPr>
            <w:tcW w:type="dxa" w:w="1474"/>
          </w:tcPr>
          <w:p>
            <w:pPr>
              <w:spacing w:before="20" w:after="20" w:line="276" w:lineRule="auto"/>
              <w:ind w:firstLine="0"/>
            </w:pPr>
            <w:r/>
            <w:r>
              <w:rPr>
                <w:rFonts w:ascii="Times New Roman" w:hAnsi="Times New Roman" w:eastAsia="宋体"/>
                <w:b w:val="0"/>
                <w:i w:val="0"/>
                <w:sz w:val="19"/>
              </w:rPr>
              <w:t>warehouse-warehouse.html</w:t>
            </w:r>
          </w:p>
        </w:tc>
        <w:tc>
          <w:tcPr>
            <w:tcW w:type="dxa" w:w="1134"/>
          </w:tcPr>
          <w:p>
            <w:pPr>
              <w:spacing w:before="20" w:after="20" w:line="276" w:lineRule="auto"/>
              <w:ind w:firstLine="0"/>
            </w:pPr>
            <w:r/>
            <w:r>
              <w:rPr>
                <w:rFonts w:ascii="Times New Roman" w:hAnsi="Times New Roman" w:eastAsia="宋体"/>
                <w:b w:val="0"/>
                <w:i w:val="0"/>
                <w:sz w:val="19"/>
              </w:rPr>
              <w:t>仓储管理 → 系统管理 → 仓房管理</w:t>
            </w:r>
          </w:p>
        </w:tc>
        <w:tc>
          <w:tcPr>
            <w:tcW w:type="dxa" w:w="2041"/>
          </w:tcPr>
          <w:p>
            <w:pPr>
              <w:spacing w:before="20" w:after="20" w:line="276" w:lineRule="auto"/>
              <w:ind w:firstLine="0"/>
            </w:pPr>
            <w:r/>
            <w:r>
              <w:rPr>
                <w:rFonts w:ascii="Times New Roman" w:hAnsi="Times New Roman" w:eastAsia="宋体"/>
                <w:b w:val="0"/>
                <w:i w:val="0"/>
                <w:sz w:val="19"/>
              </w:rPr>
              <w:t>仓房名称筛选区、6 列表格（编号、仓房名称、所属货主、备注、巡库任务、操作）、新增仓房弹窗</w:t>
            </w:r>
          </w:p>
        </w:tc>
        <w:tc>
          <w:tcPr>
            <w:tcW w:type="dxa" w:w="1701"/>
          </w:tcPr>
          <w:p>
            <w:pPr>
              <w:spacing w:before="20" w:after="20" w:line="276" w:lineRule="auto"/>
              <w:ind w:firstLine="0"/>
            </w:pPr>
            <w:r/>
            <w:r>
              <w:rPr>
                <w:rFonts w:ascii="Times New Roman" w:hAnsi="Times New Roman" w:eastAsia="宋体"/>
                <w:b w:val="0"/>
                <w:i w:val="0"/>
                <w:sz w:val="19"/>
              </w:rPr>
              <w:t>新增仓房、行内编辑、货位、巡库任务开关</w:t>
            </w:r>
          </w:p>
        </w:tc>
        <w:tc>
          <w:tcPr>
            <w:tcW w:type="dxa" w:w="1474"/>
          </w:tcPr>
          <w:p>
            <w:pPr>
              <w:spacing w:before="20" w:after="20" w:line="276" w:lineRule="auto"/>
              <w:ind w:firstLine="0"/>
            </w:pPr>
            <w:r/>
            <w:r>
              <w:rPr>
                <w:rFonts w:ascii="Times New Roman" w:hAnsi="Times New Roman" w:eastAsia="宋体"/>
                <w:b w:val="0"/>
                <w:i w:val="0"/>
                <w:sz w:val="19"/>
              </w:rPr>
              <w:t>巡库任务开关开启后该仓房自动纳入巡库计划；货位操作当前仅给出提示，不跳转独立货位管理页</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4.25.5　数据关系</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474"/>
            <w:shd w:val="clear" w:color="auto" w:fill="DCE6F1"/>
          </w:tcPr>
          <w:p>
            <w:pPr>
              <w:spacing w:before="40" w:after="40" w:line="276" w:lineRule="auto"/>
              <w:jc w:val="center"/>
            </w:pPr>
            <w:r/>
            <w:r>
              <w:rPr>
                <w:rFonts w:ascii="Times New Roman" w:hAnsi="Times New Roman" w:eastAsia="黑体"/>
                <w:b/>
                <w:i w:val="0"/>
                <w:sz w:val="21"/>
              </w:rPr>
              <w:t>业务对象</w:t>
            </w:r>
          </w:p>
        </w:tc>
        <w:tc>
          <w:tcPr>
            <w:tcW w:type="dxa" w:w="4195"/>
            <w:shd w:val="clear" w:color="auto" w:fill="DCE6F1"/>
          </w:tcPr>
          <w:p>
            <w:pPr>
              <w:spacing w:before="40" w:after="40" w:line="276" w:lineRule="auto"/>
              <w:jc w:val="center"/>
            </w:pPr>
            <w:r/>
            <w:r>
              <w:rPr>
                <w:rFonts w:ascii="Times New Roman" w:hAnsi="Times New Roman" w:eastAsia="黑体"/>
                <w:b/>
                <w:i w:val="0"/>
                <w:sz w:val="21"/>
              </w:rPr>
              <w:t>关键字段与口径</w:t>
            </w:r>
          </w:p>
        </w:tc>
        <w:tc>
          <w:tcPr>
            <w:tcW w:type="dxa" w:w="3402"/>
            <w:shd w:val="clear" w:color="auto" w:fill="DCE6F1"/>
          </w:tcPr>
          <w:p>
            <w:pPr>
              <w:spacing w:before="40" w:after="40" w:line="276" w:lineRule="auto"/>
              <w:jc w:val="center"/>
            </w:pPr>
            <w:r/>
            <w:r>
              <w:rPr>
                <w:rFonts w:ascii="Times New Roman" w:hAnsi="Times New Roman" w:eastAsia="黑体"/>
                <w:b/>
                <w:i w:val="0"/>
                <w:sz w:val="21"/>
              </w:rPr>
              <w:t>与其他对象的关系</w:t>
            </w:r>
          </w:p>
        </w:tc>
      </w:tr>
      <w:tr>
        <w:tc>
          <w:tcPr>
            <w:tcW w:type="dxa" w:w="1474"/>
          </w:tcPr>
          <w:p>
            <w:pPr>
              <w:spacing w:before="20" w:after="20" w:line="276" w:lineRule="auto"/>
              <w:ind w:firstLine="0"/>
            </w:pPr>
            <w:r/>
            <w:r>
              <w:rPr>
                <w:rFonts w:ascii="Times New Roman" w:hAnsi="Times New Roman" w:eastAsia="宋体"/>
                <w:b w:val="0"/>
                <w:i w:val="0"/>
                <w:sz w:val="21"/>
              </w:rPr>
              <w:t>巡库记录</w:t>
            </w:r>
          </w:p>
        </w:tc>
        <w:tc>
          <w:tcPr>
            <w:tcW w:type="dxa" w:w="4195"/>
          </w:tcPr>
          <w:p>
            <w:pPr>
              <w:spacing w:before="20" w:after="20" w:line="276" w:lineRule="auto"/>
              <w:ind w:firstLine="0"/>
            </w:pPr>
            <w:r/>
            <w:r>
              <w:rPr>
                <w:rFonts w:ascii="Times New Roman" w:hAnsi="Times New Roman" w:eastAsia="宋体"/>
                <w:b w:val="0"/>
                <w:i w:val="0"/>
                <w:sz w:val="21"/>
              </w:rPr>
              <w:t>序号、仓库名称、仓房、货主</w:t>
            </w:r>
            <w:r>
              <w:br/>
            </w:r>
            <w:r>
              <w:rPr>
                <w:rFonts w:ascii="Times New Roman" w:hAnsi="Times New Roman" w:eastAsia="宋体"/>
                <w:b w:val="0"/>
                <w:i w:val="0"/>
                <w:sz w:val="21"/>
              </w:rPr>
              <w:t>巡库时间：巡检发生的时间</w:t>
            </w:r>
            <w:r>
              <w:br/>
            </w:r>
            <w:r>
              <w:rPr>
                <w:rFonts w:ascii="Times New Roman" w:hAnsi="Times New Roman" w:eastAsia="宋体"/>
                <w:b w:val="0"/>
                <w:i w:val="0"/>
                <w:sz w:val="21"/>
              </w:rPr>
              <w:t>巡库结果：正常、异常、待处理</w:t>
            </w:r>
            <w:r>
              <w:br/>
            </w:r>
            <w:r>
              <w:rPr>
                <w:rFonts w:ascii="Times New Roman" w:hAnsi="Times New Roman" w:eastAsia="宋体"/>
                <w:b w:val="0"/>
                <w:i w:val="0"/>
                <w:sz w:val="21"/>
              </w:rPr>
              <w:t>处理状态：已处理、未处理、已关闭</w:t>
            </w:r>
            <w:r>
              <w:br/>
            </w:r>
            <w:r>
              <w:rPr>
                <w:rFonts w:ascii="Times New Roman" w:hAnsi="Times New Roman" w:eastAsia="宋体"/>
                <w:b w:val="0"/>
                <w:i w:val="0"/>
                <w:sz w:val="21"/>
              </w:rPr>
              <w:t>处理时间、巡库人员、监管负责人、报告生成时间</w:t>
            </w:r>
            <w:r>
              <w:br/>
            </w:r>
            <w:r>
              <w:rPr>
                <w:rFonts w:ascii="Times New Roman" w:hAnsi="Times New Roman" w:eastAsia="宋体"/>
                <w:b w:val="0"/>
                <w:i w:val="0"/>
                <w:sz w:val="21"/>
              </w:rPr>
              <w:t>巡库编号、巡库类型、发现问题数、附件数</w:t>
            </w:r>
          </w:p>
        </w:tc>
        <w:tc>
          <w:tcPr>
            <w:tcW w:type="dxa" w:w="3402"/>
          </w:tcPr>
          <w:p>
            <w:pPr>
              <w:spacing w:before="20" w:after="20" w:line="276" w:lineRule="auto"/>
              <w:ind w:firstLine="0"/>
            </w:pPr>
            <w:r/>
            <w:r>
              <w:rPr>
                <w:rFonts w:ascii="Times New Roman" w:hAnsi="Times New Roman" w:eastAsia="宋体"/>
                <w:b w:val="0"/>
                <w:i w:val="0"/>
                <w:sz w:val="21"/>
              </w:rPr>
              <w:t>关联仓房与货位；异常记录可转成盘盈入库或盘亏出库并回写库存台账</w:t>
            </w:r>
          </w:p>
        </w:tc>
      </w:tr>
      <w:tr>
        <w:tc>
          <w:tcPr>
            <w:tcW w:type="dxa" w:w="1474"/>
          </w:tcPr>
          <w:p>
            <w:pPr>
              <w:spacing w:before="20" w:after="20" w:line="276" w:lineRule="auto"/>
              <w:ind w:firstLine="0"/>
            </w:pPr>
            <w:r/>
            <w:r>
              <w:rPr>
                <w:rFonts w:ascii="Times New Roman" w:hAnsi="Times New Roman" w:eastAsia="宋体"/>
                <w:b w:val="0"/>
                <w:i w:val="0"/>
                <w:sz w:val="21"/>
              </w:rPr>
              <w:t>巡库任务</w:t>
            </w:r>
          </w:p>
        </w:tc>
        <w:tc>
          <w:tcPr>
            <w:tcW w:type="dxa" w:w="4195"/>
          </w:tcPr>
          <w:p>
            <w:pPr>
              <w:spacing w:before="20" w:after="20" w:line="276" w:lineRule="auto"/>
              <w:ind w:firstLine="0"/>
            </w:pPr>
            <w:r/>
            <w:r>
              <w:rPr>
                <w:rFonts w:ascii="Times New Roman" w:hAnsi="Times New Roman" w:eastAsia="宋体"/>
                <w:b w:val="0"/>
                <w:i w:val="0"/>
                <w:sz w:val="21"/>
              </w:rPr>
              <w:t>所属仓房</w:t>
            </w:r>
            <w:r>
              <w:br/>
            </w:r>
            <w:r>
              <w:rPr>
                <w:rFonts w:ascii="Times New Roman" w:hAnsi="Times New Roman" w:eastAsia="宋体"/>
                <w:b w:val="0"/>
                <w:i w:val="0"/>
                <w:sz w:val="21"/>
              </w:rPr>
              <w:t>任务开关：开启或关闭</w:t>
            </w:r>
            <w:r>
              <w:br/>
            </w:r>
            <w:r>
              <w:rPr>
                <w:rFonts w:ascii="Times New Roman" w:hAnsi="Times New Roman" w:eastAsia="宋体"/>
                <w:b w:val="0"/>
                <w:i w:val="0"/>
                <w:sz w:val="21"/>
              </w:rPr>
              <w:t>开启含义：该仓房自动纳入巡库计划</w:t>
            </w:r>
          </w:p>
        </w:tc>
        <w:tc>
          <w:tcPr>
            <w:tcW w:type="dxa" w:w="3402"/>
          </w:tcPr>
          <w:p>
            <w:pPr>
              <w:spacing w:before="20" w:after="20" w:line="276" w:lineRule="auto"/>
              <w:ind w:firstLine="0"/>
            </w:pPr>
            <w:r/>
            <w:r>
              <w:rPr>
                <w:rFonts w:ascii="Times New Roman" w:hAnsi="Times New Roman" w:eastAsia="宋体"/>
                <w:b w:val="0"/>
                <w:i w:val="0"/>
                <w:sz w:val="21"/>
              </w:rPr>
              <w:t>以仓房为粒度配置，仓房管理页维护，巡库记录按此计划产生</w:t>
            </w:r>
          </w:p>
        </w:tc>
      </w:tr>
      <w:tr>
        <w:tc>
          <w:tcPr>
            <w:tcW w:type="dxa" w:w="1474"/>
          </w:tcPr>
          <w:p>
            <w:pPr>
              <w:spacing w:before="20" w:after="20" w:line="276" w:lineRule="auto"/>
              <w:ind w:firstLine="0"/>
            </w:pPr>
            <w:r/>
            <w:r>
              <w:rPr>
                <w:rFonts w:ascii="Times New Roman" w:hAnsi="Times New Roman" w:eastAsia="宋体"/>
                <w:b w:val="0"/>
                <w:i w:val="0"/>
                <w:sz w:val="21"/>
              </w:rPr>
              <w:t>盘库记录与盘库明细</w:t>
            </w:r>
          </w:p>
        </w:tc>
        <w:tc>
          <w:tcPr>
            <w:tcW w:type="dxa" w:w="4195"/>
          </w:tcPr>
          <w:p>
            <w:pPr>
              <w:spacing w:before="20" w:after="20" w:line="276" w:lineRule="auto"/>
              <w:ind w:firstLine="0"/>
            </w:pPr>
            <w:r/>
            <w:r>
              <w:rPr>
                <w:rFonts w:ascii="Times New Roman" w:hAnsi="Times New Roman" w:eastAsia="宋体"/>
                <w:b w:val="0"/>
                <w:i w:val="0"/>
                <w:sz w:val="21"/>
              </w:rPr>
              <w:t>盘库日期、盘库类型：全盘、部分盘库、抽盘</w:t>
            </w:r>
            <w:r>
              <w:br/>
            </w:r>
            <w:r>
              <w:rPr>
                <w:rFonts w:ascii="Times New Roman" w:hAnsi="Times New Roman" w:eastAsia="宋体"/>
                <w:b w:val="0"/>
                <w:i w:val="0"/>
                <w:sz w:val="21"/>
              </w:rPr>
              <w:t>商品总类数、差异商品数、盘库状态</w:t>
            </w:r>
            <w:r>
              <w:br/>
            </w:r>
            <w:r>
              <w:rPr>
                <w:rFonts w:ascii="Times New Roman" w:hAnsi="Times New Roman" w:eastAsia="宋体"/>
                <w:b w:val="0"/>
                <w:i w:val="0"/>
                <w:sz w:val="21"/>
              </w:rPr>
              <w:t>系统数量、实际数量、差异数量、差异原因、处理意见</w:t>
            </w:r>
            <w:r>
              <w:br/>
            </w:r>
            <w:r>
              <w:rPr>
                <w:rFonts w:ascii="Times New Roman" w:hAnsi="Times New Roman" w:eastAsia="宋体"/>
                <w:b w:val="0"/>
                <w:i w:val="0"/>
                <w:sz w:val="21"/>
              </w:rPr>
              <w:t>差异数量计算式：系统数量减实际数量；正数为盘亏，负数为盘盈</w:t>
            </w:r>
          </w:p>
        </w:tc>
        <w:tc>
          <w:tcPr>
            <w:tcW w:type="dxa" w:w="3402"/>
          </w:tcPr>
          <w:p>
            <w:pPr>
              <w:spacing w:before="20" w:after="20" w:line="276" w:lineRule="auto"/>
              <w:ind w:firstLine="0"/>
            </w:pPr>
            <w:r/>
            <w:r>
              <w:rPr>
                <w:rFonts w:ascii="Times New Roman" w:hAnsi="Times New Roman" w:eastAsia="宋体"/>
                <w:b w:val="0"/>
                <w:i w:val="0"/>
                <w:sz w:val="21"/>
              </w:rPr>
              <w:t>与巡库记录同属账实核对动作；差异超过 5% 触发人工确认提示并向预警中心推送</w:t>
            </w:r>
          </w:p>
        </w:tc>
      </w:tr>
      <w:tr>
        <w:tc>
          <w:tcPr>
            <w:tcW w:type="dxa" w:w="1474"/>
          </w:tcPr>
          <w:p>
            <w:pPr>
              <w:spacing w:before="20" w:after="20" w:line="276" w:lineRule="auto"/>
              <w:ind w:firstLine="0"/>
            </w:pPr>
            <w:r/>
            <w:r>
              <w:rPr>
                <w:rFonts w:ascii="Times New Roman" w:hAnsi="Times New Roman" w:eastAsia="宋体"/>
                <w:b w:val="0"/>
                <w:i w:val="0"/>
                <w:sz w:val="21"/>
              </w:rPr>
              <w:t>仓房与货位</w:t>
            </w:r>
          </w:p>
        </w:tc>
        <w:tc>
          <w:tcPr>
            <w:tcW w:type="dxa" w:w="4195"/>
          </w:tcPr>
          <w:p>
            <w:pPr>
              <w:spacing w:before="20" w:after="20" w:line="276" w:lineRule="auto"/>
              <w:ind w:firstLine="0"/>
            </w:pPr>
            <w:r/>
            <w:r>
              <w:rPr>
                <w:rFonts w:ascii="Times New Roman" w:hAnsi="Times New Roman" w:eastAsia="宋体"/>
                <w:b w:val="0"/>
                <w:i w:val="0"/>
                <w:sz w:val="21"/>
              </w:rPr>
              <w:t>仓房名称、所属货主、备注、巡库任务开关</w:t>
            </w:r>
            <w:r>
              <w:br/>
            </w:r>
            <w:r>
              <w:rPr>
                <w:rFonts w:ascii="Times New Roman" w:hAnsi="Times New Roman" w:eastAsia="宋体"/>
                <w:b w:val="0"/>
                <w:i w:val="0"/>
                <w:sz w:val="21"/>
              </w:rPr>
              <w:t>货位名称、容积、当前库存、占用状态</w:t>
            </w:r>
          </w:p>
        </w:tc>
        <w:tc>
          <w:tcPr>
            <w:tcW w:type="dxa" w:w="3402"/>
          </w:tcPr>
          <w:p>
            <w:pPr>
              <w:spacing w:before="20" w:after="20" w:line="276" w:lineRule="auto"/>
              <w:ind w:firstLine="0"/>
            </w:pPr>
            <w:r/>
            <w:r>
              <w:rPr>
                <w:rFonts w:ascii="Times New Roman" w:hAnsi="Times New Roman" w:eastAsia="宋体"/>
                <w:b w:val="0"/>
                <w:i w:val="0"/>
                <w:sz w:val="21"/>
              </w:rPr>
              <w:t>巡库按库点、仓房、货位三级维度登记</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4.25.6　角色权限与数据权限</w:t>
      </w:r>
    </w:p>
    <w:p>
      <w:pPr>
        <w:spacing w:before="0" w:after="120" w:line="360" w:lineRule="auto"/>
      </w:pPr>
      <w:r>
        <w:rPr>
          <w:rFonts w:ascii="Times New Roman" w:hAnsi="Times New Roman" w:eastAsia="宋体"/>
          <w:b w:val="0"/>
          <w:i w:val="0"/>
          <w:sz w:val="24"/>
        </w:rPr>
        <w:t>本期为系统全量权限（业务方裁决 D17 / QA-012）；下表角色为典型使用角色，非权限分级。本期仅交付 WEB 端（业务方裁决 D9 / QA-004），仓储现场巡库在 PC 端网页完成，不提供移动端或巡库 App。</w:t>
      </w:r>
    </w:p>
    <w:p>
      <w:pPr>
        <w:spacing w:before="0" w:after="80" w:line="360" w:lineRule="auto"/>
      </w:pPr>
      <w:r>
        <w:rPr>
          <w:rFonts w:ascii="Times New Roman" w:hAnsi="Times New Roman" w:eastAsia="宋体"/>
          <w:b w:val="0"/>
          <w:i w:val="0"/>
          <w:sz w:val="24"/>
        </w:rPr>
        <w:t>数据可见性：按单据归属与业务筛选查看；手机号、统一社会信用代码等敏感字段默认打码，手动点击查看完整值且查看行为留痕。</w:t>
      </w:r>
    </w:p>
    <w:p>
      <w:pPr>
        <w:pStyle w:val="Heading3"/>
        <w:keepNext/>
        <w:spacing w:before="160" w:after="80" w:line="312" w:lineRule="auto"/>
        <w:ind w:firstLine="0"/>
      </w:pPr>
      <w:r>
        <w:rPr>
          <w:rFonts w:ascii="Times New Roman" w:hAnsi="Times New Roman" w:eastAsia="黑体"/>
          <w:b/>
          <w:i w:val="0"/>
          <w:sz w:val="24"/>
        </w:rPr>
        <w:t>4.25.7　业务流程与页面</w:t>
      </w:r>
    </w:p>
    <w:p>
      <w:pPr>
        <w:spacing w:before="120" w:after="60"/>
        <w:ind w:firstLine="0"/>
        <w:jc w:val="center"/>
      </w:pPr>
      <w:r>
        <w:drawing>
          <wp:inline xmlns:a="http://schemas.openxmlformats.org/drawingml/2006/main" xmlns:pic="http://schemas.openxmlformats.org/drawingml/2006/picture">
            <wp:extent cx="5616000" cy="1210345"/>
            <wp:docPr id="53" name="Picture 53"/>
            <wp:cNvGraphicFramePr>
              <a:graphicFrameLocks noChangeAspect="1"/>
            </wp:cNvGraphicFramePr>
            <a:graphic>
              <a:graphicData uri="http://schemas.openxmlformats.org/drawingml/2006/picture">
                <pic:pic>
                  <pic:nvPicPr>
                    <pic:cNvPr id="0" name="mermaid-warehouse-patrol.png"/>
                    <pic:cNvPicPr/>
                  </pic:nvPicPr>
                  <pic:blipFill>
                    <a:blip r:embed="rId63"/>
                    <a:stretch>
                      <a:fillRect/>
                    </a:stretch>
                  </pic:blipFill>
                  <pic:spPr>
                    <a:xfrm>
                      <a:off x="0" y="0"/>
                      <a:ext cx="5616000" cy="1210345"/>
                    </a:xfrm>
                    <a:prstGeom prst="rect"/>
                  </pic:spPr>
                </pic:pic>
              </a:graphicData>
            </a:graphic>
          </wp:inline>
        </w:drawing>
      </w:r>
    </w:p>
    <w:p>
      <w:pPr>
        <w:spacing w:before="0" w:after="200" w:line="240" w:lineRule="auto"/>
        <w:ind w:firstLine="0"/>
        <w:jc w:val="center"/>
      </w:pPr>
      <w:r>
        <w:rPr>
          <w:rFonts w:ascii="Times New Roman" w:hAnsi="Times New Roman" w:eastAsia="宋体"/>
          <w:b w:val="0"/>
          <w:i w:val="0"/>
          <w:sz w:val="21"/>
        </w:rPr>
        <w:t>图 4-25-1　巡库管理 主业务流程</w:t>
      </w:r>
    </w:p>
    <w:p>
      <w:pPr>
        <w:spacing w:before="0" w:after="60" w:line="360" w:lineRule="auto"/>
      </w:pPr>
      <w:r>
        <w:rPr>
          <w:rFonts w:ascii="Times New Roman" w:hAnsi="Times New Roman" w:eastAsia="宋体"/>
          <w:b/>
          <w:i w:val="0"/>
          <w:sz w:val="24"/>
        </w:rPr>
        <w:t>主流程步骤：</w:t>
      </w:r>
    </w:p>
    <w:p>
      <w:pPr>
        <w:spacing w:before="0" w:after="60" w:line="336" w:lineRule="auto"/>
        <w:ind w:left="510" w:hanging="510"/>
      </w:pPr>
      <w:r>
        <w:rPr>
          <w:rFonts w:ascii="Times New Roman" w:hAnsi="Times New Roman" w:eastAsia="宋体"/>
          <w:b w:val="0"/>
          <w:i w:val="0"/>
          <w:sz w:val="24"/>
        </w:rPr>
        <w:t>1. 在仓房管理中开启目标仓房的巡库任务开关，该仓房自动纳入巡库计划</w:t>
      </w:r>
    </w:p>
    <w:p>
      <w:pPr>
        <w:spacing w:before="0" w:after="60" w:line="336" w:lineRule="auto"/>
        <w:ind w:left="510" w:hanging="510"/>
      </w:pPr>
      <w:r>
        <w:rPr>
          <w:rFonts w:ascii="Times New Roman" w:hAnsi="Times New Roman" w:eastAsia="宋体"/>
          <w:b w:val="0"/>
          <w:i w:val="0"/>
          <w:sz w:val="24"/>
        </w:rPr>
        <w:t>2. 巡库人员在浏览器中按仓房逐个执行巡检，本期仅交付 WEB 端</w:t>
      </w:r>
    </w:p>
    <w:p>
      <w:pPr>
        <w:spacing w:before="0" w:after="60" w:line="336" w:lineRule="auto"/>
        <w:ind w:left="510" w:hanging="510"/>
      </w:pPr>
      <w:r>
        <w:rPr>
          <w:rFonts w:ascii="Times New Roman" w:hAnsi="Times New Roman" w:eastAsia="宋体"/>
          <w:b w:val="0"/>
          <w:i w:val="0"/>
          <w:sz w:val="24"/>
        </w:rPr>
        <w:t>3. 在巡库记录页新增巡库记录，选择仓房与货位并选择巡库类型</w:t>
      </w:r>
    </w:p>
    <w:p>
      <w:pPr>
        <w:spacing w:before="0" w:after="60" w:line="336" w:lineRule="auto"/>
        <w:ind w:left="510" w:hanging="510"/>
      </w:pPr>
      <w:r>
        <w:rPr>
          <w:rFonts w:ascii="Times New Roman" w:hAnsi="Times New Roman" w:eastAsia="宋体"/>
          <w:b w:val="0"/>
          <w:i w:val="0"/>
          <w:sz w:val="24"/>
        </w:rPr>
        <w:t>4. 填写巡库结果，正常、异常或待处理</w:t>
      </w:r>
    </w:p>
    <w:p>
      <w:pPr>
        <w:spacing w:before="0" w:after="60" w:line="336" w:lineRule="auto"/>
        <w:ind w:left="510" w:hanging="510"/>
      </w:pPr>
      <w:r>
        <w:rPr>
          <w:rFonts w:ascii="Times New Roman" w:hAnsi="Times New Roman" w:eastAsia="宋体"/>
          <w:b w:val="0"/>
          <w:i w:val="0"/>
          <w:sz w:val="24"/>
        </w:rPr>
        <w:t>5. 发现问题时上传图片与视频附件并记录发现问题数</w:t>
      </w:r>
    </w:p>
    <w:p>
      <w:pPr>
        <w:spacing w:before="0" w:after="60" w:line="336" w:lineRule="auto"/>
        <w:ind w:left="510" w:hanging="510"/>
      </w:pPr>
      <w:r>
        <w:rPr>
          <w:rFonts w:ascii="Times New Roman" w:hAnsi="Times New Roman" w:eastAsia="宋体"/>
          <w:b w:val="0"/>
          <w:i w:val="0"/>
          <w:sz w:val="24"/>
        </w:rPr>
        <w:t>6. 填写处理状态（已处理、未处理、已关闭）与处理时间</w:t>
      </w:r>
    </w:p>
    <w:p>
      <w:pPr>
        <w:spacing w:before="0" w:after="60" w:line="336" w:lineRule="auto"/>
        <w:ind w:left="510" w:hanging="510"/>
      </w:pPr>
      <w:r>
        <w:rPr>
          <w:rFonts w:ascii="Times New Roman" w:hAnsi="Times New Roman" w:eastAsia="宋体"/>
          <w:b w:val="0"/>
          <w:i w:val="0"/>
          <w:sz w:val="24"/>
        </w:rPr>
        <w:t>7. 巡库报告生成后回写报告生成时间</w:t>
      </w:r>
    </w:p>
    <w:p>
      <w:pPr>
        <w:spacing w:before="0" w:after="60" w:line="336" w:lineRule="auto"/>
        <w:ind w:left="510" w:hanging="510"/>
      </w:pPr>
      <w:r>
        <w:rPr>
          <w:rFonts w:ascii="Times New Roman" w:hAnsi="Times New Roman" w:eastAsia="宋体"/>
          <w:b w:val="0"/>
          <w:i w:val="0"/>
          <w:sz w:val="24"/>
        </w:rPr>
        <w:t>8. 对盘盈或盘亏一键提交盘盈入库或盘亏出库</w:t>
      </w:r>
    </w:p>
    <w:p>
      <w:pPr>
        <w:spacing w:before="0" w:after="60" w:line="336" w:lineRule="auto"/>
        <w:ind w:left="510" w:hanging="510"/>
      </w:pPr>
      <w:r>
        <w:rPr>
          <w:rFonts w:ascii="Times New Roman" w:hAnsi="Times New Roman" w:eastAsia="宋体"/>
          <w:b w:val="0"/>
          <w:i w:val="0"/>
          <w:sz w:val="24"/>
        </w:rPr>
        <w:t>9. 库存台账实际库存按调整结果更新，差异超阈值触发预警</w:t>
      </w:r>
    </w:p>
    <w:p>
      <w:pPr>
        <w:spacing w:before="120" w:after="60" w:line="360" w:lineRule="auto"/>
      </w:pPr>
      <w:r>
        <w:rPr>
          <w:rFonts w:ascii="Times New Roman" w:hAnsi="Times New Roman" w:eastAsia="宋体"/>
          <w:b/>
          <w:i w:val="0"/>
          <w:sz w:val="24"/>
        </w:rPr>
        <w:t>异常分支：</w:t>
      </w:r>
    </w:p>
    <w:tbl>
      <w:tblPr>
        <w:tblStyle w:val="TableGrid"/>
        <w:tblW w:type="auto" w:w="0"/>
        <w:jc w:val="center"/>
        <w:tblLayout w:type="fixed"/>
        <w:tblLook w:firstColumn="1" w:firstRow="1" w:lastColumn="0" w:lastRow="0" w:noHBand="0" w:noVBand="1" w:val="04A0"/>
      </w:tblPr>
      <w:tblGrid>
        <w:gridCol w:w="4479"/>
        <w:gridCol w:w="4479"/>
      </w:tblGrid>
      <w:tr>
        <w:trPr>
          <w:tblHeader w:val="true"/>
        </w:trPr>
        <w:tc>
          <w:tcPr>
            <w:tcW w:type="dxa" w:w="2835"/>
            <w:shd w:val="clear" w:color="auto" w:fill="DCE6F1"/>
          </w:tcPr>
          <w:p>
            <w:pPr>
              <w:spacing w:before="40" w:after="40" w:line="276" w:lineRule="auto"/>
              <w:jc w:val="center"/>
            </w:pPr>
            <w:r/>
            <w:r>
              <w:rPr>
                <w:rFonts w:ascii="Times New Roman" w:hAnsi="Times New Roman" w:eastAsia="黑体"/>
                <w:b/>
                <w:i w:val="0"/>
                <w:sz w:val="21"/>
              </w:rPr>
              <w:t>异常场景</w:t>
            </w:r>
          </w:p>
        </w:tc>
        <w:tc>
          <w:tcPr>
            <w:tcW w:type="dxa" w:w="6236"/>
            <w:shd w:val="clear" w:color="auto" w:fill="DCE6F1"/>
          </w:tcPr>
          <w:p>
            <w:pPr>
              <w:spacing w:before="40" w:after="40" w:line="276" w:lineRule="auto"/>
              <w:jc w:val="center"/>
            </w:pPr>
            <w:r/>
            <w:r>
              <w:rPr>
                <w:rFonts w:ascii="Times New Roman" w:hAnsi="Times New Roman" w:eastAsia="黑体"/>
                <w:b/>
                <w:i w:val="0"/>
                <w:sz w:val="21"/>
              </w:rPr>
              <w:t>系统处理</w:t>
            </w:r>
          </w:p>
        </w:tc>
      </w:tr>
      <w:tr>
        <w:tc>
          <w:tcPr>
            <w:tcW w:type="dxa" w:w="2835"/>
          </w:tcPr>
          <w:p>
            <w:pPr>
              <w:spacing w:before="20" w:after="20" w:line="276" w:lineRule="auto"/>
              <w:ind w:firstLine="0"/>
            </w:pPr>
            <w:r/>
            <w:r>
              <w:rPr>
                <w:rFonts w:ascii="Times New Roman" w:hAnsi="Times New Roman" w:eastAsia="宋体"/>
                <w:b w:val="0"/>
                <w:i w:val="0"/>
                <w:sz w:val="21"/>
              </w:rPr>
              <w:t>盘库差异超过 5%</w:t>
            </w:r>
          </w:p>
        </w:tc>
        <w:tc>
          <w:tcPr>
            <w:tcW w:type="dxa" w:w="6236"/>
          </w:tcPr>
          <w:p>
            <w:pPr>
              <w:spacing w:before="20" w:after="20" w:line="276" w:lineRule="auto"/>
              <w:ind w:firstLine="0"/>
            </w:pPr>
            <w:r/>
            <w:r>
              <w:rPr>
                <w:rFonts w:ascii="Times New Roman" w:hAnsi="Times New Roman" w:eastAsia="宋体"/>
                <w:b w:val="0"/>
                <w:i w:val="0"/>
                <w:sz w:val="21"/>
              </w:rPr>
              <w:t>提示「盘库差异 X 超过 5%，请人工确认」，以黄色提醒呈现，需人工确认后继续</w:t>
            </w:r>
          </w:p>
        </w:tc>
      </w:tr>
      <w:tr>
        <w:tc>
          <w:tcPr>
            <w:tcW w:type="dxa" w:w="2835"/>
          </w:tcPr>
          <w:p>
            <w:pPr>
              <w:spacing w:before="20" w:after="20" w:line="276" w:lineRule="auto"/>
              <w:ind w:firstLine="0"/>
            </w:pPr>
            <w:r/>
            <w:r>
              <w:rPr>
                <w:rFonts w:ascii="Times New Roman" w:hAnsi="Times New Roman" w:eastAsia="宋体"/>
                <w:b w:val="0"/>
                <w:i w:val="0"/>
                <w:sz w:val="21"/>
              </w:rPr>
              <w:t>差异数量与系统数量不符</w:t>
            </w:r>
          </w:p>
        </w:tc>
        <w:tc>
          <w:tcPr>
            <w:tcW w:type="dxa" w:w="6236"/>
          </w:tcPr>
          <w:p>
            <w:pPr>
              <w:spacing w:before="20" w:after="20" w:line="276" w:lineRule="auto"/>
              <w:ind w:firstLine="0"/>
            </w:pPr>
            <w:r/>
            <w:r>
              <w:rPr>
                <w:rFonts w:ascii="Times New Roman" w:hAnsi="Times New Roman" w:eastAsia="宋体"/>
                <w:b w:val="0"/>
                <w:i w:val="0"/>
                <w:sz w:val="21"/>
              </w:rPr>
              <w:t>差异数量按系统数量减实际数量计算，正数判为盘亏、负数判为盘盈</w:t>
            </w:r>
          </w:p>
        </w:tc>
      </w:tr>
      <w:tr>
        <w:tc>
          <w:tcPr>
            <w:tcW w:type="dxa" w:w="2835"/>
          </w:tcPr>
          <w:p>
            <w:pPr>
              <w:spacing w:before="20" w:after="20" w:line="276" w:lineRule="auto"/>
              <w:ind w:firstLine="0"/>
            </w:pPr>
            <w:r/>
            <w:r>
              <w:rPr>
                <w:rFonts w:ascii="Times New Roman" w:hAnsi="Times New Roman" w:eastAsia="宋体"/>
                <w:b w:val="0"/>
                <w:i w:val="0"/>
                <w:sz w:val="21"/>
              </w:rPr>
              <w:t>盘盈说明或差异原因缺失</w:t>
            </w:r>
          </w:p>
        </w:tc>
        <w:tc>
          <w:tcPr>
            <w:tcW w:type="dxa" w:w="6236"/>
          </w:tcPr>
          <w:p>
            <w:pPr>
              <w:spacing w:before="20" w:after="20" w:line="276" w:lineRule="auto"/>
              <w:ind w:firstLine="0"/>
            </w:pPr>
            <w:r/>
            <w:r>
              <w:rPr>
                <w:rFonts w:ascii="Times New Roman" w:hAnsi="Times New Roman" w:eastAsia="宋体"/>
                <w:b w:val="0"/>
                <w:i w:val="0"/>
                <w:sz w:val="21"/>
              </w:rPr>
              <w:t>红字提示「请填写盘盈说明（合规要求）」并阻断提交</w:t>
            </w:r>
          </w:p>
        </w:tc>
      </w:tr>
      <w:tr>
        <w:tc>
          <w:tcPr>
            <w:tcW w:type="dxa" w:w="2835"/>
          </w:tcPr>
          <w:p>
            <w:pPr>
              <w:spacing w:before="20" w:after="20" w:line="276" w:lineRule="auto"/>
              <w:ind w:firstLine="0"/>
            </w:pPr>
            <w:r/>
            <w:r>
              <w:rPr>
                <w:rFonts w:ascii="Times New Roman" w:hAnsi="Times New Roman" w:eastAsia="宋体"/>
                <w:b w:val="0"/>
                <w:i w:val="0"/>
                <w:sz w:val="21"/>
              </w:rPr>
              <w:t>巡库期间设备离线影响巡检</w:t>
            </w:r>
          </w:p>
        </w:tc>
        <w:tc>
          <w:tcPr>
            <w:tcW w:type="dxa" w:w="6236"/>
          </w:tcPr>
          <w:p>
            <w:pPr>
              <w:spacing w:before="20" w:after="20" w:line="276" w:lineRule="auto"/>
              <w:ind w:firstLine="0"/>
            </w:pPr>
            <w:r/>
            <w:r>
              <w:rPr>
                <w:rFonts w:ascii="Times New Roman" w:hAnsi="Times New Roman" w:eastAsia="宋体"/>
                <w:b w:val="0"/>
                <w:i w:val="0"/>
                <w:sz w:val="21"/>
              </w:rPr>
              <w:t>设备离线超过 1 小时时在顶部红色 bar 提示</w:t>
            </w:r>
          </w:p>
        </w:tc>
      </w:tr>
      <w:tr>
        <w:tc>
          <w:tcPr>
            <w:tcW w:type="dxa" w:w="2835"/>
          </w:tcPr>
          <w:p>
            <w:pPr>
              <w:spacing w:before="20" w:after="20" w:line="276" w:lineRule="auto"/>
              <w:ind w:firstLine="0"/>
            </w:pPr>
            <w:r/>
            <w:r>
              <w:rPr>
                <w:rFonts w:ascii="Times New Roman" w:hAnsi="Times New Roman" w:eastAsia="宋体"/>
                <w:b w:val="0"/>
                <w:i w:val="0"/>
                <w:sz w:val="21"/>
              </w:rPr>
              <w:t>巡库期间发生出入库</w:t>
            </w:r>
          </w:p>
        </w:tc>
        <w:tc>
          <w:tcPr>
            <w:tcW w:type="dxa" w:w="6236"/>
          </w:tcPr>
          <w:p>
            <w:pPr>
              <w:spacing w:before="20" w:after="20" w:line="276" w:lineRule="auto"/>
              <w:ind w:firstLine="0"/>
            </w:pPr>
            <w:r/>
            <w:r>
              <w:rPr>
                <w:rFonts w:ascii="Times New Roman" w:hAnsi="Times New Roman" w:eastAsia="宋体"/>
                <w:b w:val="0"/>
                <w:i w:val="0"/>
                <w:sz w:val="21"/>
              </w:rPr>
              <w:t>盘库与出入库的并发处理策略待业务方确认</w:t>
            </w:r>
          </w:p>
        </w:tc>
      </w:tr>
    </w:tbl>
    <w:p>
      <w:pPr>
        <w:spacing w:before="0" w:after="0" w:line="240" w:lineRule="auto"/>
      </w:pPr>
    </w:p>
    <w:p>
      <w:pPr>
        <w:spacing w:before="120" w:after="60"/>
        <w:ind w:firstLine="0"/>
        <w:jc w:val="center"/>
      </w:pPr>
      <w:r>
        <w:drawing>
          <wp:inline xmlns:a="http://schemas.openxmlformats.org/drawingml/2006/main" xmlns:pic="http://schemas.openxmlformats.org/drawingml/2006/picture">
            <wp:extent cx="5616000" cy="3334500"/>
            <wp:docPr id="54" name="Picture 54"/>
            <wp:cNvGraphicFramePr>
              <a:graphicFrameLocks noChangeAspect="1"/>
            </wp:cNvGraphicFramePr>
            <a:graphic>
              <a:graphicData uri="http://schemas.openxmlformats.org/drawingml/2006/picture">
                <pic:pic>
                  <pic:nvPicPr>
                    <pic:cNvPr id="0" name="warehouse-patrol.png"/>
                    <pic:cNvPicPr/>
                  </pic:nvPicPr>
                  <pic:blipFill>
                    <a:blip r:embed="rId64"/>
                    <a:stretch>
                      <a:fillRect/>
                    </a:stretch>
                  </pic:blipFill>
                  <pic:spPr>
                    <a:xfrm>
                      <a:off x="0" y="0"/>
                      <a:ext cx="5616000" cy="3334500"/>
                    </a:xfrm>
                    <a:prstGeom prst="rect"/>
                  </pic:spPr>
                </pic:pic>
              </a:graphicData>
            </a:graphic>
          </wp:inline>
        </w:drawing>
      </w:r>
    </w:p>
    <w:p>
      <w:pPr>
        <w:spacing w:before="0" w:after="200" w:line="240" w:lineRule="auto"/>
        <w:ind w:firstLine="0"/>
        <w:jc w:val="center"/>
      </w:pPr>
      <w:r>
        <w:rPr>
          <w:rFonts w:ascii="Times New Roman" w:hAnsi="Times New Roman" w:eastAsia="宋体"/>
          <w:b w:val="0"/>
          <w:i w:val="0"/>
          <w:sz w:val="21"/>
        </w:rPr>
        <w:t>图 4-25-2　巡库管理 原型页面</w:t>
      </w:r>
    </w:p>
    <w:p>
      <w:pPr>
        <w:spacing w:before="80" w:after="60" w:line="360" w:lineRule="auto"/>
      </w:pPr>
      <w:r>
        <w:rPr>
          <w:rFonts w:ascii="Times New Roman" w:hAnsi="Times New Roman" w:eastAsia="宋体"/>
          <w:b/>
          <w:i w:val="0"/>
          <w:sz w:val="24"/>
        </w:rPr>
        <w:t>页面级说明：</w:t>
      </w: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tblGrid>
      <w:tr>
        <w:trPr>
          <w:tblHeader w:val="true"/>
        </w:trPr>
        <w:tc>
          <w:tcPr>
            <w:tcW w:type="dxa" w:w="1178"/>
            <w:shd w:val="clear" w:color="auto" w:fill="DCE6F1"/>
          </w:tcPr>
          <w:p>
            <w:pPr>
              <w:spacing w:before="40" w:after="40" w:line="276" w:lineRule="auto"/>
              <w:jc w:val="center"/>
            </w:pPr>
            <w:r/>
            <w:r>
              <w:rPr>
                <w:rFonts w:ascii="Times New Roman" w:hAnsi="Times New Roman" w:eastAsia="黑体"/>
                <w:b/>
                <w:i w:val="0"/>
                <w:sz w:val="19"/>
              </w:rPr>
              <w:t>页面</w:t>
            </w:r>
          </w:p>
        </w:tc>
        <w:tc>
          <w:tcPr>
            <w:tcW w:type="dxa" w:w="1531"/>
            <w:shd w:val="clear" w:color="auto" w:fill="DCE6F1"/>
          </w:tcPr>
          <w:p>
            <w:pPr>
              <w:spacing w:before="40" w:after="40" w:line="276" w:lineRule="auto"/>
              <w:jc w:val="center"/>
            </w:pPr>
            <w:r/>
            <w:r>
              <w:rPr>
                <w:rFonts w:ascii="Times New Roman" w:hAnsi="Times New Roman" w:eastAsia="黑体"/>
                <w:b/>
                <w:i w:val="0"/>
                <w:sz w:val="19"/>
              </w:rPr>
              <w:t>原型文件</w:t>
            </w:r>
          </w:p>
        </w:tc>
        <w:tc>
          <w:tcPr>
            <w:tcW w:type="dxa" w:w="1119"/>
            <w:shd w:val="clear" w:color="auto" w:fill="DCE6F1"/>
          </w:tcPr>
          <w:p>
            <w:pPr>
              <w:spacing w:before="40" w:after="40" w:line="276" w:lineRule="auto"/>
              <w:jc w:val="center"/>
            </w:pPr>
            <w:r/>
            <w:r>
              <w:rPr>
                <w:rFonts w:ascii="Times New Roman" w:hAnsi="Times New Roman" w:eastAsia="黑体"/>
                <w:b/>
                <w:i w:val="0"/>
                <w:sz w:val="19"/>
              </w:rPr>
              <w:t>进入方式</w:t>
            </w:r>
          </w:p>
        </w:tc>
        <w:tc>
          <w:tcPr>
            <w:tcW w:type="dxa" w:w="2062"/>
            <w:shd w:val="clear" w:color="auto" w:fill="DCE6F1"/>
          </w:tcPr>
          <w:p>
            <w:pPr>
              <w:spacing w:before="40" w:after="40" w:line="276" w:lineRule="auto"/>
              <w:jc w:val="center"/>
            </w:pPr>
            <w:r/>
            <w:r>
              <w:rPr>
                <w:rFonts w:ascii="Times New Roman" w:hAnsi="Times New Roman" w:eastAsia="黑体"/>
                <w:b/>
                <w:i w:val="0"/>
                <w:sz w:val="19"/>
              </w:rPr>
              <w:t>关键区块</w:t>
            </w:r>
          </w:p>
        </w:tc>
        <w:tc>
          <w:tcPr>
            <w:tcW w:type="dxa" w:w="1767"/>
            <w:shd w:val="clear" w:color="auto" w:fill="DCE6F1"/>
          </w:tcPr>
          <w:p>
            <w:pPr>
              <w:spacing w:before="40" w:after="40" w:line="276" w:lineRule="auto"/>
              <w:jc w:val="center"/>
            </w:pPr>
            <w:r/>
            <w:r>
              <w:rPr>
                <w:rFonts w:ascii="Times New Roman" w:hAnsi="Times New Roman" w:eastAsia="黑体"/>
                <w:b/>
                <w:i w:val="0"/>
                <w:sz w:val="19"/>
              </w:rPr>
              <w:t>主要按钮与行为</w:t>
            </w:r>
          </w:p>
        </w:tc>
        <w:tc>
          <w:tcPr>
            <w:tcW w:type="dxa" w:w="1414"/>
            <w:shd w:val="clear" w:color="auto" w:fill="DCE6F1"/>
          </w:tcPr>
          <w:p>
            <w:pPr>
              <w:spacing w:before="40" w:after="40" w:line="276" w:lineRule="auto"/>
              <w:jc w:val="center"/>
            </w:pPr>
            <w:r/>
            <w:r>
              <w:rPr>
                <w:rFonts w:ascii="Times New Roman" w:hAnsi="Times New Roman" w:eastAsia="黑体"/>
                <w:b/>
                <w:i w:val="0"/>
                <w:sz w:val="19"/>
              </w:rPr>
              <w:t>跳转去向</w:t>
            </w:r>
          </w:p>
        </w:tc>
      </w:tr>
      <w:tr>
        <w:tc>
          <w:tcPr>
            <w:tcW w:type="dxa" w:w="1178"/>
          </w:tcPr>
          <w:p>
            <w:pPr>
              <w:spacing w:before="20" w:after="20" w:line="276" w:lineRule="auto"/>
              <w:ind w:firstLine="0"/>
            </w:pPr>
            <w:r/>
            <w:r>
              <w:rPr>
                <w:rFonts w:ascii="Times New Roman" w:hAnsi="Times New Roman" w:eastAsia="宋体"/>
                <w:b w:val="0"/>
                <w:i w:val="0"/>
                <w:sz w:val="19"/>
              </w:rPr>
              <w:t>巡库记录（列表）</w:t>
            </w:r>
          </w:p>
        </w:tc>
        <w:tc>
          <w:tcPr>
            <w:tcW w:type="dxa" w:w="1531"/>
          </w:tcPr>
          <w:p>
            <w:pPr>
              <w:spacing w:before="20" w:after="20" w:line="276" w:lineRule="auto"/>
              <w:ind w:firstLine="0"/>
            </w:pPr>
            <w:r/>
            <w:r>
              <w:rPr>
                <w:rFonts w:ascii="Times New Roman" w:hAnsi="Times New Roman" w:eastAsia="宋体"/>
                <w:b w:val="0"/>
                <w:i w:val="0"/>
                <w:sz w:val="19"/>
              </w:rPr>
              <w:t>warehouse-patrol.html</w:t>
            </w:r>
          </w:p>
        </w:tc>
        <w:tc>
          <w:tcPr>
            <w:tcW w:type="dxa" w:w="1119"/>
          </w:tcPr>
          <w:p>
            <w:pPr>
              <w:spacing w:before="20" w:after="20" w:line="276" w:lineRule="auto"/>
              <w:ind w:firstLine="0"/>
            </w:pPr>
            <w:r/>
            <w:r>
              <w:rPr>
                <w:rFonts w:ascii="Times New Roman" w:hAnsi="Times New Roman" w:eastAsia="宋体"/>
                <w:b w:val="0"/>
                <w:i w:val="0"/>
                <w:sz w:val="19"/>
              </w:rPr>
              <w:t>仓储管理 → 巡库管理</w:t>
            </w:r>
          </w:p>
        </w:tc>
        <w:tc>
          <w:tcPr>
            <w:tcW w:type="dxa" w:w="2062"/>
          </w:tcPr>
          <w:p>
            <w:pPr>
              <w:spacing w:before="20" w:after="20" w:line="276" w:lineRule="auto"/>
              <w:ind w:firstLine="0"/>
            </w:pPr>
            <w:r/>
            <w:r>
              <w:rPr>
                <w:rFonts w:ascii="Times New Roman" w:hAnsi="Times New Roman" w:eastAsia="宋体"/>
                <w:b w:val="0"/>
                <w:i w:val="0"/>
                <w:sz w:val="19"/>
              </w:rPr>
              <w:t>3 个字段筛选区（巡库结果、处理状态、巡库时间）、12 列表格；当前无记录时展示暂无数据空状态</w:t>
            </w:r>
          </w:p>
        </w:tc>
        <w:tc>
          <w:tcPr>
            <w:tcW w:type="dxa" w:w="1767"/>
          </w:tcPr>
          <w:p>
            <w:pPr>
              <w:spacing w:before="20" w:after="20" w:line="276" w:lineRule="auto"/>
              <w:ind w:firstLine="0"/>
            </w:pPr>
            <w:r/>
            <w:r>
              <w:rPr>
                <w:rFonts w:ascii="Times New Roman" w:hAnsi="Times New Roman" w:eastAsia="宋体"/>
                <w:b w:val="0"/>
                <w:i w:val="0"/>
                <w:sz w:val="19"/>
              </w:rPr>
              <w:t>新增巡库、数据导出、搜索筛选；行内：查看、编辑、一键盘盈盘亏</w:t>
            </w:r>
          </w:p>
        </w:tc>
        <w:tc>
          <w:tcPr>
            <w:tcW w:type="dxa" w:w="1414"/>
          </w:tcPr>
          <w:p>
            <w:pPr>
              <w:spacing w:before="20" w:after="20" w:line="276" w:lineRule="auto"/>
              <w:ind w:firstLine="0"/>
            </w:pPr>
            <w:r/>
            <w:r>
              <w:rPr>
                <w:rFonts w:ascii="Times New Roman" w:hAnsi="Times New Roman" w:eastAsia="宋体"/>
                <w:b w:val="0"/>
                <w:i w:val="0"/>
                <w:sz w:val="19"/>
              </w:rPr>
              <w:t>一键盘盈盘亏 → 盘盈入库或盘亏出库登记；其余为页面内操作</w:t>
            </w:r>
          </w:p>
        </w:tc>
      </w:tr>
      <w:tr>
        <w:tc>
          <w:tcPr>
            <w:tcW w:type="dxa" w:w="1178"/>
          </w:tcPr>
          <w:p>
            <w:pPr>
              <w:spacing w:before="20" w:after="20" w:line="276" w:lineRule="auto"/>
              <w:ind w:firstLine="0"/>
            </w:pPr>
            <w:r/>
            <w:r>
              <w:rPr>
                <w:rFonts w:ascii="Times New Roman" w:hAnsi="Times New Roman" w:eastAsia="宋体"/>
                <w:b w:val="0"/>
                <w:i w:val="0"/>
                <w:sz w:val="19"/>
              </w:rPr>
              <w:t>仓房管理（巡库任务配置）</w:t>
            </w:r>
          </w:p>
        </w:tc>
        <w:tc>
          <w:tcPr>
            <w:tcW w:type="dxa" w:w="1531"/>
          </w:tcPr>
          <w:p>
            <w:pPr>
              <w:spacing w:before="20" w:after="20" w:line="276" w:lineRule="auto"/>
              <w:ind w:firstLine="0"/>
            </w:pPr>
            <w:r/>
            <w:r>
              <w:rPr>
                <w:rFonts w:ascii="Times New Roman" w:hAnsi="Times New Roman" w:eastAsia="宋体"/>
                <w:b w:val="0"/>
                <w:i w:val="0"/>
                <w:sz w:val="19"/>
              </w:rPr>
              <w:t>warehouse-warehouse.html</w:t>
            </w:r>
          </w:p>
        </w:tc>
        <w:tc>
          <w:tcPr>
            <w:tcW w:type="dxa" w:w="1119"/>
          </w:tcPr>
          <w:p>
            <w:pPr>
              <w:spacing w:before="20" w:after="20" w:line="276" w:lineRule="auto"/>
              <w:ind w:firstLine="0"/>
            </w:pPr>
            <w:r/>
            <w:r>
              <w:rPr>
                <w:rFonts w:ascii="Times New Roman" w:hAnsi="Times New Roman" w:eastAsia="宋体"/>
                <w:b w:val="0"/>
                <w:i w:val="0"/>
                <w:sz w:val="19"/>
              </w:rPr>
              <w:t>仓储管理 → 系统管理 → 仓房管理</w:t>
            </w:r>
          </w:p>
        </w:tc>
        <w:tc>
          <w:tcPr>
            <w:tcW w:type="dxa" w:w="2062"/>
          </w:tcPr>
          <w:p>
            <w:pPr>
              <w:spacing w:before="20" w:after="20" w:line="276" w:lineRule="auto"/>
              <w:ind w:firstLine="0"/>
            </w:pPr>
            <w:r/>
            <w:r>
              <w:rPr>
                <w:rFonts w:ascii="Times New Roman" w:hAnsi="Times New Roman" w:eastAsia="宋体"/>
                <w:b w:val="0"/>
                <w:i w:val="0"/>
                <w:sz w:val="19"/>
              </w:rPr>
              <w:t>仓房名称筛选区、6 列表格（编号、仓房名称、所属货主、备注、巡库任务、操作）、新增仓房弹窗</w:t>
            </w:r>
          </w:p>
        </w:tc>
        <w:tc>
          <w:tcPr>
            <w:tcW w:type="dxa" w:w="1767"/>
          </w:tcPr>
          <w:p>
            <w:pPr>
              <w:spacing w:before="20" w:after="20" w:line="276" w:lineRule="auto"/>
              <w:ind w:firstLine="0"/>
            </w:pPr>
            <w:r/>
            <w:r>
              <w:rPr>
                <w:rFonts w:ascii="Times New Roman" w:hAnsi="Times New Roman" w:eastAsia="宋体"/>
                <w:b w:val="0"/>
                <w:i w:val="0"/>
                <w:sz w:val="19"/>
              </w:rPr>
              <w:t>新增仓房、行内编辑、货位、巡库任务开关</w:t>
            </w:r>
          </w:p>
        </w:tc>
        <w:tc>
          <w:tcPr>
            <w:tcW w:type="dxa" w:w="1414"/>
          </w:tcPr>
          <w:p>
            <w:pPr>
              <w:spacing w:before="20" w:after="20" w:line="276" w:lineRule="auto"/>
              <w:ind w:firstLine="0"/>
            </w:pPr>
            <w:r/>
            <w:r>
              <w:rPr>
                <w:rFonts w:ascii="Times New Roman" w:hAnsi="Times New Roman" w:eastAsia="宋体"/>
                <w:b w:val="0"/>
                <w:i w:val="0"/>
                <w:sz w:val="19"/>
              </w:rPr>
              <w:t>巡库任务开关开启后该仓房自动纳入巡库计划；货位操作当前仅给出提示，不跳转独立货位管理页</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4.25.8　验收标准与待确认项</w:t>
      </w:r>
    </w:p>
    <w:tbl>
      <w:tblPr>
        <w:tblStyle w:val="TableGrid"/>
        <w:tblW w:type="auto" w:w="0"/>
        <w:jc w:val="center"/>
        <w:tblLayout w:type="fixed"/>
        <w:tblLook w:firstColumn="1" w:firstRow="1" w:lastColumn="0" w:lastRow="0" w:noHBand="0" w:noVBand="1" w:val="04A0"/>
      </w:tblPr>
      <w:tblGrid>
        <w:gridCol w:w="4479"/>
        <w:gridCol w:w="4479"/>
      </w:tblGrid>
      <w:tr>
        <w:trPr>
          <w:tblHeader w:val="true"/>
        </w:trPr>
        <w:tc>
          <w:tcPr>
            <w:tcW w:type="dxa" w:w="1701"/>
            <w:shd w:val="clear" w:color="auto" w:fill="DCE6F1"/>
          </w:tcPr>
          <w:p>
            <w:pPr>
              <w:spacing w:before="40" w:after="40" w:line="276" w:lineRule="auto"/>
              <w:jc w:val="center"/>
            </w:pPr>
            <w:r/>
            <w:r>
              <w:rPr>
                <w:rFonts w:ascii="Times New Roman" w:hAnsi="Times New Roman" w:eastAsia="黑体"/>
                <w:b/>
                <w:i w:val="0"/>
                <w:sz w:val="21"/>
              </w:rPr>
              <w:t>功能</w:t>
            </w:r>
          </w:p>
        </w:tc>
        <w:tc>
          <w:tcPr>
            <w:tcW w:type="dxa" w:w="7370"/>
            <w:shd w:val="clear" w:color="auto" w:fill="DCE6F1"/>
          </w:tcPr>
          <w:p>
            <w:pPr>
              <w:spacing w:before="40" w:after="40" w:line="276" w:lineRule="auto"/>
              <w:jc w:val="center"/>
            </w:pPr>
            <w:r/>
            <w:r>
              <w:rPr>
                <w:rFonts w:ascii="Times New Roman" w:hAnsi="Times New Roman" w:eastAsia="黑体"/>
                <w:b/>
                <w:i w:val="0"/>
                <w:sz w:val="21"/>
              </w:rPr>
              <w:t>验收要点（由关键规则转写）</w:t>
            </w:r>
          </w:p>
        </w:tc>
      </w:tr>
      <w:tr>
        <w:tc>
          <w:tcPr>
            <w:tcW w:type="dxa" w:w="1701"/>
          </w:tcPr>
          <w:p>
            <w:pPr>
              <w:spacing w:before="20" w:after="20" w:line="276" w:lineRule="auto"/>
              <w:ind w:firstLine="0"/>
            </w:pPr>
            <w:r/>
            <w:r>
              <w:rPr>
                <w:rFonts w:ascii="Times New Roman" w:hAnsi="Times New Roman" w:eastAsia="宋体"/>
                <w:b w:val="0"/>
                <w:i w:val="0"/>
                <w:sz w:val="21"/>
              </w:rPr>
              <w:t>巡库记录列表</w:t>
            </w:r>
          </w:p>
        </w:tc>
        <w:tc>
          <w:tcPr>
            <w:tcW w:type="dxa" w:w="7370"/>
          </w:tcPr>
          <w:p>
            <w:pPr>
              <w:spacing w:before="20" w:after="20" w:line="276" w:lineRule="auto"/>
              <w:ind w:firstLine="0"/>
            </w:pPr>
            <w:r/>
            <w:r>
              <w:rPr>
                <w:rFonts w:ascii="Times New Roman" w:hAnsi="Times New Roman" w:eastAsia="宋体"/>
                <w:b w:val="0"/>
                <w:i w:val="0"/>
                <w:sz w:val="21"/>
              </w:rPr>
              <w:t>列表不设状态分栏；筛选区固定 3 个字段：巡库结果、处理状态、巡库时间区间；表格共 12 列：序号、仓库名称、仓房、货主、巡库时间、巡库结果、处理状态、处理时间、巡库人员、监管负责人、报告生成时间、操作</w:t>
            </w:r>
          </w:p>
        </w:tc>
      </w:tr>
      <w:tr>
        <w:tc>
          <w:tcPr>
            <w:tcW w:type="dxa" w:w="1701"/>
          </w:tcPr>
          <w:p>
            <w:pPr>
              <w:spacing w:before="20" w:after="20" w:line="276" w:lineRule="auto"/>
              <w:ind w:firstLine="0"/>
            </w:pPr>
            <w:r/>
            <w:r>
              <w:rPr>
                <w:rFonts w:ascii="Times New Roman" w:hAnsi="Times New Roman" w:eastAsia="宋体"/>
                <w:b w:val="0"/>
                <w:i w:val="0"/>
                <w:sz w:val="21"/>
              </w:rPr>
              <w:t>巡库结果与处理状态组合</w:t>
            </w:r>
          </w:p>
        </w:tc>
        <w:tc>
          <w:tcPr>
            <w:tcW w:type="dxa" w:w="7370"/>
          </w:tcPr>
          <w:p>
            <w:pPr>
              <w:spacing w:before="20" w:after="20" w:line="276" w:lineRule="auto"/>
              <w:ind w:firstLine="0"/>
            </w:pPr>
            <w:r/>
            <w:r>
              <w:rPr>
                <w:rFonts w:ascii="Times New Roman" w:hAnsi="Times New Roman" w:eastAsia="宋体"/>
                <w:b w:val="0"/>
                <w:i w:val="0"/>
                <w:sz w:val="21"/>
              </w:rPr>
              <w:t>巡库结果 3 个取值：正常、异常、待处理；处理状态 3 个取值：已处理、未处理、已关闭；两个维度共 9 种组合；巡库结果状态标签按绿（正常）、红（异常）、黄（待处理）三色循环</w:t>
            </w:r>
          </w:p>
        </w:tc>
      </w:tr>
      <w:tr>
        <w:tc>
          <w:tcPr>
            <w:tcW w:type="dxa" w:w="1701"/>
          </w:tcPr>
          <w:p>
            <w:pPr>
              <w:spacing w:before="20" w:after="20" w:line="276" w:lineRule="auto"/>
              <w:ind w:firstLine="0"/>
            </w:pPr>
            <w:r/>
            <w:r>
              <w:rPr>
                <w:rFonts w:ascii="Times New Roman" w:hAnsi="Times New Roman" w:eastAsia="宋体"/>
                <w:b w:val="0"/>
                <w:i w:val="0"/>
                <w:sz w:val="21"/>
              </w:rPr>
              <w:t>新增巡库登记</w:t>
            </w:r>
          </w:p>
        </w:tc>
        <w:tc>
          <w:tcPr>
            <w:tcW w:type="dxa" w:w="7370"/>
          </w:tcPr>
          <w:p>
            <w:pPr>
              <w:spacing w:before="20" w:after="20" w:line="276" w:lineRule="auto"/>
              <w:ind w:firstLine="0"/>
            </w:pPr>
            <w:r/>
            <w:r>
              <w:rPr>
                <w:rFonts w:ascii="Times New Roman" w:hAnsi="Times New Roman" w:eastAsia="宋体"/>
                <w:b w:val="0"/>
                <w:i w:val="0"/>
                <w:sz w:val="21"/>
              </w:rPr>
              <w:t>顶部「新增巡库」按钮触发弹窗；巡库记录必须关联仓房与货位；巡库类型为定期巡检、异常盘点、抽查三类之一</w:t>
            </w:r>
          </w:p>
        </w:tc>
      </w:tr>
      <w:tr>
        <w:tc>
          <w:tcPr>
            <w:tcW w:type="dxa" w:w="1701"/>
          </w:tcPr>
          <w:p>
            <w:pPr>
              <w:spacing w:before="20" w:after="20" w:line="276" w:lineRule="auto"/>
              <w:ind w:firstLine="0"/>
            </w:pPr>
            <w:r/>
            <w:r>
              <w:rPr>
                <w:rFonts w:ascii="Times New Roman" w:hAnsi="Times New Roman" w:eastAsia="宋体"/>
                <w:b w:val="0"/>
                <w:i w:val="0"/>
                <w:sz w:val="21"/>
              </w:rPr>
              <w:t>巡库问题记录与处置</w:t>
            </w:r>
          </w:p>
        </w:tc>
        <w:tc>
          <w:tcPr>
            <w:tcW w:type="dxa" w:w="7370"/>
          </w:tcPr>
          <w:p>
            <w:pPr>
              <w:spacing w:before="20" w:after="20" w:line="276" w:lineRule="auto"/>
              <w:ind w:firstLine="0"/>
            </w:pPr>
            <w:r/>
            <w:r>
              <w:rPr>
                <w:rFonts w:ascii="Times New Roman" w:hAnsi="Times New Roman" w:eastAsia="宋体"/>
                <w:b w:val="0"/>
                <w:i w:val="0"/>
                <w:sz w:val="21"/>
              </w:rPr>
              <w:t>巡库记录含发现问题数与附件数（图片与视频）；异常巡库须填写处理状态与处理时间；巡库报告生成后回写报告生成时间</w:t>
            </w:r>
          </w:p>
        </w:tc>
      </w:tr>
      <w:tr>
        <w:tc>
          <w:tcPr>
            <w:tcW w:type="dxa" w:w="1701"/>
          </w:tcPr>
          <w:p>
            <w:pPr>
              <w:spacing w:before="20" w:after="20" w:line="276" w:lineRule="auto"/>
              <w:ind w:firstLine="0"/>
            </w:pPr>
            <w:r/>
            <w:r>
              <w:rPr>
                <w:rFonts w:ascii="Times New Roman" w:hAnsi="Times New Roman" w:eastAsia="宋体"/>
                <w:b w:val="0"/>
                <w:i w:val="0"/>
                <w:sz w:val="21"/>
              </w:rPr>
              <w:t>盘盈盘亏一键转单</w:t>
            </w:r>
          </w:p>
        </w:tc>
        <w:tc>
          <w:tcPr>
            <w:tcW w:type="dxa" w:w="7370"/>
          </w:tcPr>
          <w:p>
            <w:pPr>
              <w:spacing w:before="20" w:after="20" w:line="276" w:lineRule="auto"/>
              <w:ind w:firstLine="0"/>
            </w:pPr>
            <w:r/>
            <w:r>
              <w:rPr>
                <w:rFonts w:ascii="Times New Roman" w:hAnsi="Times New Roman" w:eastAsia="宋体"/>
                <w:b w:val="0"/>
                <w:i w:val="0"/>
                <w:sz w:val="21"/>
              </w:rPr>
              <w:t>巡库记录支持一键提交盘盈入库或盘亏出库；转单后更新库存台账实际库存并联动业务线</w:t>
            </w:r>
          </w:p>
        </w:tc>
      </w:tr>
      <w:tr>
        <w:tc>
          <w:tcPr>
            <w:tcW w:type="dxa" w:w="1701"/>
          </w:tcPr>
          <w:p>
            <w:pPr>
              <w:spacing w:before="20" w:after="20" w:line="276" w:lineRule="auto"/>
              <w:ind w:firstLine="0"/>
            </w:pPr>
            <w:r/>
            <w:r>
              <w:rPr>
                <w:rFonts w:ascii="Times New Roman" w:hAnsi="Times New Roman" w:eastAsia="宋体"/>
                <w:b w:val="0"/>
                <w:i w:val="0"/>
                <w:sz w:val="21"/>
              </w:rPr>
              <w:t>仓房巡库任务开关</w:t>
            </w:r>
          </w:p>
        </w:tc>
        <w:tc>
          <w:tcPr>
            <w:tcW w:type="dxa" w:w="7370"/>
          </w:tcPr>
          <w:p>
            <w:pPr>
              <w:spacing w:before="20" w:after="20" w:line="276" w:lineRule="auto"/>
              <w:ind w:firstLine="0"/>
            </w:pPr>
            <w:r/>
            <w:r>
              <w:rPr>
                <w:rFonts w:ascii="Times New Roman" w:hAnsi="Times New Roman" w:eastAsia="宋体"/>
                <w:b w:val="0"/>
                <w:i w:val="0"/>
                <w:sz w:val="21"/>
              </w:rPr>
              <w:t>仓房列表提供巡库任务开关，开关为开启状态时该仓房自动纳入巡库计划；切换开关即时生效并给出结果提示；开关切换不做二次确认；开关点击与行点击互不冲突</w:t>
            </w:r>
          </w:p>
        </w:tc>
      </w:tr>
      <w:tr>
        <w:tc>
          <w:tcPr>
            <w:tcW w:type="dxa" w:w="1701"/>
          </w:tcPr>
          <w:p>
            <w:pPr>
              <w:spacing w:before="20" w:after="20" w:line="276" w:lineRule="auto"/>
              <w:ind w:firstLine="0"/>
            </w:pPr>
            <w:r/>
            <w:r>
              <w:rPr>
                <w:rFonts w:ascii="Times New Roman" w:hAnsi="Times New Roman" w:eastAsia="宋体"/>
                <w:b w:val="0"/>
                <w:i w:val="0"/>
                <w:sz w:val="21"/>
              </w:rPr>
              <w:t>巡库记录导出</w:t>
            </w:r>
          </w:p>
        </w:tc>
        <w:tc>
          <w:tcPr>
            <w:tcW w:type="dxa" w:w="7370"/>
          </w:tcPr>
          <w:p>
            <w:pPr>
              <w:spacing w:before="20" w:after="20" w:line="276" w:lineRule="auto"/>
              <w:ind w:firstLine="0"/>
            </w:pPr>
            <w:r/>
            <w:r>
              <w:rPr>
                <w:rFonts w:ascii="Times New Roman" w:hAnsi="Times New Roman" w:eastAsia="宋体"/>
                <w:b w:val="0"/>
                <w:i w:val="0"/>
                <w:sz w:val="21"/>
              </w:rPr>
              <w:t>数据导出按钮导出当前筛选条件下的巡库记录</w:t>
            </w:r>
          </w:p>
        </w:tc>
      </w:tr>
    </w:tbl>
    <w:p>
      <w:pPr>
        <w:spacing w:before="0" w:after="0" w:line="240" w:lineRule="auto"/>
      </w:pPr>
    </w:p>
    <w:p>
      <w:pPr>
        <w:spacing w:before="120" w:after="60" w:line="360" w:lineRule="auto"/>
      </w:pPr>
      <w:r>
        <w:rPr>
          <w:rFonts w:ascii="Times New Roman" w:hAnsi="Times New Roman" w:eastAsia="宋体"/>
          <w:b/>
          <w:i w:val="0"/>
          <w:sz w:val="24"/>
        </w:rPr>
        <w:t>待业务方确认：</w:t>
      </w:r>
    </w:p>
    <w:p>
      <w:pPr>
        <w:spacing w:before="0" w:after="60" w:line="336" w:lineRule="auto"/>
        <w:ind w:left="340" w:firstLine="0"/>
      </w:pPr>
      <w:r>
        <w:rPr>
          <w:rFonts w:ascii="Times New Roman" w:hAnsi="Times New Roman" w:eastAsia="宋体"/>
          <w:b w:val="0"/>
          <w:i w:val="0"/>
          <w:sz w:val="24"/>
        </w:rPr>
        <w:t>· 待业务方确认：巡库结果 3 个取值与处理状态 3 个取值的组合口径，需求记为 5 种组合而两个维度相乘为 9 种</w:t>
      </w:r>
    </w:p>
    <w:p>
      <w:pPr>
        <w:spacing w:before="0" w:after="60" w:line="336" w:lineRule="auto"/>
        <w:ind w:left="340" w:firstLine="0"/>
      </w:pPr>
      <w:r>
        <w:rPr>
          <w:rFonts w:ascii="Times New Roman" w:hAnsi="Times New Roman" w:eastAsia="宋体"/>
          <w:b w:val="0"/>
          <w:i w:val="0"/>
          <w:sz w:val="24"/>
        </w:rPr>
        <w:t>· 待业务方确认：新增巡库的完整字段清单与必填项，以及图片与视频附件的数量与容量限制</w:t>
      </w:r>
    </w:p>
    <w:p>
      <w:pPr>
        <w:spacing w:before="0" w:after="60" w:line="336" w:lineRule="auto"/>
        <w:ind w:left="340" w:firstLine="0"/>
      </w:pPr>
      <w:r>
        <w:rPr>
          <w:rFonts w:ascii="Times New Roman" w:hAnsi="Times New Roman" w:eastAsia="宋体"/>
          <w:b w:val="0"/>
          <w:i w:val="0"/>
          <w:sz w:val="24"/>
        </w:rPr>
        <w:t>· 待业务方确认：巡库报告的生成动作与触发时机，以及报告生成时间的回写规则</w:t>
      </w:r>
    </w:p>
    <w:p>
      <w:pPr>
        <w:spacing w:before="0" w:after="60" w:line="336" w:lineRule="auto"/>
        <w:ind w:left="340" w:firstLine="0"/>
      </w:pPr>
      <w:r>
        <w:rPr>
          <w:rFonts w:ascii="Times New Roman" w:hAnsi="Times New Roman" w:eastAsia="宋体"/>
          <w:b w:val="0"/>
          <w:i w:val="0"/>
          <w:sz w:val="24"/>
        </w:rPr>
        <w:t>· 待业务方确认：盘库记录的状态枚举取值</w:t>
      </w:r>
    </w:p>
    <w:p>
      <w:pPr>
        <w:spacing w:before="0" w:after="60" w:line="336" w:lineRule="auto"/>
        <w:ind w:left="340" w:firstLine="0"/>
      </w:pPr>
      <w:r>
        <w:rPr>
          <w:rFonts w:ascii="Times New Roman" w:hAnsi="Times New Roman" w:eastAsia="宋体"/>
          <w:b w:val="0"/>
          <w:i w:val="0"/>
          <w:sz w:val="24"/>
        </w:rPr>
        <w:t>· 待业务方确认：巡库与出入库并发时的处理策略</w:t>
      </w:r>
    </w:p>
    <w:p>
      <w:pPr>
        <w:spacing w:before="0" w:after="60" w:line="336" w:lineRule="auto"/>
        <w:ind w:left="340" w:firstLine="0"/>
      </w:pPr>
      <w:r>
        <w:rPr>
          <w:rFonts w:ascii="Times New Roman" w:hAnsi="Times New Roman" w:eastAsia="宋体"/>
          <w:b w:val="0"/>
          <w:i w:val="0"/>
          <w:sz w:val="24"/>
        </w:rPr>
        <w:t>· 待业务方确认：盘库差异 5% 阈值是否固定在代码层、不提供可配置界面</w:t>
      </w:r>
    </w:p>
    <w:p>
      <w:pPr>
        <w:spacing w:before="0" w:after="60" w:line="336" w:lineRule="auto"/>
        <w:ind w:left="340" w:firstLine="0"/>
      </w:pPr>
      <w:r>
        <w:rPr>
          <w:rFonts w:ascii="Times New Roman" w:hAnsi="Times New Roman" w:eastAsia="宋体"/>
          <w:b w:val="0"/>
          <w:i w:val="0"/>
          <w:sz w:val="24"/>
        </w:rPr>
        <w:t>· 待业务方确认：监管负责人字段的取值来源与所属部门</w:t>
      </w:r>
    </w:p>
    <w:p>
      <w:r>
        <w:br w:type="page"/>
      </w:r>
    </w:p>
    <w:p>
      <w:pPr>
        <w:pStyle w:val="Heading2"/>
        <w:keepNext/>
        <w:spacing w:before="240" w:after="120" w:line="312" w:lineRule="auto"/>
        <w:ind w:firstLine="0"/>
      </w:pPr>
      <w:r>
        <w:rPr>
          <w:rFonts w:ascii="Times New Roman" w:hAnsi="Times New Roman" w:eastAsia="黑体"/>
          <w:b/>
          <w:i w:val="0"/>
          <w:sz w:val="28"/>
        </w:rPr>
        <w:t>4.26　系统管理</w:t>
      </w:r>
    </w:p>
    <w:p>
      <w:pPr>
        <w:spacing w:before="0" w:after="160" w:line="360" w:lineRule="auto"/>
      </w:pPr>
      <w:r>
        <w:rPr>
          <w:rFonts w:ascii="Times New Roman" w:hAnsi="Times New Roman" w:eastAsia="宋体"/>
          <w:b w:val="0"/>
          <w:i w:val="0"/>
          <w:color w:val="595959"/>
          <w:sz w:val="21"/>
        </w:rPr>
        <w:t>菜单路径：仓储管理 / 系统管理</w:t>
      </w:r>
    </w:p>
    <w:p>
      <w:pPr>
        <w:pStyle w:val="Heading3"/>
        <w:keepNext/>
        <w:spacing w:before="160" w:after="80" w:line="312" w:lineRule="auto"/>
        <w:ind w:firstLine="0"/>
      </w:pPr>
      <w:r>
        <w:rPr>
          <w:rFonts w:ascii="Times New Roman" w:hAnsi="Times New Roman" w:eastAsia="黑体"/>
          <w:b/>
          <w:i w:val="0"/>
          <w:sz w:val="24"/>
        </w:rPr>
        <w:t>4.26.1　一页结论</w:t>
      </w:r>
    </w:p>
    <w:p>
      <w:pPr>
        <w:spacing w:before="0" w:after="120" w:line="360" w:lineRule="auto"/>
      </w:pPr>
      <w:r>
        <w:rPr>
          <w:rFonts w:ascii="Times New Roman" w:hAnsi="Times New Roman" w:eastAsia="宋体"/>
          <w:b w:val="0"/>
          <w:i w:val="0"/>
          <w:sz w:val="24"/>
        </w:rPr>
        <w:t>承载仓储侧的基础数据与设备运维配置：维护库点、仓房、货位三级空间结构与品类单品名基础数据，并监控仓储物联设备的在线与异常状态。</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928"/>
            <w:shd w:val="clear" w:color="auto" w:fill="DCE6F1"/>
          </w:tcPr>
          <w:p>
            <w:pPr>
              <w:spacing w:before="40" w:after="40" w:line="276" w:lineRule="auto"/>
              <w:jc w:val="center"/>
            </w:pPr>
            <w:r/>
            <w:r>
              <w:rPr>
                <w:rFonts w:ascii="Times New Roman" w:hAnsi="Times New Roman" w:eastAsia="黑体"/>
                <w:b/>
                <w:i w:val="0"/>
                <w:sz w:val="21"/>
              </w:rPr>
              <w:t>问题</w:t>
            </w:r>
          </w:p>
        </w:tc>
        <w:tc>
          <w:tcPr>
            <w:tcW w:type="dxa" w:w="3572"/>
            <w:shd w:val="clear" w:color="auto" w:fill="DCE6F1"/>
          </w:tcPr>
          <w:p>
            <w:pPr>
              <w:spacing w:before="40" w:after="40" w:line="276" w:lineRule="auto"/>
              <w:jc w:val="center"/>
            </w:pPr>
            <w:r/>
            <w:r>
              <w:rPr>
                <w:rFonts w:ascii="Times New Roman" w:hAnsi="Times New Roman" w:eastAsia="黑体"/>
                <w:b/>
                <w:i w:val="0"/>
                <w:sz w:val="21"/>
              </w:rPr>
              <w:t>当前做法</w:t>
            </w:r>
          </w:p>
        </w:tc>
        <w:tc>
          <w:tcPr>
            <w:tcW w:type="dxa" w:w="3572"/>
            <w:shd w:val="clear" w:color="auto" w:fill="DCE6F1"/>
          </w:tcPr>
          <w:p>
            <w:pPr>
              <w:spacing w:before="40" w:after="40" w:line="276" w:lineRule="auto"/>
              <w:jc w:val="center"/>
            </w:pPr>
            <w:r/>
            <w:r>
              <w:rPr>
                <w:rFonts w:ascii="Times New Roman" w:hAnsi="Times New Roman" w:eastAsia="黑体"/>
                <w:b/>
                <w:i w:val="0"/>
                <w:sz w:val="21"/>
              </w:rPr>
              <w:t>本模块解法</w:t>
            </w:r>
          </w:p>
        </w:tc>
      </w:tr>
      <w:tr>
        <w:tc>
          <w:tcPr>
            <w:tcW w:type="dxa" w:w="1928"/>
          </w:tcPr>
          <w:p>
            <w:pPr>
              <w:spacing w:before="20" w:after="20" w:line="276" w:lineRule="auto"/>
              <w:ind w:firstLine="0"/>
            </w:pPr>
            <w:r/>
            <w:r>
              <w:rPr>
                <w:rFonts w:ascii="Times New Roman" w:hAnsi="Times New Roman" w:eastAsia="宋体"/>
                <w:b w:val="0"/>
                <w:i w:val="0"/>
                <w:sz w:val="21"/>
              </w:rPr>
              <w:t>空间层级概念混用，货物放在哪说不清</w:t>
            </w:r>
          </w:p>
        </w:tc>
        <w:tc>
          <w:tcPr>
            <w:tcW w:type="dxa" w:w="3572"/>
          </w:tcPr>
          <w:p>
            <w:pPr>
              <w:spacing w:before="20" w:after="20" w:line="276" w:lineRule="auto"/>
              <w:ind w:firstLine="0"/>
            </w:pPr>
            <w:r/>
            <w:r>
              <w:rPr>
                <w:rFonts w:ascii="Times New Roman" w:hAnsi="Times New Roman" w:eastAsia="宋体"/>
                <w:b w:val="0"/>
                <w:i w:val="0"/>
                <w:sz w:val="21"/>
              </w:rPr>
              <w:t>仓库、仓房、货位、站点、库点多个概念并行使用，货物实际存放位置无法唯一定位</w:t>
            </w:r>
          </w:p>
        </w:tc>
        <w:tc>
          <w:tcPr>
            <w:tcW w:type="dxa" w:w="3572"/>
          </w:tcPr>
          <w:p>
            <w:pPr>
              <w:spacing w:before="20" w:after="20" w:line="276" w:lineRule="auto"/>
              <w:ind w:firstLine="0"/>
            </w:pPr>
            <w:r/>
            <w:r>
              <w:rPr>
                <w:rFonts w:ascii="Times New Roman" w:hAnsi="Times New Roman" w:eastAsia="宋体"/>
                <w:b w:val="0"/>
                <w:i w:val="0"/>
                <w:sz w:val="21"/>
              </w:rPr>
              <w:t>统一为库点、仓房、货位三级结构，库点为物理位置、仓房为库点内仓房、货位为仓房内具体位置，出入库单据均落到具体货位</w:t>
            </w:r>
          </w:p>
        </w:tc>
      </w:tr>
      <w:tr>
        <w:tc>
          <w:tcPr>
            <w:tcW w:type="dxa" w:w="1928"/>
          </w:tcPr>
          <w:p>
            <w:pPr>
              <w:spacing w:before="20" w:after="20" w:line="276" w:lineRule="auto"/>
              <w:ind w:firstLine="0"/>
            </w:pPr>
            <w:r/>
            <w:r>
              <w:rPr>
                <w:rFonts w:ascii="Times New Roman" w:hAnsi="Times New Roman" w:eastAsia="宋体"/>
                <w:b w:val="0"/>
                <w:i w:val="0"/>
                <w:sz w:val="21"/>
              </w:rPr>
              <w:t>货位容量无约束，可能超容存放</w:t>
            </w:r>
          </w:p>
        </w:tc>
        <w:tc>
          <w:tcPr>
            <w:tcW w:type="dxa" w:w="3572"/>
          </w:tcPr>
          <w:p>
            <w:pPr>
              <w:spacing w:before="20" w:after="20" w:line="276" w:lineRule="auto"/>
              <w:ind w:firstLine="0"/>
            </w:pPr>
            <w:r/>
            <w:r>
              <w:rPr>
                <w:rFonts w:ascii="Times New Roman" w:hAnsi="Times New Roman" w:eastAsia="宋体"/>
                <w:b w:val="0"/>
                <w:i w:val="0"/>
                <w:sz w:val="21"/>
              </w:rPr>
              <w:t>货位与仓房的容积只是文字描述，系统不做校验</w:t>
            </w:r>
          </w:p>
        </w:tc>
        <w:tc>
          <w:tcPr>
            <w:tcW w:type="dxa" w:w="3572"/>
          </w:tcPr>
          <w:p>
            <w:pPr>
              <w:spacing w:before="20" w:after="20" w:line="276" w:lineRule="auto"/>
              <w:ind w:firstLine="0"/>
            </w:pPr>
            <w:r/>
            <w:r>
              <w:rPr>
                <w:rFonts w:ascii="Times New Roman" w:hAnsi="Times New Roman" w:eastAsia="宋体"/>
                <w:b w:val="0"/>
                <w:i w:val="0"/>
                <w:sz w:val="21"/>
              </w:rPr>
              <w:t>仓房与货位均带容积字段，货位容积合计不得大于仓房容积，违反时直接拦截保存</w:t>
            </w:r>
          </w:p>
        </w:tc>
      </w:tr>
      <w:tr>
        <w:tc>
          <w:tcPr>
            <w:tcW w:type="dxa" w:w="1928"/>
          </w:tcPr>
          <w:p>
            <w:pPr>
              <w:spacing w:before="20" w:after="20" w:line="276" w:lineRule="auto"/>
              <w:ind w:firstLine="0"/>
            </w:pPr>
            <w:r/>
            <w:r>
              <w:rPr>
                <w:rFonts w:ascii="Times New Roman" w:hAnsi="Times New Roman" w:eastAsia="宋体"/>
                <w:b w:val="0"/>
                <w:i w:val="0"/>
                <w:sz w:val="21"/>
              </w:rPr>
              <w:t>品名口径不统一，各单据自由填写</w:t>
            </w:r>
          </w:p>
        </w:tc>
        <w:tc>
          <w:tcPr>
            <w:tcW w:type="dxa" w:w="3572"/>
          </w:tcPr>
          <w:p>
            <w:pPr>
              <w:spacing w:before="20" w:after="20" w:line="276" w:lineRule="auto"/>
              <w:ind w:firstLine="0"/>
            </w:pPr>
            <w:r/>
            <w:r>
              <w:rPr>
                <w:rFonts w:ascii="Times New Roman" w:hAnsi="Times New Roman" w:eastAsia="宋体"/>
                <w:b w:val="0"/>
                <w:i w:val="0"/>
                <w:sz w:val="21"/>
              </w:rPr>
              <w:t>合同、入库、出库各写各的品名，同一货物多个名称无法对齐</w:t>
            </w:r>
          </w:p>
        </w:tc>
        <w:tc>
          <w:tcPr>
            <w:tcW w:type="dxa" w:w="3572"/>
          </w:tcPr>
          <w:p>
            <w:pPr>
              <w:spacing w:before="20" w:after="20" w:line="276" w:lineRule="auto"/>
              <w:ind w:firstLine="0"/>
            </w:pPr>
            <w:r/>
            <w:r>
              <w:rPr>
                <w:rFonts w:ascii="Times New Roman" w:hAnsi="Times New Roman" w:eastAsia="宋体"/>
                <w:b w:val="0"/>
                <w:i w:val="0"/>
                <w:sz w:val="21"/>
              </w:rPr>
              <w:t>品类与单品名二级配置并绑定默认计量单位，全平台共享，入库出库与合同统一引用单品名</w:t>
            </w:r>
          </w:p>
        </w:tc>
      </w:tr>
      <w:tr>
        <w:tc>
          <w:tcPr>
            <w:tcW w:type="dxa" w:w="1928"/>
          </w:tcPr>
          <w:p>
            <w:pPr>
              <w:spacing w:before="20" w:after="20" w:line="276" w:lineRule="auto"/>
              <w:ind w:firstLine="0"/>
            </w:pPr>
            <w:r/>
            <w:r>
              <w:rPr>
                <w:rFonts w:ascii="Times New Roman" w:hAnsi="Times New Roman" w:eastAsia="宋体"/>
                <w:b w:val="0"/>
                <w:i w:val="0"/>
                <w:sz w:val="21"/>
              </w:rPr>
              <w:t>仓储设备状态不透明</w:t>
            </w:r>
          </w:p>
        </w:tc>
        <w:tc>
          <w:tcPr>
            <w:tcW w:type="dxa" w:w="3572"/>
          </w:tcPr>
          <w:p>
            <w:pPr>
              <w:spacing w:before="20" w:after="20" w:line="276" w:lineRule="auto"/>
              <w:ind w:firstLine="0"/>
            </w:pPr>
            <w:r/>
            <w:r>
              <w:rPr>
                <w:rFonts w:ascii="Times New Roman" w:hAnsi="Times New Roman" w:eastAsia="宋体"/>
                <w:b w:val="0"/>
                <w:i w:val="0"/>
                <w:sz w:val="21"/>
              </w:rPr>
              <w:t>温湿度、门禁、消防等设备离线无人知晓，等发现时已影响货物</w:t>
            </w:r>
          </w:p>
        </w:tc>
        <w:tc>
          <w:tcPr>
            <w:tcW w:type="dxa" w:w="3572"/>
          </w:tcPr>
          <w:p>
            <w:pPr>
              <w:spacing w:before="20" w:after="20" w:line="276" w:lineRule="auto"/>
              <w:ind w:firstLine="0"/>
            </w:pPr>
            <w:r/>
            <w:r>
              <w:rPr>
                <w:rFonts w:ascii="Times New Roman" w:hAnsi="Times New Roman" w:eastAsia="宋体"/>
                <w:b w:val="0"/>
                <w:i w:val="0"/>
                <w:sz w:val="21"/>
              </w:rPr>
              <w:t>设备状态总览页按状态分栏呈现，离线超过 1 小时顶部红色 bar 提示，温湿度超阈值自动触发预警</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4.26.2　背景与目标</w:t>
      </w:r>
    </w:p>
    <w:tbl>
      <w:tblPr>
        <w:tblStyle w:val="TableGrid"/>
        <w:tblW w:type="auto" w:w="0"/>
        <w:jc w:val="center"/>
        <w:tblLayout w:type="fixed"/>
        <w:tblLook w:firstColumn="1" w:firstRow="1" w:lastColumn="0" w:lastRow="0" w:noHBand="0" w:noVBand="1" w:val="04A0"/>
      </w:tblPr>
      <w:tblGrid>
        <w:gridCol w:w="8958"/>
      </w:tblGrid>
      <w:tr>
        <w:trPr>
          <w:tblHeader w:val="true"/>
        </w:trPr>
        <w:tc>
          <w:tcPr>
            <w:tcW w:type="dxa" w:w="9071"/>
            <w:shd w:val="clear" w:color="auto" w:fill="DCE6F1"/>
          </w:tcPr>
          <w:p>
            <w:pPr>
              <w:spacing w:before="40" w:after="40" w:line="276" w:lineRule="auto"/>
              <w:jc w:val="center"/>
            </w:pPr>
            <w:r/>
            <w:r>
              <w:rPr>
                <w:rFonts w:ascii="Times New Roman" w:hAnsi="Times New Roman" w:eastAsia="黑体"/>
                <w:b/>
                <w:i w:val="0"/>
                <w:sz w:val="21"/>
              </w:rPr>
              <w:t>目标 / 衡量口径</w:t>
            </w:r>
          </w:p>
        </w:tc>
      </w:tr>
      <w:tr>
        <w:tc>
          <w:tcPr>
            <w:tcW w:type="dxa" w:w="9071"/>
          </w:tcPr>
          <w:p>
            <w:pPr>
              <w:spacing w:before="20" w:after="20" w:line="276" w:lineRule="auto"/>
              <w:ind w:firstLine="0"/>
            </w:pPr>
            <w:r/>
            <w:r>
              <w:rPr>
                <w:rFonts w:ascii="Times New Roman" w:hAnsi="Times New Roman" w:eastAsia="宋体"/>
                <w:b w:val="0"/>
                <w:i w:val="0"/>
                <w:sz w:val="21"/>
              </w:rPr>
              <w:t>库点、仓房、货位三级结构在系统内唯一且可被出入库单据引用</w:t>
            </w:r>
          </w:p>
        </w:tc>
      </w:tr>
      <w:tr>
        <w:tc>
          <w:tcPr>
            <w:tcW w:type="dxa" w:w="9071"/>
          </w:tcPr>
          <w:p>
            <w:pPr>
              <w:spacing w:before="20" w:after="20" w:line="276" w:lineRule="auto"/>
              <w:ind w:firstLine="0"/>
            </w:pPr>
            <w:r/>
            <w:r>
              <w:rPr>
                <w:rFonts w:ascii="Times New Roman" w:hAnsi="Times New Roman" w:eastAsia="宋体"/>
                <w:b w:val="0"/>
                <w:i w:val="0"/>
                <w:sz w:val="21"/>
              </w:rPr>
              <w:t>仓房与货位的容积、货位数与当前库存由系统统计，不允许手工覆盖</w:t>
            </w:r>
          </w:p>
        </w:tc>
      </w:tr>
      <w:tr>
        <w:tc>
          <w:tcPr>
            <w:tcW w:type="dxa" w:w="9071"/>
          </w:tcPr>
          <w:p>
            <w:pPr>
              <w:spacing w:before="20" w:after="20" w:line="276" w:lineRule="auto"/>
              <w:ind w:firstLine="0"/>
            </w:pPr>
            <w:r/>
            <w:r>
              <w:rPr>
                <w:rFonts w:ascii="Times New Roman" w:hAnsi="Times New Roman" w:eastAsia="宋体"/>
                <w:b w:val="0"/>
                <w:i w:val="0"/>
                <w:sz w:val="21"/>
              </w:rPr>
              <w:t>品类与单品名全平台共享，被合同或业务单据引用后不可删除</w:t>
            </w:r>
          </w:p>
        </w:tc>
      </w:tr>
      <w:tr>
        <w:tc>
          <w:tcPr>
            <w:tcW w:type="dxa" w:w="9071"/>
          </w:tcPr>
          <w:p>
            <w:pPr>
              <w:spacing w:before="20" w:after="20" w:line="276" w:lineRule="auto"/>
              <w:ind w:firstLine="0"/>
            </w:pPr>
            <w:r/>
            <w:r>
              <w:rPr>
                <w:rFonts w:ascii="Times New Roman" w:hAnsi="Times New Roman" w:eastAsia="宋体"/>
                <w:b w:val="0"/>
                <w:i w:val="0"/>
                <w:sz w:val="21"/>
              </w:rPr>
              <w:t>设备离线与温湿度异常能被系统主动发现并转为预警</w:t>
            </w:r>
          </w:p>
        </w:tc>
      </w:tr>
    </w:tbl>
    <w:p>
      <w:pPr>
        <w:spacing w:before="0" w:after="0" w:line="240" w:lineRule="auto"/>
      </w:pPr>
    </w:p>
    <w:p>
      <w:pPr>
        <w:spacing w:before="80" w:after="120" w:line="360" w:lineRule="auto"/>
      </w:pPr>
      <w:r>
        <w:rPr>
          <w:rFonts w:ascii="Times New Roman" w:hAnsi="Times New Roman" w:eastAsia="宋体"/>
          <w:b w:val="0"/>
          <w:i w:val="0"/>
          <w:color w:val="595959"/>
          <w:sz w:val="21"/>
        </w:rPr>
        <w:t>说明：文中口径以业务方已确认结论为准；未确认项集中列于本章末与第 5 章。</w:t>
      </w:r>
    </w:p>
    <w:p>
      <w:pPr>
        <w:pStyle w:val="Heading3"/>
        <w:keepNext/>
        <w:spacing w:before="160" w:after="80" w:line="312" w:lineRule="auto"/>
        <w:ind w:firstLine="0"/>
      </w:pPr>
      <w:r>
        <w:rPr>
          <w:rFonts w:ascii="Times New Roman" w:hAnsi="Times New Roman" w:eastAsia="黑体"/>
          <w:b/>
          <w:i w:val="0"/>
          <w:sz w:val="24"/>
        </w:rPr>
        <w:t>4.26.3　角色与用户需求</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361"/>
            <w:shd w:val="clear" w:color="auto" w:fill="DCE6F1"/>
          </w:tcPr>
          <w:p>
            <w:pPr>
              <w:spacing w:before="40" w:after="40" w:line="276" w:lineRule="auto"/>
              <w:jc w:val="center"/>
            </w:pPr>
            <w:r/>
            <w:r>
              <w:rPr>
                <w:rFonts w:ascii="Times New Roman" w:hAnsi="Times New Roman" w:eastAsia="黑体"/>
                <w:b/>
                <w:i w:val="0"/>
                <w:sz w:val="21"/>
              </w:rPr>
              <w:t>角色</w:t>
            </w:r>
          </w:p>
        </w:tc>
        <w:tc>
          <w:tcPr>
            <w:tcW w:type="dxa" w:w="1247"/>
            <w:shd w:val="clear" w:color="auto" w:fill="DCE6F1"/>
          </w:tcPr>
          <w:p>
            <w:pPr>
              <w:spacing w:before="40" w:after="40" w:line="276" w:lineRule="auto"/>
              <w:jc w:val="center"/>
            </w:pPr>
            <w:r/>
            <w:r>
              <w:rPr>
                <w:rFonts w:ascii="Times New Roman" w:hAnsi="Times New Roman" w:eastAsia="黑体"/>
                <w:b/>
                <w:i w:val="0"/>
                <w:sz w:val="21"/>
              </w:rPr>
              <w:t>所属部门</w:t>
            </w:r>
          </w:p>
        </w:tc>
        <w:tc>
          <w:tcPr>
            <w:tcW w:type="dxa" w:w="6463"/>
            <w:shd w:val="clear" w:color="auto" w:fill="DCE6F1"/>
          </w:tcPr>
          <w:p>
            <w:pPr>
              <w:spacing w:before="40" w:after="40" w:line="276" w:lineRule="auto"/>
              <w:jc w:val="center"/>
            </w:pPr>
            <w:r/>
            <w:r>
              <w:rPr>
                <w:rFonts w:ascii="Times New Roman" w:hAnsi="Times New Roman" w:eastAsia="黑体"/>
                <w:b/>
                <w:i w:val="0"/>
                <w:sz w:val="21"/>
              </w:rPr>
              <w:t>用户需求（我要…以便…）</w:t>
            </w:r>
          </w:p>
        </w:tc>
      </w:tr>
      <w:tr>
        <w:tc>
          <w:tcPr>
            <w:tcW w:type="dxa" w:w="1361"/>
          </w:tcPr>
          <w:p>
            <w:pPr>
              <w:spacing w:before="20" w:after="20" w:line="276" w:lineRule="auto"/>
              <w:ind w:firstLine="0"/>
            </w:pPr>
            <w:r/>
            <w:r>
              <w:rPr>
                <w:rFonts w:ascii="Times New Roman" w:hAnsi="Times New Roman" w:eastAsia="宋体"/>
                <w:b w:val="0"/>
                <w:i w:val="0"/>
                <w:sz w:val="21"/>
              </w:rPr>
              <w:t>仓储部库管员</w:t>
            </w:r>
          </w:p>
        </w:tc>
        <w:tc>
          <w:tcPr>
            <w:tcW w:type="dxa" w:w="1247"/>
          </w:tcPr>
          <w:p>
            <w:pPr>
              <w:spacing w:before="20" w:after="20" w:line="276" w:lineRule="auto"/>
              <w:ind w:firstLine="0"/>
            </w:pPr>
            <w:r/>
            <w:r>
              <w:rPr>
                <w:rFonts w:ascii="Times New Roman" w:hAnsi="Times New Roman" w:eastAsia="宋体"/>
                <w:b w:val="0"/>
                <w:i w:val="0"/>
                <w:sz w:val="21"/>
              </w:rPr>
              <w:t>仓储部</w:t>
            </w:r>
          </w:p>
        </w:tc>
        <w:tc>
          <w:tcPr>
            <w:tcW w:type="dxa" w:w="6463"/>
          </w:tcPr>
          <w:p>
            <w:pPr>
              <w:spacing w:before="20" w:after="20" w:line="276" w:lineRule="auto"/>
              <w:ind w:firstLine="0"/>
            </w:pPr>
            <w:r/>
            <w:r>
              <w:rPr>
                <w:rFonts w:ascii="Times New Roman" w:hAnsi="Times New Roman" w:eastAsia="宋体"/>
                <w:b w:val="0"/>
                <w:i w:val="0"/>
                <w:sz w:val="21"/>
              </w:rPr>
              <w:t>我要维护仓房与货位信息并配置巡库任务，以便货物存放位置与巡检范围可查</w:t>
            </w:r>
          </w:p>
        </w:tc>
      </w:tr>
      <w:tr>
        <w:tc>
          <w:tcPr>
            <w:tcW w:type="dxa" w:w="1361"/>
          </w:tcPr>
          <w:p>
            <w:pPr>
              <w:spacing w:before="20" w:after="20" w:line="276" w:lineRule="auto"/>
              <w:ind w:firstLine="0"/>
            </w:pPr>
            <w:r/>
            <w:r>
              <w:rPr>
                <w:rFonts w:ascii="Times New Roman" w:hAnsi="Times New Roman" w:eastAsia="宋体"/>
                <w:b w:val="0"/>
                <w:i w:val="0"/>
                <w:sz w:val="21"/>
              </w:rPr>
              <w:t>库管负责人</w:t>
            </w:r>
          </w:p>
        </w:tc>
        <w:tc>
          <w:tcPr>
            <w:tcW w:type="dxa" w:w="1247"/>
          </w:tcPr>
          <w:p>
            <w:pPr>
              <w:spacing w:before="20" w:after="20" w:line="276" w:lineRule="auto"/>
              <w:ind w:firstLine="0"/>
            </w:pPr>
            <w:r/>
            <w:r>
              <w:rPr>
                <w:rFonts w:ascii="Times New Roman" w:hAnsi="Times New Roman" w:eastAsia="宋体"/>
                <w:b w:val="0"/>
                <w:i w:val="0"/>
                <w:sz w:val="21"/>
              </w:rPr>
              <w:t>仓储部</w:t>
            </w:r>
          </w:p>
        </w:tc>
        <w:tc>
          <w:tcPr>
            <w:tcW w:type="dxa" w:w="6463"/>
          </w:tcPr>
          <w:p>
            <w:pPr>
              <w:spacing w:before="20" w:after="20" w:line="276" w:lineRule="auto"/>
              <w:ind w:firstLine="0"/>
            </w:pPr>
            <w:r/>
            <w:r>
              <w:rPr>
                <w:rFonts w:ascii="Times New Roman" w:hAnsi="Times New Roman" w:eastAsia="宋体"/>
                <w:b w:val="0"/>
                <w:i w:val="0"/>
                <w:sz w:val="21"/>
              </w:rPr>
              <w:t>我要查看库点基础信息与仓储租赁合同，以便掌握场地条件与租约状态</w:t>
            </w:r>
          </w:p>
        </w:tc>
      </w:tr>
      <w:tr>
        <w:tc>
          <w:tcPr>
            <w:tcW w:type="dxa" w:w="1361"/>
          </w:tcPr>
          <w:p>
            <w:pPr>
              <w:spacing w:before="20" w:after="20" w:line="276" w:lineRule="auto"/>
              <w:ind w:firstLine="0"/>
            </w:pPr>
            <w:r/>
            <w:r>
              <w:rPr>
                <w:rFonts w:ascii="Times New Roman" w:hAnsi="Times New Roman" w:eastAsia="宋体"/>
                <w:b w:val="0"/>
                <w:i w:val="0"/>
                <w:sz w:val="21"/>
              </w:rPr>
              <w:t>仓储方运维人员</w:t>
            </w:r>
          </w:p>
        </w:tc>
        <w:tc>
          <w:tcPr>
            <w:tcW w:type="dxa" w:w="1247"/>
          </w:tcPr>
          <w:p>
            <w:pPr>
              <w:spacing w:before="20" w:after="20" w:line="276" w:lineRule="auto"/>
              <w:ind w:firstLine="0"/>
            </w:pPr>
            <w:r/>
            <w:r>
              <w:rPr>
                <w:rFonts w:ascii="Times New Roman" w:hAnsi="Times New Roman" w:eastAsia="宋体"/>
                <w:b w:val="0"/>
                <w:i w:val="0"/>
                <w:sz w:val="21"/>
              </w:rPr>
              <w:t>第三方仓储方</w:t>
            </w:r>
          </w:p>
        </w:tc>
        <w:tc>
          <w:tcPr>
            <w:tcW w:type="dxa" w:w="6463"/>
          </w:tcPr>
          <w:p>
            <w:pPr>
              <w:spacing w:before="20" w:after="20" w:line="276" w:lineRule="auto"/>
              <w:ind w:firstLine="0"/>
            </w:pPr>
            <w:r/>
            <w:r>
              <w:rPr>
                <w:rFonts w:ascii="Times New Roman" w:hAnsi="Times New Roman" w:eastAsia="宋体"/>
                <w:b w:val="0"/>
                <w:i w:val="0"/>
                <w:sz w:val="21"/>
              </w:rPr>
              <w:t>我要查看设备在线状态与实时数据，以便处理设备离线与温湿度异常</w:t>
            </w:r>
          </w:p>
        </w:tc>
      </w:tr>
      <w:tr>
        <w:tc>
          <w:tcPr>
            <w:tcW w:type="dxa" w:w="1361"/>
          </w:tcPr>
          <w:p>
            <w:pPr>
              <w:spacing w:before="20" w:after="20" w:line="276" w:lineRule="auto"/>
              <w:ind w:firstLine="0"/>
            </w:pPr>
            <w:r/>
            <w:r>
              <w:rPr>
                <w:rFonts w:ascii="Times New Roman" w:hAnsi="Times New Roman" w:eastAsia="宋体"/>
                <w:b w:val="0"/>
                <w:i w:val="0"/>
                <w:sz w:val="21"/>
              </w:rPr>
              <w:t>基础数据管理员</w:t>
            </w:r>
          </w:p>
        </w:tc>
        <w:tc>
          <w:tcPr>
            <w:tcW w:type="dxa" w:w="1247"/>
          </w:tcPr>
          <w:p>
            <w:pPr>
              <w:spacing w:before="20" w:after="20" w:line="276" w:lineRule="auto"/>
              <w:ind w:firstLine="0"/>
            </w:pPr>
            <w:r/>
            <w:r>
              <w:rPr>
                <w:rFonts w:ascii="Times New Roman" w:hAnsi="Times New Roman" w:eastAsia="宋体"/>
                <w:b w:val="0"/>
                <w:i w:val="0"/>
                <w:sz w:val="21"/>
              </w:rPr>
              <w:t>仓储部</w:t>
            </w:r>
          </w:p>
        </w:tc>
        <w:tc>
          <w:tcPr>
            <w:tcW w:type="dxa" w:w="6463"/>
          </w:tcPr>
          <w:p>
            <w:pPr>
              <w:spacing w:before="20" w:after="20" w:line="276" w:lineRule="auto"/>
              <w:ind w:firstLine="0"/>
            </w:pPr>
            <w:r/>
            <w:r>
              <w:rPr>
                <w:rFonts w:ascii="Times New Roman" w:hAnsi="Times New Roman" w:eastAsia="宋体"/>
                <w:b w:val="0"/>
                <w:i w:val="0"/>
                <w:sz w:val="21"/>
              </w:rPr>
              <w:t>我要维护品类与单品名及默认计量单位，以便各单据品名口径一致</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4.26.4　功能结构与范围</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474"/>
            <w:shd w:val="clear" w:color="auto" w:fill="DCE6F1"/>
          </w:tcPr>
          <w:p>
            <w:pPr>
              <w:spacing w:before="40" w:after="40" w:line="276" w:lineRule="auto"/>
              <w:jc w:val="center"/>
            </w:pPr>
            <w:r/>
            <w:r>
              <w:rPr>
                <w:rFonts w:ascii="Times New Roman" w:hAnsi="Times New Roman" w:eastAsia="黑体"/>
                <w:b/>
                <w:i w:val="0"/>
                <w:sz w:val="21"/>
              </w:rPr>
              <w:t>功能</w:t>
            </w:r>
          </w:p>
        </w:tc>
        <w:tc>
          <w:tcPr>
            <w:tcW w:type="dxa" w:w="3175"/>
            <w:shd w:val="clear" w:color="auto" w:fill="DCE6F1"/>
          </w:tcPr>
          <w:p>
            <w:pPr>
              <w:spacing w:before="40" w:after="40" w:line="276" w:lineRule="auto"/>
              <w:jc w:val="center"/>
            </w:pPr>
            <w:r/>
            <w:r>
              <w:rPr>
                <w:rFonts w:ascii="Times New Roman" w:hAnsi="Times New Roman" w:eastAsia="黑体"/>
                <w:b/>
                <w:i w:val="0"/>
                <w:sz w:val="21"/>
              </w:rPr>
              <w:t>功能说明</w:t>
            </w:r>
          </w:p>
        </w:tc>
        <w:tc>
          <w:tcPr>
            <w:tcW w:type="dxa" w:w="4422"/>
            <w:shd w:val="clear" w:color="auto" w:fill="DCE6F1"/>
          </w:tcPr>
          <w:p>
            <w:pPr>
              <w:spacing w:before="40" w:after="40" w:line="276" w:lineRule="auto"/>
              <w:jc w:val="center"/>
            </w:pPr>
            <w:r/>
            <w:r>
              <w:rPr>
                <w:rFonts w:ascii="Times New Roman" w:hAnsi="Times New Roman" w:eastAsia="黑体"/>
                <w:b/>
                <w:i w:val="0"/>
                <w:sz w:val="21"/>
              </w:rPr>
              <w:t>关键规则</w:t>
            </w:r>
          </w:p>
        </w:tc>
      </w:tr>
      <w:tr>
        <w:tc>
          <w:tcPr>
            <w:tcW w:type="dxa" w:w="1474"/>
          </w:tcPr>
          <w:p>
            <w:pPr>
              <w:spacing w:before="20" w:after="20" w:line="276" w:lineRule="auto"/>
              <w:ind w:firstLine="0"/>
            </w:pPr>
            <w:r/>
            <w:r>
              <w:rPr>
                <w:rFonts w:ascii="Times New Roman" w:hAnsi="Times New Roman" w:eastAsia="宋体"/>
                <w:b w:val="0"/>
                <w:i w:val="0"/>
                <w:sz w:val="21"/>
              </w:rPr>
              <w:t>库点信息管理与平面图</w:t>
            </w:r>
          </w:p>
        </w:tc>
        <w:tc>
          <w:tcPr>
            <w:tcW w:type="dxa" w:w="3175"/>
          </w:tcPr>
          <w:p>
            <w:pPr>
              <w:spacing w:before="20" w:after="20" w:line="276" w:lineRule="auto"/>
              <w:ind w:firstLine="0"/>
            </w:pPr>
            <w:r/>
            <w:r>
              <w:rPr>
                <w:rFonts w:ascii="Times New Roman" w:hAnsi="Times New Roman" w:eastAsia="宋体"/>
                <w:b w:val="0"/>
                <w:i w:val="0"/>
                <w:sz w:val="21"/>
              </w:rPr>
              <w:t>维护库点的物理位置与基础信息，并配置库点平面图与监控信息</w:t>
            </w:r>
          </w:p>
        </w:tc>
        <w:tc>
          <w:tcPr>
            <w:tcW w:type="dxa" w:w="4422"/>
          </w:tcPr>
          <w:p>
            <w:pPr>
              <w:spacing w:before="20" w:after="20" w:line="276" w:lineRule="auto"/>
              <w:ind w:firstLine="0"/>
            </w:pPr>
            <w:r/>
            <w:r>
              <w:rPr>
                <w:rFonts w:ascii="Times New Roman" w:hAnsi="Times New Roman" w:eastAsia="宋体"/>
                <w:b w:val="0"/>
                <w:i w:val="0"/>
                <w:sz w:val="21"/>
              </w:rPr>
              <w:t>顶部基础信息表 8 个字段：库点编号、库点名称、仓储企业、行业、类型、库点联系人、联系人手机号、地址；页面分 2 个页签：库点平面图与仓储租赁合同；平面图未配置时展示未配置平面图信息的空状态并提供监控信息入口</w:t>
            </w:r>
          </w:p>
        </w:tc>
      </w:tr>
      <w:tr>
        <w:tc>
          <w:tcPr>
            <w:tcW w:type="dxa" w:w="1474"/>
          </w:tcPr>
          <w:p>
            <w:pPr>
              <w:spacing w:before="20" w:after="20" w:line="276" w:lineRule="auto"/>
              <w:ind w:firstLine="0"/>
            </w:pPr>
            <w:r/>
            <w:r>
              <w:rPr>
                <w:rFonts w:ascii="Times New Roman" w:hAnsi="Times New Roman" w:eastAsia="宋体"/>
                <w:b w:val="0"/>
                <w:i w:val="0"/>
                <w:sz w:val="21"/>
              </w:rPr>
              <w:t>仓储租赁合同管理</w:t>
            </w:r>
          </w:p>
        </w:tc>
        <w:tc>
          <w:tcPr>
            <w:tcW w:type="dxa" w:w="3175"/>
          </w:tcPr>
          <w:p>
            <w:pPr>
              <w:spacing w:before="20" w:after="20" w:line="276" w:lineRule="auto"/>
              <w:ind w:firstLine="0"/>
            </w:pPr>
            <w:r/>
            <w:r>
              <w:rPr>
                <w:rFonts w:ascii="Times New Roman" w:hAnsi="Times New Roman" w:eastAsia="宋体"/>
                <w:b w:val="0"/>
                <w:i w:val="0"/>
                <w:sz w:val="21"/>
              </w:rPr>
              <w:t>在库点维度维护场地租赁合同</w:t>
            </w:r>
          </w:p>
        </w:tc>
        <w:tc>
          <w:tcPr>
            <w:tcW w:type="dxa" w:w="4422"/>
          </w:tcPr>
          <w:p>
            <w:pPr>
              <w:spacing w:before="20" w:after="20" w:line="276" w:lineRule="auto"/>
              <w:ind w:firstLine="0"/>
            </w:pPr>
            <w:r/>
            <w:r>
              <w:rPr>
                <w:rFonts w:ascii="Times New Roman" w:hAnsi="Times New Roman" w:eastAsia="宋体"/>
                <w:b w:val="0"/>
                <w:i w:val="0"/>
                <w:sz w:val="21"/>
              </w:rPr>
              <w:t>合同表格 11 列：合同编号、库点名称、合同状态、签订日期、生效日期、业务实际负责人、签章状态、仓储方名称、承租方名称、付费方名称、操作；支持上传合同文件</w:t>
            </w:r>
          </w:p>
        </w:tc>
      </w:tr>
      <w:tr>
        <w:tc>
          <w:tcPr>
            <w:tcW w:type="dxa" w:w="1474"/>
          </w:tcPr>
          <w:p>
            <w:pPr>
              <w:spacing w:before="20" w:after="20" w:line="276" w:lineRule="auto"/>
              <w:ind w:firstLine="0"/>
            </w:pPr>
            <w:r/>
            <w:r>
              <w:rPr>
                <w:rFonts w:ascii="Times New Roman" w:hAnsi="Times New Roman" w:eastAsia="宋体"/>
                <w:b w:val="0"/>
                <w:i w:val="0"/>
                <w:sz w:val="21"/>
              </w:rPr>
              <w:t>库点删除校验</w:t>
            </w:r>
          </w:p>
        </w:tc>
        <w:tc>
          <w:tcPr>
            <w:tcW w:type="dxa" w:w="3175"/>
          </w:tcPr>
          <w:p>
            <w:pPr>
              <w:spacing w:before="20" w:after="20" w:line="276" w:lineRule="auto"/>
              <w:ind w:firstLine="0"/>
            </w:pPr>
            <w:r/>
            <w:r>
              <w:rPr>
                <w:rFonts w:ascii="Times New Roman" w:hAnsi="Times New Roman" w:eastAsia="宋体"/>
                <w:b w:val="0"/>
                <w:i w:val="0"/>
                <w:sz w:val="21"/>
              </w:rPr>
              <w:t>库点存在下级仓房时不允许删除</w:t>
            </w:r>
          </w:p>
        </w:tc>
        <w:tc>
          <w:tcPr>
            <w:tcW w:type="dxa" w:w="4422"/>
          </w:tcPr>
          <w:p>
            <w:pPr>
              <w:spacing w:before="20" w:after="20" w:line="276" w:lineRule="auto"/>
              <w:ind w:firstLine="0"/>
            </w:pPr>
            <w:r/>
            <w:r>
              <w:rPr>
                <w:rFonts w:ascii="Times New Roman" w:hAnsi="Times New Roman" w:eastAsia="宋体"/>
                <w:b w:val="0"/>
                <w:i w:val="0"/>
                <w:sz w:val="21"/>
              </w:rPr>
              <w:t>库点下有仓房时删除被拒绝，红字提示该库点有 N 个仓房无法删除；联系电话按 11 位手机号格式校验；库点名称必填，库点类型为自营仓、第三方仓、监管仓</w:t>
            </w:r>
          </w:p>
        </w:tc>
      </w:tr>
      <w:tr>
        <w:tc>
          <w:tcPr>
            <w:tcW w:type="dxa" w:w="1474"/>
          </w:tcPr>
          <w:p>
            <w:pPr>
              <w:spacing w:before="20" w:after="20" w:line="276" w:lineRule="auto"/>
              <w:ind w:firstLine="0"/>
            </w:pPr>
            <w:r/>
            <w:r>
              <w:rPr>
                <w:rFonts w:ascii="Times New Roman" w:hAnsi="Times New Roman" w:eastAsia="宋体"/>
                <w:b w:val="0"/>
                <w:i w:val="0"/>
                <w:sz w:val="21"/>
              </w:rPr>
              <w:t>仓房管理与新增仓房</w:t>
            </w:r>
          </w:p>
        </w:tc>
        <w:tc>
          <w:tcPr>
            <w:tcW w:type="dxa" w:w="3175"/>
          </w:tcPr>
          <w:p>
            <w:pPr>
              <w:spacing w:before="20" w:after="20" w:line="276" w:lineRule="auto"/>
              <w:ind w:firstLine="0"/>
            </w:pPr>
            <w:r/>
            <w:r>
              <w:rPr>
                <w:rFonts w:ascii="Times New Roman" w:hAnsi="Times New Roman" w:eastAsia="宋体"/>
                <w:b w:val="0"/>
                <w:i w:val="0"/>
                <w:sz w:val="21"/>
              </w:rPr>
              <w:t>维护库点下的仓房及其巡库任务开关</w:t>
            </w:r>
          </w:p>
        </w:tc>
        <w:tc>
          <w:tcPr>
            <w:tcW w:type="dxa" w:w="4422"/>
          </w:tcPr>
          <w:p>
            <w:pPr>
              <w:spacing w:before="20" w:after="20" w:line="276" w:lineRule="auto"/>
              <w:ind w:firstLine="0"/>
            </w:pPr>
            <w:r/>
            <w:r>
              <w:rPr>
                <w:rFonts w:ascii="Times New Roman" w:hAnsi="Times New Roman" w:eastAsia="宋体"/>
                <w:b w:val="0"/>
                <w:i w:val="0"/>
                <w:sz w:val="21"/>
              </w:rPr>
              <w:t>仓房名称必填，备注上限 200 字，同一库点下仓房名称不可重复；仓房类型为平房仓、楼房仓、筒仓、其他；容积为必填数字且不小于 0；货位数与当前库存由系统统计为只读；列表含编号、仓房名称、所属货主、备注、巡库任务、操作 6 列</w:t>
            </w:r>
          </w:p>
        </w:tc>
      </w:tr>
      <w:tr>
        <w:tc>
          <w:tcPr>
            <w:tcW w:type="dxa" w:w="1474"/>
          </w:tcPr>
          <w:p>
            <w:pPr>
              <w:spacing w:before="20" w:after="20" w:line="276" w:lineRule="auto"/>
              <w:ind w:firstLine="0"/>
            </w:pPr>
            <w:r/>
            <w:r>
              <w:rPr>
                <w:rFonts w:ascii="Times New Roman" w:hAnsi="Times New Roman" w:eastAsia="宋体"/>
                <w:b w:val="0"/>
                <w:i w:val="0"/>
                <w:sz w:val="21"/>
              </w:rPr>
              <w:t>货位管理</w:t>
            </w:r>
          </w:p>
        </w:tc>
        <w:tc>
          <w:tcPr>
            <w:tcW w:type="dxa" w:w="3175"/>
          </w:tcPr>
          <w:p>
            <w:pPr>
              <w:spacing w:before="20" w:after="20" w:line="276" w:lineRule="auto"/>
              <w:ind w:firstLine="0"/>
            </w:pPr>
            <w:r/>
            <w:r>
              <w:rPr>
                <w:rFonts w:ascii="Times New Roman" w:hAnsi="Times New Roman" w:eastAsia="宋体"/>
                <w:b w:val="0"/>
                <w:i w:val="0"/>
                <w:sz w:val="21"/>
              </w:rPr>
              <w:t>在仓房下维护具体货位及其容积</w:t>
            </w:r>
          </w:p>
        </w:tc>
        <w:tc>
          <w:tcPr>
            <w:tcW w:type="dxa" w:w="4422"/>
          </w:tcPr>
          <w:p>
            <w:pPr>
              <w:spacing w:before="20" w:after="20" w:line="276" w:lineRule="auto"/>
              <w:ind w:firstLine="0"/>
            </w:pPr>
            <w:r/>
            <w:r>
              <w:rPr>
                <w:rFonts w:ascii="Times New Roman" w:hAnsi="Times New Roman" w:eastAsia="宋体"/>
                <w:b w:val="0"/>
                <w:i w:val="0"/>
                <w:sz w:val="21"/>
              </w:rPr>
              <w:t>货位名称必填，同一仓房下不可重复；货位容积必填且不得使货位容积合计大于仓房容积；占用状态分为空、部分占用、满并由系统统计；已被占用的货位不可删除</w:t>
            </w:r>
          </w:p>
        </w:tc>
      </w:tr>
      <w:tr>
        <w:tc>
          <w:tcPr>
            <w:tcW w:type="dxa" w:w="1474"/>
          </w:tcPr>
          <w:p>
            <w:pPr>
              <w:spacing w:before="20" w:after="20" w:line="276" w:lineRule="auto"/>
              <w:ind w:firstLine="0"/>
            </w:pPr>
            <w:r/>
            <w:r>
              <w:rPr>
                <w:rFonts w:ascii="Times New Roman" w:hAnsi="Times New Roman" w:eastAsia="宋体"/>
                <w:b w:val="0"/>
                <w:i w:val="0"/>
                <w:sz w:val="21"/>
              </w:rPr>
              <w:t>品类与单品名二级配置</w:t>
            </w:r>
          </w:p>
        </w:tc>
        <w:tc>
          <w:tcPr>
            <w:tcW w:type="dxa" w:w="3175"/>
          </w:tcPr>
          <w:p>
            <w:pPr>
              <w:spacing w:before="20" w:after="20" w:line="276" w:lineRule="auto"/>
              <w:ind w:firstLine="0"/>
            </w:pPr>
            <w:r/>
            <w:r>
              <w:rPr>
                <w:rFonts w:ascii="Times New Roman" w:hAnsi="Times New Roman" w:eastAsia="宋体"/>
                <w:b w:val="0"/>
                <w:i w:val="0"/>
                <w:sz w:val="21"/>
              </w:rPr>
              <w:t>维护全平台共享的货物基础数据</w:t>
            </w:r>
          </w:p>
        </w:tc>
        <w:tc>
          <w:tcPr>
            <w:tcW w:type="dxa" w:w="4422"/>
          </w:tcPr>
          <w:p>
            <w:pPr>
              <w:spacing w:before="20" w:after="20" w:line="276" w:lineRule="auto"/>
              <w:ind w:firstLine="0"/>
            </w:pPr>
            <w:r/>
            <w:r>
              <w:rPr>
                <w:rFonts w:ascii="Times New Roman" w:hAnsi="Times New Roman" w:eastAsia="宋体"/>
                <w:b w:val="0"/>
                <w:i w:val="0"/>
                <w:sz w:val="21"/>
              </w:rPr>
              <w:t>品类名称必填且不可重复；单品名在同一品类下不可重复并绑定默认计量单位（吨、件、支）；支持 Excel 批量导入，单次不超过 100 行；支持展开行查看与维护单品名</w:t>
            </w:r>
          </w:p>
        </w:tc>
      </w:tr>
      <w:tr>
        <w:tc>
          <w:tcPr>
            <w:tcW w:type="dxa" w:w="1474"/>
          </w:tcPr>
          <w:p>
            <w:pPr>
              <w:spacing w:before="20" w:after="20" w:line="276" w:lineRule="auto"/>
              <w:ind w:firstLine="0"/>
            </w:pPr>
            <w:r/>
            <w:r>
              <w:rPr>
                <w:rFonts w:ascii="Times New Roman" w:hAnsi="Times New Roman" w:eastAsia="宋体"/>
                <w:b w:val="0"/>
                <w:i w:val="0"/>
                <w:sz w:val="21"/>
              </w:rPr>
              <w:t>基础数据引用保护</w:t>
            </w:r>
          </w:p>
        </w:tc>
        <w:tc>
          <w:tcPr>
            <w:tcW w:type="dxa" w:w="3175"/>
          </w:tcPr>
          <w:p>
            <w:pPr>
              <w:spacing w:before="20" w:after="20" w:line="276" w:lineRule="auto"/>
              <w:ind w:firstLine="0"/>
            </w:pPr>
            <w:r/>
            <w:r>
              <w:rPr>
                <w:rFonts w:ascii="Times New Roman" w:hAnsi="Times New Roman" w:eastAsia="宋体"/>
                <w:b w:val="0"/>
                <w:i w:val="0"/>
                <w:sz w:val="21"/>
              </w:rPr>
              <w:t>被业务引用的品类与单品名不允许删除</w:t>
            </w:r>
          </w:p>
        </w:tc>
        <w:tc>
          <w:tcPr>
            <w:tcW w:type="dxa" w:w="4422"/>
          </w:tcPr>
          <w:p>
            <w:pPr>
              <w:spacing w:before="20" w:after="20" w:line="276" w:lineRule="auto"/>
              <w:ind w:firstLine="0"/>
            </w:pPr>
            <w:r/>
            <w:r>
              <w:rPr>
                <w:rFonts w:ascii="Times New Roman" w:hAnsi="Times New Roman" w:eastAsia="宋体"/>
                <w:b w:val="0"/>
                <w:i w:val="0"/>
                <w:sz w:val="21"/>
              </w:rPr>
              <w:t>删除被引用的品类时红字提示该品类被 N 笔业务引用无法删除；删除被引用的单品名时同样按引用数拦截；合同已签订或入库已登记后，关联的单品名不可删除</w:t>
            </w:r>
          </w:p>
        </w:tc>
      </w:tr>
      <w:tr>
        <w:tc>
          <w:tcPr>
            <w:tcW w:type="dxa" w:w="1474"/>
          </w:tcPr>
          <w:p>
            <w:pPr>
              <w:spacing w:before="20" w:after="20" w:line="276" w:lineRule="auto"/>
              <w:ind w:firstLine="0"/>
            </w:pPr>
            <w:r/>
            <w:r>
              <w:rPr>
                <w:rFonts w:ascii="Times New Roman" w:hAnsi="Times New Roman" w:eastAsia="宋体"/>
                <w:b w:val="0"/>
                <w:i w:val="0"/>
                <w:sz w:val="21"/>
              </w:rPr>
              <w:t>设备状态监控与异常预警</w:t>
            </w:r>
          </w:p>
        </w:tc>
        <w:tc>
          <w:tcPr>
            <w:tcW w:type="dxa" w:w="3175"/>
          </w:tcPr>
          <w:p>
            <w:pPr>
              <w:spacing w:before="20" w:after="20" w:line="276" w:lineRule="auto"/>
              <w:ind w:firstLine="0"/>
            </w:pPr>
            <w:r/>
            <w:r>
              <w:rPr>
                <w:rFonts w:ascii="Times New Roman" w:hAnsi="Times New Roman" w:eastAsia="宋体"/>
                <w:b w:val="0"/>
                <w:i w:val="0"/>
                <w:sz w:val="21"/>
              </w:rPr>
              <w:t>系统监控页集中呈现仓储物联设备状态，并对异常作出提示与预警</w:t>
            </w:r>
          </w:p>
        </w:tc>
        <w:tc>
          <w:tcPr>
            <w:tcW w:type="dxa" w:w="4422"/>
          </w:tcPr>
          <w:p>
            <w:pPr>
              <w:spacing w:before="20" w:after="20" w:line="276" w:lineRule="auto"/>
              <w:ind w:firstLine="0"/>
            </w:pPr>
            <w:r/>
            <w:r>
              <w:rPr>
                <w:rFonts w:ascii="Times New Roman" w:hAnsi="Times New Roman" w:eastAsia="宋体"/>
                <w:b w:val="0"/>
                <w:i w:val="0"/>
                <w:sz w:val="21"/>
              </w:rPr>
              <w:t>筛选区 6 个字段：设备编号、所属仓库、设备类型、运行状态、安装位置、更新时间；状态分栏 4 个：全部、正常、预警、故障并带计数；表格 9 列含设备编号、所属仓库、设备类型、安装位置、实时数据、运行状态、最后心跳、固件版本、IP 地址；设备离线超过 1 小时在顶部红色 bar 提示，温湿度超阈值以红色字显示并自动触发预警，多设备同时离线提示可能存在网络问题；告警阈值固定在代码层，不提供可配置界面</w:t>
            </w:r>
          </w:p>
        </w:tc>
      </w:tr>
    </w:tbl>
    <w:p>
      <w:pPr>
        <w:spacing w:before="0" w:after="0" w:line="240" w:lineRule="auto"/>
      </w:pP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tblGrid>
      <w:tr>
        <w:trPr>
          <w:tblHeader w:val="true"/>
        </w:trPr>
        <w:tc>
          <w:tcPr>
            <w:tcW w:type="dxa" w:w="1247"/>
            <w:shd w:val="clear" w:color="auto" w:fill="DCE6F1"/>
          </w:tcPr>
          <w:p>
            <w:pPr>
              <w:spacing w:before="40" w:after="40" w:line="276" w:lineRule="auto"/>
              <w:jc w:val="center"/>
            </w:pPr>
            <w:r/>
            <w:r>
              <w:rPr>
                <w:rFonts w:ascii="Times New Roman" w:hAnsi="Times New Roman" w:eastAsia="黑体"/>
                <w:b/>
                <w:i w:val="0"/>
                <w:sz w:val="19"/>
              </w:rPr>
              <w:t>页面</w:t>
            </w:r>
          </w:p>
        </w:tc>
        <w:tc>
          <w:tcPr>
            <w:tcW w:type="dxa" w:w="1474"/>
            <w:shd w:val="clear" w:color="auto" w:fill="DCE6F1"/>
          </w:tcPr>
          <w:p>
            <w:pPr>
              <w:spacing w:before="40" w:after="40" w:line="276" w:lineRule="auto"/>
              <w:jc w:val="center"/>
            </w:pPr>
            <w:r/>
            <w:r>
              <w:rPr>
                <w:rFonts w:ascii="Times New Roman" w:hAnsi="Times New Roman" w:eastAsia="黑体"/>
                <w:b/>
                <w:i w:val="0"/>
                <w:sz w:val="19"/>
              </w:rPr>
              <w:t>文件</w:t>
            </w:r>
          </w:p>
        </w:tc>
        <w:tc>
          <w:tcPr>
            <w:tcW w:type="dxa" w:w="1134"/>
            <w:shd w:val="clear" w:color="auto" w:fill="DCE6F1"/>
          </w:tcPr>
          <w:p>
            <w:pPr>
              <w:spacing w:before="40" w:after="40" w:line="276" w:lineRule="auto"/>
              <w:jc w:val="center"/>
            </w:pPr>
            <w:r/>
            <w:r>
              <w:rPr>
                <w:rFonts w:ascii="Times New Roman" w:hAnsi="Times New Roman" w:eastAsia="黑体"/>
                <w:b/>
                <w:i w:val="0"/>
                <w:sz w:val="19"/>
              </w:rPr>
              <w:t>入口</w:t>
            </w:r>
          </w:p>
        </w:tc>
        <w:tc>
          <w:tcPr>
            <w:tcW w:type="dxa" w:w="2041"/>
            <w:shd w:val="clear" w:color="auto" w:fill="DCE6F1"/>
          </w:tcPr>
          <w:p>
            <w:pPr>
              <w:spacing w:before="40" w:after="40" w:line="276" w:lineRule="auto"/>
              <w:jc w:val="center"/>
            </w:pPr>
            <w:r/>
            <w:r>
              <w:rPr>
                <w:rFonts w:ascii="Times New Roman" w:hAnsi="Times New Roman" w:eastAsia="黑体"/>
                <w:b/>
                <w:i w:val="0"/>
                <w:sz w:val="19"/>
              </w:rPr>
              <w:t>主要区块</w:t>
            </w:r>
          </w:p>
        </w:tc>
        <w:tc>
          <w:tcPr>
            <w:tcW w:type="dxa" w:w="1701"/>
            <w:shd w:val="clear" w:color="auto" w:fill="DCE6F1"/>
          </w:tcPr>
          <w:p>
            <w:pPr>
              <w:spacing w:before="40" w:after="40" w:line="276" w:lineRule="auto"/>
              <w:jc w:val="center"/>
            </w:pPr>
            <w:r/>
            <w:r>
              <w:rPr>
                <w:rFonts w:ascii="Times New Roman" w:hAnsi="Times New Roman" w:eastAsia="黑体"/>
                <w:b/>
                <w:i w:val="0"/>
                <w:sz w:val="19"/>
              </w:rPr>
              <w:t>主要操作</w:t>
            </w:r>
          </w:p>
        </w:tc>
        <w:tc>
          <w:tcPr>
            <w:tcW w:type="dxa" w:w="1474"/>
            <w:shd w:val="clear" w:color="auto" w:fill="DCE6F1"/>
          </w:tcPr>
          <w:p>
            <w:pPr>
              <w:spacing w:before="40" w:after="40" w:line="276" w:lineRule="auto"/>
              <w:jc w:val="center"/>
            </w:pPr>
            <w:r/>
            <w:r>
              <w:rPr>
                <w:rFonts w:ascii="Times New Roman" w:hAnsi="Times New Roman" w:eastAsia="黑体"/>
                <w:b/>
                <w:i w:val="0"/>
                <w:sz w:val="19"/>
              </w:rPr>
              <w:t>跳转</w:t>
            </w:r>
          </w:p>
        </w:tc>
      </w:tr>
      <w:tr>
        <w:tc>
          <w:tcPr>
            <w:tcW w:type="dxa" w:w="1247"/>
          </w:tcPr>
          <w:p>
            <w:pPr>
              <w:spacing w:before="20" w:after="20" w:line="276" w:lineRule="auto"/>
              <w:ind w:firstLine="0"/>
            </w:pPr>
            <w:r/>
            <w:r>
              <w:rPr>
                <w:rFonts w:ascii="Times New Roman" w:hAnsi="Times New Roman" w:eastAsia="宋体"/>
                <w:b w:val="0"/>
                <w:i w:val="0"/>
                <w:sz w:val="19"/>
              </w:rPr>
              <w:t>库点信息管理</w:t>
            </w:r>
          </w:p>
        </w:tc>
        <w:tc>
          <w:tcPr>
            <w:tcW w:type="dxa" w:w="1474"/>
          </w:tcPr>
          <w:p>
            <w:pPr>
              <w:spacing w:before="20" w:after="20" w:line="276" w:lineRule="auto"/>
              <w:ind w:firstLine="0"/>
            </w:pPr>
            <w:r/>
            <w:r>
              <w:rPr>
                <w:rFonts w:ascii="Times New Roman" w:hAnsi="Times New Roman" w:eastAsia="宋体"/>
                <w:b w:val="0"/>
                <w:i w:val="0"/>
                <w:sz w:val="19"/>
              </w:rPr>
              <w:t>warehouse-point.html</w:t>
            </w:r>
          </w:p>
        </w:tc>
        <w:tc>
          <w:tcPr>
            <w:tcW w:type="dxa" w:w="1134"/>
          </w:tcPr>
          <w:p>
            <w:pPr>
              <w:spacing w:before="20" w:after="20" w:line="276" w:lineRule="auto"/>
              <w:ind w:firstLine="0"/>
            </w:pPr>
            <w:r/>
            <w:r>
              <w:rPr>
                <w:rFonts w:ascii="Times New Roman" w:hAnsi="Times New Roman" w:eastAsia="宋体"/>
                <w:b w:val="0"/>
                <w:i w:val="0"/>
                <w:sz w:val="19"/>
              </w:rPr>
              <w:t>仓储管理 → 系统管理 → 库点信息管理</w:t>
            </w:r>
          </w:p>
        </w:tc>
        <w:tc>
          <w:tcPr>
            <w:tcW w:type="dxa" w:w="2041"/>
          </w:tcPr>
          <w:p>
            <w:pPr>
              <w:spacing w:before="20" w:after="20" w:line="276" w:lineRule="auto"/>
              <w:ind w:firstLine="0"/>
            </w:pPr>
            <w:r/>
            <w:r>
              <w:rPr>
                <w:rFonts w:ascii="Times New Roman" w:hAnsi="Times New Roman" w:eastAsia="宋体"/>
                <w:b w:val="0"/>
                <w:i w:val="0"/>
                <w:sz w:val="19"/>
              </w:rPr>
              <w:t>基础信息表 8 字段、库点平面图与仓储租赁合同 2 个页签、平面图空状态与监控信息入口、仓储租赁合同 11 列表格</w:t>
            </w:r>
          </w:p>
        </w:tc>
        <w:tc>
          <w:tcPr>
            <w:tcW w:type="dxa" w:w="1701"/>
          </w:tcPr>
          <w:p>
            <w:pPr>
              <w:spacing w:before="20" w:after="20" w:line="276" w:lineRule="auto"/>
              <w:ind w:firstLine="0"/>
            </w:pPr>
            <w:r/>
            <w:r>
              <w:rPr>
                <w:rFonts w:ascii="Times New Roman" w:hAnsi="Times New Roman" w:eastAsia="宋体"/>
                <w:b w:val="0"/>
                <w:i w:val="0"/>
                <w:sz w:val="19"/>
              </w:rPr>
              <w:t>编辑库点、上传合同、监控信息、打印机图标、页签切换</w:t>
            </w:r>
          </w:p>
        </w:tc>
        <w:tc>
          <w:tcPr>
            <w:tcW w:type="dxa" w:w="1474"/>
          </w:tcPr>
          <w:p>
            <w:pPr>
              <w:spacing w:before="20" w:after="20" w:line="276" w:lineRule="auto"/>
              <w:ind w:firstLine="0"/>
            </w:pPr>
            <w:r/>
            <w:r>
              <w:rPr>
                <w:rFonts w:ascii="Times New Roman" w:hAnsi="Times New Roman" w:eastAsia="宋体"/>
                <w:b w:val="0"/>
                <w:i w:val="0"/>
                <w:sz w:val="19"/>
              </w:rPr>
              <w:t>页签内切换，不跨页跳转</w:t>
            </w:r>
          </w:p>
        </w:tc>
      </w:tr>
      <w:tr>
        <w:tc>
          <w:tcPr>
            <w:tcW w:type="dxa" w:w="1247"/>
          </w:tcPr>
          <w:p>
            <w:pPr>
              <w:spacing w:before="20" w:after="20" w:line="276" w:lineRule="auto"/>
              <w:ind w:firstLine="0"/>
            </w:pPr>
            <w:r/>
            <w:r>
              <w:rPr>
                <w:rFonts w:ascii="Times New Roman" w:hAnsi="Times New Roman" w:eastAsia="宋体"/>
                <w:b w:val="0"/>
                <w:i w:val="0"/>
                <w:sz w:val="19"/>
              </w:rPr>
              <w:t>仓房管理</w:t>
            </w:r>
          </w:p>
        </w:tc>
        <w:tc>
          <w:tcPr>
            <w:tcW w:type="dxa" w:w="1474"/>
          </w:tcPr>
          <w:p>
            <w:pPr>
              <w:spacing w:before="20" w:after="20" w:line="276" w:lineRule="auto"/>
              <w:ind w:firstLine="0"/>
            </w:pPr>
            <w:r/>
            <w:r>
              <w:rPr>
                <w:rFonts w:ascii="Times New Roman" w:hAnsi="Times New Roman" w:eastAsia="宋体"/>
                <w:b w:val="0"/>
                <w:i w:val="0"/>
                <w:sz w:val="19"/>
              </w:rPr>
              <w:t>warehouse-warehouse.html</w:t>
            </w:r>
          </w:p>
        </w:tc>
        <w:tc>
          <w:tcPr>
            <w:tcW w:type="dxa" w:w="1134"/>
          </w:tcPr>
          <w:p>
            <w:pPr>
              <w:spacing w:before="20" w:after="20" w:line="276" w:lineRule="auto"/>
              <w:ind w:firstLine="0"/>
            </w:pPr>
            <w:r/>
            <w:r>
              <w:rPr>
                <w:rFonts w:ascii="Times New Roman" w:hAnsi="Times New Roman" w:eastAsia="宋体"/>
                <w:b w:val="0"/>
                <w:i w:val="0"/>
                <w:sz w:val="19"/>
              </w:rPr>
              <w:t>仓储管理 → 系统管理 → 仓房管理</w:t>
            </w:r>
          </w:p>
        </w:tc>
        <w:tc>
          <w:tcPr>
            <w:tcW w:type="dxa" w:w="2041"/>
          </w:tcPr>
          <w:p>
            <w:pPr>
              <w:spacing w:before="20" w:after="20" w:line="276" w:lineRule="auto"/>
              <w:ind w:firstLine="0"/>
            </w:pPr>
            <w:r/>
            <w:r>
              <w:rPr>
                <w:rFonts w:ascii="Times New Roman" w:hAnsi="Times New Roman" w:eastAsia="宋体"/>
                <w:b w:val="0"/>
                <w:i w:val="0"/>
                <w:sz w:val="19"/>
              </w:rPr>
              <w:t>仓房名称筛选区、6 列表格（编号、仓房名称、所属货主、备注、巡库任务、操作）、新增与编辑仓房弹窗（仓房名称、备注 2 字段）</w:t>
            </w:r>
          </w:p>
        </w:tc>
        <w:tc>
          <w:tcPr>
            <w:tcW w:type="dxa" w:w="1701"/>
          </w:tcPr>
          <w:p>
            <w:pPr>
              <w:spacing w:before="20" w:after="20" w:line="276" w:lineRule="auto"/>
              <w:ind w:firstLine="0"/>
            </w:pPr>
            <w:r/>
            <w:r>
              <w:rPr>
                <w:rFonts w:ascii="Times New Roman" w:hAnsi="Times New Roman" w:eastAsia="宋体"/>
                <w:b w:val="0"/>
                <w:i w:val="0"/>
                <w:sz w:val="19"/>
              </w:rPr>
              <w:t>新增仓房、行内编辑、货位、巡库任务开关；弹窗内取消与确定</w:t>
            </w:r>
          </w:p>
        </w:tc>
        <w:tc>
          <w:tcPr>
            <w:tcW w:type="dxa" w:w="1474"/>
          </w:tcPr>
          <w:p>
            <w:pPr>
              <w:spacing w:before="20" w:after="20" w:line="276" w:lineRule="auto"/>
              <w:ind w:firstLine="0"/>
            </w:pPr>
            <w:r/>
            <w:r>
              <w:rPr>
                <w:rFonts w:ascii="Times New Roman" w:hAnsi="Times New Roman" w:eastAsia="宋体"/>
                <w:b w:val="0"/>
                <w:i w:val="0"/>
                <w:sz w:val="19"/>
              </w:rPr>
              <w:t>货位操作当前仅给出提示，不跳转独立货位管理页</w:t>
            </w:r>
          </w:p>
        </w:tc>
      </w:tr>
      <w:tr>
        <w:tc>
          <w:tcPr>
            <w:tcW w:type="dxa" w:w="1247"/>
          </w:tcPr>
          <w:p>
            <w:pPr>
              <w:spacing w:before="20" w:after="20" w:line="276" w:lineRule="auto"/>
              <w:ind w:firstLine="0"/>
            </w:pPr>
            <w:r/>
            <w:r>
              <w:rPr>
                <w:rFonts w:ascii="Times New Roman" w:hAnsi="Times New Roman" w:eastAsia="宋体"/>
                <w:b w:val="0"/>
                <w:i w:val="0"/>
                <w:sz w:val="19"/>
              </w:rPr>
              <w:t>品类配置</w:t>
            </w:r>
          </w:p>
        </w:tc>
        <w:tc>
          <w:tcPr>
            <w:tcW w:type="dxa" w:w="1474"/>
          </w:tcPr>
          <w:p>
            <w:pPr>
              <w:spacing w:before="20" w:after="20" w:line="276" w:lineRule="auto"/>
              <w:ind w:firstLine="0"/>
            </w:pPr>
            <w:r/>
            <w:r>
              <w:rPr>
                <w:rFonts w:ascii="Times New Roman" w:hAnsi="Times New Roman" w:eastAsia="宋体"/>
                <w:b w:val="0"/>
                <w:i w:val="0"/>
                <w:sz w:val="19"/>
              </w:rPr>
              <w:t>warehouse-category.html</w:t>
            </w:r>
          </w:p>
        </w:tc>
        <w:tc>
          <w:tcPr>
            <w:tcW w:type="dxa" w:w="1134"/>
          </w:tcPr>
          <w:p>
            <w:pPr>
              <w:spacing w:before="20" w:after="20" w:line="276" w:lineRule="auto"/>
              <w:ind w:firstLine="0"/>
            </w:pPr>
            <w:r/>
            <w:r>
              <w:rPr>
                <w:rFonts w:ascii="Times New Roman" w:hAnsi="Times New Roman" w:eastAsia="宋体"/>
                <w:b w:val="0"/>
                <w:i w:val="0"/>
                <w:sz w:val="19"/>
              </w:rPr>
              <w:t>仓储管理 → 系统管理 → 品类配置</w:t>
            </w:r>
          </w:p>
        </w:tc>
        <w:tc>
          <w:tcPr>
            <w:tcW w:type="dxa" w:w="2041"/>
          </w:tcPr>
          <w:p>
            <w:pPr>
              <w:spacing w:before="20" w:after="20" w:line="276" w:lineRule="auto"/>
              <w:ind w:firstLine="0"/>
            </w:pPr>
            <w:r/>
            <w:r>
              <w:rPr>
                <w:rFonts w:ascii="Times New Roman" w:hAnsi="Times New Roman" w:eastAsia="宋体"/>
                <w:b w:val="0"/>
                <w:i w:val="0"/>
                <w:sz w:val="19"/>
              </w:rPr>
              <w:t>品类名称筛选区、品类列表（编号、品类名称、操作）、展开后的单品名子表</w:t>
            </w:r>
          </w:p>
        </w:tc>
        <w:tc>
          <w:tcPr>
            <w:tcW w:type="dxa" w:w="1701"/>
          </w:tcPr>
          <w:p>
            <w:pPr>
              <w:spacing w:before="20" w:after="20" w:line="276" w:lineRule="auto"/>
              <w:ind w:firstLine="0"/>
            </w:pPr>
            <w:r/>
            <w:r>
              <w:rPr>
                <w:rFonts w:ascii="Times New Roman" w:hAnsi="Times New Roman" w:eastAsia="宋体"/>
                <w:b w:val="0"/>
                <w:i w:val="0"/>
                <w:sz w:val="19"/>
              </w:rPr>
              <w:t>新增品类、批量导入、展开或收起、行内编辑、删除、新增单品名</w:t>
            </w:r>
          </w:p>
        </w:tc>
        <w:tc>
          <w:tcPr>
            <w:tcW w:type="dxa" w:w="1474"/>
          </w:tcPr>
          <w:p>
            <w:pPr>
              <w:spacing w:before="20" w:after="20" w:line="276" w:lineRule="auto"/>
              <w:ind w:firstLine="0"/>
            </w:pPr>
            <w:r/>
            <w:r>
              <w:rPr>
                <w:rFonts w:ascii="Times New Roman" w:hAnsi="Times New Roman" w:eastAsia="宋体"/>
                <w:b w:val="0"/>
                <w:i w:val="0"/>
                <w:sz w:val="19"/>
              </w:rPr>
              <w:t>页面内展开行，不跨页跳转</w:t>
            </w:r>
          </w:p>
        </w:tc>
      </w:tr>
      <w:tr>
        <w:tc>
          <w:tcPr>
            <w:tcW w:type="dxa" w:w="1247"/>
          </w:tcPr>
          <w:p>
            <w:pPr>
              <w:spacing w:before="20" w:after="20" w:line="276" w:lineRule="auto"/>
              <w:ind w:firstLine="0"/>
            </w:pPr>
            <w:r/>
            <w:r>
              <w:rPr>
                <w:rFonts w:ascii="Times New Roman" w:hAnsi="Times New Roman" w:eastAsia="宋体"/>
                <w:b w:val="0"/>
                <w:i w:val="0"/>
                <w:sz w:val="19"/>
              </w:rPr>
              <w:t>系统监控</w:t>
            </w:r>
          </w:p>
        </w:tc>
        <w:tc>
          <w:tcPr>
            <w:tcW w:type="dxa" w:w="1474"/>
          </w:tcPr>
          <w:p>
            <w:pPr>
              <w:spacing w:before="20" w:after="20" w:line="276" w:lineRule="auto"/>
              <w:ind w:firstLine="0"/>
            </w:pPr>
            <w:r/>
            <w:r>
              <w:rPr>
                <w:rFonts w:ascii="Times New Roman" w:hAnsi="Times New Roman" w:eastAsia="宋体"/>
                <w:b w:val="0"/>
                <w:i w:val="0"/>
                <w:sz w:val="19"/>
              </w:rPr>
              <w:t>warehouse-system.html</w:t>
            </w:r>
          </w:p>
        </w:tc>
        <w:tc>
          <w:tcPr>
            <w:tcW w:type="dxa" w:w="1134"/>
          </w:tcPr>
          <w:p>
            <w:pPr>
              <w:spacing w:before="20" w:after="20" w:line="276" w:lineRule="auto"/>
              <w:ind w:firstLine="0"/>
            </w:pPr>
            <w:r/>
            <w:r>
              <w:rPr>
                <w:rFonts w:ascii="Times New Roman" w:hAnsi="Times New Roman" w:eastAsia="宋体"/>
                <w:b w:val="0"/>
                <w:i w:val="0"/>
                <w:sz w:val="19"/>
              </w:rPr>
              <w:t>仓储管理 → 系统管理 → 系统监控</w:t>
            </w:r>
          </w:p>
        </w:tc>
        <w:tc>
          <w:tcPr>
            <w:tcW w:type="dxa" w:w="2041"/>
          </w:tcPr>
          <w:p>
            <w:pPr>
              <w:spacing w:before="20" w:after="20" w:line="276" w:lineRule="auto"/>
              <w:ind w:firstLine="0"/>
            </w:pPr>
            <w:r/>
            <w:r>
              <w:rPr>
                <w:rFonts w:ascii="Times New Roman" w:hAnsi="Times New Roman" w:eastAsia="宋体"/>
                <w:b w:val="0"/>
                <w:i w:val="0"/>
                <w:sz w:val="19"/>
              </w:rPr>
              <w:t>6 个字段筛选区、4 个状态分栏（全部、正常、预警、故障，带计数）、9 列设备状态表格</w:t>
            </w:r>
          </w:p>
        </w:tc>
        <w:tc>
          <w:tcPr>
            <w:tcW w:type="dxa" w:w="1701"/>
          </w:tcPr>
          <w:p>
            <w:pPr>
              <w:spacing w:before="20" w:after="20" w:line="276" w:lineRule="auto"/>
              <w:ind w:firstLine="0"/>
            </w:pPr>
            <w:r/>
            <w:r>
              <w:rPr>
                <w:rFonts w:ascii="Times New Roman" w:hAnsi="Times New Roman" w:eastAsia="宋体"/>
                <w:b w:val="0"/>
                <w:i w:val="0"/>
                <w:sz w:val="19"/>
              </w:rPr>
              <w:t>搜索筛选、状态分栏切换、行内查看详情与查看历史</w:t>
            </w:r>
          </w:p>
        </w:tc>
        <w:tc>
          <w:tcPr>
            <w:tcW w:type="dxa" w:w="1474"/>
          </w:tcPr>
          <w:p>
            <w:pPr>
              <w:spacing w:before="20" w:after="20" w:line="276" w:lineRule="auto"/>
              <w:ind w:firstLine="0"/>
            </w:pPr>
            <w:r/>
            <w:r>
              <w:rPr>
                <w:rFonts w:ascii="Times New Roman" w:hAnsi="Times New Roman" w:eastAsia="宋体"/>
                <w:b w:val="0"/>
                <w:i w:val="0"/>
                <w:sz w:val="19"/>
              </w:rPr>
              <w:t>查看详情 → 视频监控页；查看历史 → 该设备的实时数据与最近上报时间</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4.26.5　数据关系</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474"/>
            <w:shd w:val="clear" w:color="auto" w:fill="DCE6F1"/>
          </w:tcPr>
          <w:p>
            <w:pPr>
              <w:spacing w:before="40" w:after="40" w:line="276" w:lineRule="auto"/>
              <w:jc w:val="center"/>
            </w:pPr>
            <w:r/>
            <w:r>
              <w:rPr>
                <w:rFonts w:ascii="Times New Roman" w:hAnsi="Times New Roman" w:eastAsia="黑体"/>
                <w:b/>
                <w:i w:val="0"/>
                <w:sz w:val="21"/>
              </w:rPr>
              <w:t>业务对象</w:t>
            </w:r>
          </w:p>
        </w:tc>
        <w:tc>
          <w:tcPr>
            <w:tcW w:type="dxa" w:w="4195"/>
            <w:shd w:val="clear" w:color="auto" w:fill="DCE6F1"/>
          </w:tcPr>
          <w:p>
            <w:pPr>
              <w:spacing w:before="40" w:after="40" w:line="276" w:lineRule="auto"/>
              <w:jc w:val="center"/>
            </w:pPr>
            <w:r/>
            <w:r>
              <w:rPr>
                <w:rFonts w:ascii="Times New Roman" w:hAnsi="Times New Roman" w:eastAsia="黑体"/>
                <w:b/>
                <w:i w:val="0"/>
                <w:sz w:val="21"/>
              </w:rPr>
              <w:t>关键字段与口径</w:t>
            </w:r>
          </w:p>
        </w:tc>
        <w:tc>
          <w:tcPr>
            <w:tcW w:type="dxa" w:w="3402"/>
            <w:shd w:val="clear" w:color="auto" w:fill="DCE6F1"/>
          </w:tcPr>
          <w:p>
            <w:pPr>
              <w:spacing w:before="40" w:after="40" w:line="276" w:lineRule="auto"/>
              <w:jc w:val="center"/>
            </w:pPr>
            <w:r/>
            <w:r>
              <w:rPr>
                <w:rFonts w:ascii="Times New Roman" w:hAnsi="Times New Roman" w:eastAsia="黑体"/>
                <w:b/>
                <w:i w:val="0"/>
                <w:sz w:val="21"/>
              </w:rPr>
              <w:t>与其他对象的关系</w:t>
            </w:r>
          </w:p>
        </w:tc>
      </w:tr>
      <w:tr>
        <w:tc>
          <w:tcPr>
            <w:tcW w:type="dxa" w:w="1474"/>
          </w:tcPr>
          <w:p>
            <w:pPr>
              <w:spacing w:before="20" w:after="20" w:line="276" w:lineRule="auto"/>
              <w:ind w:firstLine="0"/>
            </w:pPr>
            <w:r/>
            <w:r>
              <w:rPr>
                <w:rFonts w:ascii="Times New Roman" w:hAnsi="Times New Roman" w:eastAsia="宋体"/>
                <w:b w:val="0"/>
                <w:i w:val="0"/>
                <w:sz w:val="21"/>
              </w:rPr>
              <w:t>库点</w:t>
            </w:r>
          </w:p>
        </w:tc>
        <w:tc>
          <w:tcPr>
            <w:tcW w:type="dxa" w:w="4195"/>
          </w:tcPr>
          <w:p>
            <w:pPr>
              <w:spacing w:before="20" w:after="20" w:line="276" w:lineRule="auto"/>
              <w:ind w:firstLine="0"/>
            </w:pPr>
            <w:r/>
            <w:r>
              <w:rPr>
                <w:rFonts w:ascii="Times New Roman" w:hAnsi="Times New Roman" w:eastAsia="宋体"/>
                <w:b w:val="0"/>
                <w:i w:val="0"/>
                <w:sz w:val="21"/>
              </w:rPr>
              <w:t>库点编号：系统生成</w:t>
            </w:r>
            <w:r>
              <w:br/>
            </w:r>
            <w:r>
              <w:rPr>
                <w:rFonts w:ascii="Times New Roman" w:hAnsi="Times New Roman" w:eastAsia="宋体"/>
                <w:b w:val="0"/>
                <w:i w:val="0"/>
                <w:sz w:val="21"/>
              </w:rPr>
              <w:t>库点名称：必填</w:t>
            </w:r>
            <w:r>
              <w:br/>
            </w:r>
            <w:r>
              <w:rPr>
                <w:rFonts w:ascii="Times New Roman" w:hAnsi="Times New Roman" w:eastAsia="宋体"/>
                <w:b w:val="0"/>
                <w:i w:val="0"/>
                <w:sz w:val="21"/>
              </w:rPr>
              <w:t>库点类型：自营仓、第三方仓、监管仓</w:t>
            </w:r>
            <w:r>
              <w:br/>
            </w:r>
            <w:r>
              <w:rPr>
                <w:rFonts w:ascii="Times New Roman" w:hAnsi="Times New Roman" w:eastAsia="宋体"/>
                <w:b w:val="0"/>
                <w:i w:val="0"/>
                <w:sz w:val="21"/>
              </w:rPr>
              <w:t>库点地址：必填</w:t>
            </w:r>
            <w:r>
              <w:br/>
            </w:r>
            <w:r>
              <w:rPr>
                <w:rFonts w:ascii="Times New Roman" w:hAnsi="Times New Roman" w:eastAsia="宋体"/>
                <w:b w:val="0"/>
                <w:i w:val="0"/>
                <w:sz w:val="21"/>
              </w:rPr>
              <w:t>联系人与联系电话：必填，联系电话按 11 位手机号格式校验</w:t>
            </w:r>
            <w:r>
              <w:br/>
            </w:r>
            <w:r>
              <w:rPr>
                <w:rFonts w:ascii="Times New Roman" w:hAnsi="Times New Roman" w:eastAsia="宋体"/>
                <w:b w:val="0"/>
                <w:i w:val="0"/>
                <w:sz w:val="21"/>
              </w:rPr>
              <w:t>仓储企业、行业、类型</w:t>
            </w:r>
            <w:r>
              <w:br/>
            </w:r>
            <w:r>
              <w:rPr>
                <w:rFonts w:ascii="Times New Roman" w:hAnsi="Times New Roman" w:eastAsia="宋体"/>
                <w:b w:val="0"/>
                <w:i w:val="0"/>
                <w:sz w:val="21"/>
              </w:rPr>
              <w:t>监控设备数与仓房数：由系统统计为只读</w:t>
            </w:r>
          </w:p>
        </w:tc>
        <w:tc>
          <w:tcPr>
            <w:tcW w:type="dxa" w:w="3402"/>
          </w:tcPr>
          <w:p>
            <w:pPr>
              <w:spacing w:before="20" w:after="20" w:line="276" w:lineRule="auto"/>
              <w:ind w:firstLine="0"/>
            </w:pPr>
            <w:r/>
            <w:r>
              <w:rPr>
                <w:rFonts w:ascii="Times New Roman" w:hAnsi="Times New Roman" w:eastAsia="宋体"/>
                <w:b w:val="0"/>
                <w:i w:val="0"/>
                <w:sz w:val="21"/>
              </w:rPr>
              <w:t>库点下挂多个仓房，1 个库点对应多路监控摄像头；巡库按库点、仓房、货位三级维度登记</w:t>
            </w:r>
          </w:p>
        </w:tc>
      </w:tr>
      <w:tr>
        <w:tc>
          <w:tcPr>
            <w:tcW w:type="dxa" w:w="1474"/>
          </w:tcPr>
          <w:p>
            <w:pPr>
              <w:spacing w:before="20" w:after="20" w:line="276" w:lineRule="auto"/>
              <w:ind w:firstLine="0"/>
            </w:pPr>
            <w:r/>
            <w:r>
              <w:rPr>
                <w:rFonts w:ascii="Times New Roman" w:hAnsi="Times New Roman" w:eastAsia="宋体"/>
                <w:b w:val="0"/>
                <w:i w:val="0"/>
                <w:sz w:val="21"/>
              </w:rPr>
              <w:t>仓房</w:t>
            </w:r>
          </w:p>
        </w:tc>
        <w:tc>
          <w:tcPr>
            <w:tcW w:type="dxa" w:w="4195"/>
          </w:tcPr>
          <w:p>
            <w:pPr>
              <w:spacing w:before="20" w:after="20" w:line="276" w:lineRule="auto"/>
              <w:ind w:firstLine="0"/>
            </w:pPr>
            <w:r/>
            <w:r>
              <w:rPr>
                <w:rFonts w:ascii="Times New Roman" w:hAnsi="Times New Roman" w:eastAsia="宋体"/>
                <w:b w:val="0"/>
                <w:i w:val="0"/>
                <w:sz w:val="21"/>
              </w:rPr>
              <w:t>仓房编号：系统生成</w:t>
            </w:r>
            <w:r>
              <w:br/>
            </w:r>
            <w:r>
              <w:rPr>
                <w:rFonts w:ascii="Times New Roman" w:hAnsi="Times New Roman" w:eastAsia="宋体"/>
                <w:b w:val="0"/>
                <w:i w:val="0"/>
                <w:sz w:val="21"/>
              </w:rPr>
              <w:t>所属库点：引用库点</w:t>
            </w:r>
            <w:r>
              <w:br/>
            </w:r>
            <w:r>
              <w:rPr>
                <w:rFonts w:ascii="Times New Roman" w:hAnsi="Times New Roman" w:eastAsia="宋体"/>
                <w:b w:val="0"/>
                <w:i w:val="0"/>
                <w:sz w:val="21"/>
              </w:rPr>
              <w:t>仓房名称：必填，同一库点下不可重复</w:t>
            </w:r>
            <w:r>
              <w:br/>
            </w:r>
            <w:r>
              <w:rPr>
                <w:rFonts w:ascii="Times New Roman" w:hAnsi="Times New Roman" w:eastAsia="宋体"/>
                <w:b w:val="0"/>
                <w:i w:val="0"/>
                <w:sz w:val="21"/>
              </w:rPr>
              <w:t>仓房类型：平房仓、楼房仓、筒仓、其他</w:t>
            </w:r>
            <w:r>
              <w:br/>
            </w:r>
            <w:r>
              <w:rPr>
                <w:rFonts w:ascii="Times New Roman" w:hAnsi="Times New Roman" w:eastAsia="宋体"/>
                <w:b w:val="0"/>
                <w:i w:val="0"/>
                <w:sz w:val="21"/>
              </w:rPr>
              <w:t>容积（吨）：必填，不小于 0</w:t>
            </w:r>
            <w:r>
              <w:br/>
            </w:r>
            <w:r>
              <w:rPr>
                <w:rFonts w:ascii="Times New Roman" w:hAnsi="Times New Roman" w:eastAsia="宋体"/>
                <w:b w:val="0"/>
                <w:i w:val="0"/>
                <w:sz w:val="21"/>
              </w:rPr>
              <w:t>货位数与当前库存（吨）：由系统统计</w:t>
            </w:r>
            <w:r>
              <w:br/>
            </w:r>
            <w:r>
              <w:rPr>
                <w:rFonts w:ascii="Times New Roman" w:hAnsi="Times New Roman" w:eastAsia="宋体"/>
                <w:b w:val="0"/>
                <w:i w:val="0"/>
                <w:sz w:val="21"/>
              </w:rPr>
              <w:t>状态：正常、维修中、停用</w:t>
            </w:r>
            <w:r>
              <w:br/>
            </w:r>
            <w:r>
              <w:rPr>
                <w:rFonts w:ascii="Times New Roman" w:hAnsi="Times New Roman" w:eastAsia="宋体"/>
                <w:b w:val="0"/>
                <w:i w:val="0"/>
                <w:sz w:val="21"/>
              </w:rPr>
              <w:t>备注：上限 200 字，为空时显示占位符</w:t>
            </w:r>
            <w:r>
              <w:br/>
            </w:r>
            <w:r>
              <w:rPr>
                <w:rFonts w:ascii="Times New Roman" w:hAnsi="Times New Roman" w:eastAsia="宋体"/>
                <w:b w:val="0"/>
                <w:i w:val="0"/>
                <w:sz w:val="21"/>
              </w:rPr>
              <w:t>巡库任务：开关式，关联巡库任务</w:t>
            </w:r>
          </w:p>
        </w:tc>
        <w:tc>
          <w:tcPr>
            <w:tcW w:type="dxa" w:w="3402"/>
          </w:tcPr>
          <w:p>
            <w:pPr>
              <w:spacing w:before="20" w:after="20" w:line="276" w:lineRule="auto"/>
              <w:ind w:firstLine="0"/>
            </w:pPr>
            <w:r/>
            <w:r>
              <w:rPr>
                <w:rFonts w:ascii="Times New Roman" w:hAnsi="Times New Roman" w:eastAsia="宋体"/>
                <w:b w:val="0"/>
                <w:i w:val="0"/>
                <w:sz w:val="21"/>
              </w:rPr>
              <w:t>仓房属于库点，下挂多个货位；入库出库单据的仓房与货位引用该结构</w:t>
            </w:r>
          </w:p>
        </w:tc>
      </w:tr>
      <w:tr>
        <w:tc>
          <w:tcPr>
            <w:tcW w:type="dxa" w:w="1474"/>
          </w:tcPr>
          <w:p>
            <w:pPr>
              <w:spacing w:before="20" w:after="20" w:line="276" w:lineRule="auto"/>
              <w:ind w:firstLine="0"/>
            </w:pPr>
            <w:r/>
            <w:r>
              <w:rPr>
                <w:rFonts w:ascii="Times New Roman" w:hAnsi="Times New Roman" w:eastAsia="宋体"/>
                <w:b w:val="0"/>
                <w:i w:val="0"/>
                <w:sz w:val="21"/>
              </w:rPr>
              <w:t>货位</w:t>
            </w:r>
          </w:p>
        </w:tc>
        <w:tc>
          <w:tcPr>
            <w:tcW w:type="dxa" w:w="4195"/>
          </w:tcPr>
          <w:p>
            <w:pPr>
              <w:spacing w:before="20" w:after="20" w:line="276" w:lineRule="auto"/>
              <w:ind w:firstLine="0"/>
            </w:pPr>
            <w:r/>
            <w:r>
              <w:rPr>
                <w:rFonts w:ascii="Times New Roman" w:hAnsi="Times New Roman" w:eastAsia="宋体"/>
                <w:b w:val="0"/>
                <w:i w:val="0"/>
                <w:sz w:val="21"/>
              </w:rPr>
              <w:t>货位编号：系统生成</w:t>
            </w:r>
            <w:r>
              <w:br/>
            </w:r>
            <w:r>
              <w:rPr>
                <w:rFonts w:ascii="Times New Roman" w:hAnsi="Times New Roman" w:eastAsia="宋体"/>
                <w:b w:val="0"/>
                <w:i w:val="0"/>
                <w:sz w:val="21"/>
              </w:rPr>
              <w:t>货位名称：必填，同一仓房下不可重复</w:t>
            </w:r>
            <w:r>
              <w:br/>
            </w:r>
            <w:r>
              <w:rPr>
                <w:rFonts w:ascii="Times New Roman" w:hAnsi="Times New Roman" w:eastAsia="宋体"/>
                <w:b w:val="0"/>
                <w:i w:val="0"/>
                <w:sz w:val="21"/>
              </w:rPr>
              <w:t>容积（吨）：必填，货位容积合计不得大于仓房容积</w:t>
            </w:r>
            <w:r>
              <w:br/>
            </w:r>
            <w:r>
              <w:rPr>
                <w:rFonts w:ascii="Times New Roman" w:hAnsi="Times New Roman" w:eastAsia="宋体"/>
                <w:b w:val="0"/>
                <w:i w:val="0"/>
                <w:sz w:val="21"/>
              </w:rPr>
              <w:t>当前库存（吨）：由系统统计</w:t>
            </w:r>
            <w:r>
              <w:br/>
            </w:r>
            <w:r>
              <w:rPr>
                <w:rFonts w:ascii="Times New Roman" w:hAnsi="Times New Roman" w:eastAsia="宋体"/>
                <w:b w:val="0"/>
                <w:i w:val="0"/>
                <w:sz w:val="21"/>
              </w:rPr>
              <w:t>占用状态：空、部分占用、满</w:t>
            </w:r>
          </w:p>
        </w:tc>
        <w:tc>
          <w:tcPr>
            <w:tcW w:type="dxa" w:w="3402"/>
          </w:tcPr>
          <w:p>
            <w:pPr>
              <w:spacing w:before="20" w:after="20" w:line="276" w:lineRule="auto"/>
              <w:ind w:firstLine="0"/>
            </w:pPr>
            <w:r/>
            <w:r>
              <w:rPr>
                <w:rFonts w:ascii="Times New Roman" w:hAnsi="Times New Roman" w:eastAsia="宋体"/>
                <w:b w:val="0"/>
                <w:i w:val="0"/>
                <w:sz w:val="21"/>
              </w:rPr>
              <w:t>货位属于仓房，出入库与巡库均落到具体货位</w:t>
            </w:r>
          </w:p>
        </w:tc>
      </w:tr>
      <w:tr>
        <w:tc>
          <w:tcPr>
            <w:tcW w:type="dxa" w:w="1474"/>
          </w:tcPr>
          <w:p>
            <w:pPr>
              <w:spacing w:before="20" w:after="20" w:line="276" w:lineRule="auto"/>
              <w:ind w:firstLine="0"/>
            </w:pPr>
            <w:r/>
            <w:r>
              <w:rPr>
                <w:rFonts w:ascii="Times New Roman" w:hAnsi="Times New Roman" w:eastAsia="宋体"/>
                <w:b w:val="0"/>
                <w:i w:val="0"/>
                <w:sz w:val="21"/>
              </w:rPr>
              <w:t>品类与单品名</w:t>
            </w:r>
          </w:p>
        </w:tc>
        <w:tc>
          <w:tcPr>
            <w:tcW w:type="dxa" w:w="4195"/>
          </w:tcPr>
          <w:p>
            <w:pPr>
              <w:spacing w:before="20" w:after="20" w:line="276" w:lineRule="auto"/>
              <w:ind w:firstLine="0"/>
            </w:pPr>
            <w:r/>
            <w:r>
              <w:rPr>
                <w:rFonts w:ascii="Times New Roman" w:hAnsi="Times New Roman" w:eastAsia="宋体"/>
                <w:b w:val="0"/>
                <w:i w:val="0"/>
                <w:sz w:val="21"/>
              </w:rPr>
              <w:t>品类编号：系统生成且不可改</w:t>
            </w:r>
            <w:r>
              <w:br/>
            </w:r>
            <w:r>
              <w:rPr>
                <w:rFonts w:ascii="Times New Roman" w:hAnsi="Times New Roman" w:eastAsia="宋体"/>
                <w:b w:val="0"/>
                <w:i w:val="0"/>
                <w:sz w:val="21"/>
              </w:rPr>
              <w:t>品类名称：必填且不可重复</w:t>
            </w:r>
            <w:r>
              <w:br/>
            </w:r>
            <w:r>
              <w:rPr>
                <w:rFonts w:ascii="Times New Roman" w:hAnsi="Times New Roman" w:eastAsia="宋体"/>
                <w:b w:val="0"/>
                <w:i w:val="0"/>
                <w:sz w:val="21"/>
              </w:rPr>
              <w:t>品类描述：选填</w:t>
            </w:r>
            <w:r>
              <w:br/>
            </w:r>
            <w:r>
              <w:rPr>
                <w:rFonts w:ascii="Times New Roman" w:hAnsi="Times New Roman" w:eastAsia="宋体"/>
                <w:b w:val="0"/>
                <w:i w:val="0"/>
                <w:sz w:val="21"/>
              </w:rPr>
              <w:t>单品名数量与业务引用数：由系统统计</w:t>
            </w:r>
            <w:r>
              <w:br/>
            </w:r>
            <w:r>
              <w:rPr>
                <w:rFonts w:ascii="Times New Roman" w:hAnsi="Times New Roman" w:eastAsia="宋体"/>
                <w:b w:val="0"/>
                <w:i w:val="0"/>
                <w:sz w:val="21"/>
              </w:rPr>
              <w:t>单品名名称：同一品类下不可重复</w:t>
            </w:r>
            <w:r>
              <w:br/>
            </w:r>
            <w:r>
              <w:rPr>
                <w:rFonts w:ascii="Times New Roman" w:hAnsi="Times New Roman" w:eastAsia="宋体"/>
                <w:b w:val="0"/>
                <w:i w:val="0"/>
                <w:sz w:val="21"/>
              </w:rPr>
              <w:t>默认计量单位：吨、件、支</w:t>
            </w:r>
            <w:r>
              <w:br/>
            </w:r>
            <w:r>
              <w:rPr>
                <w:rFonts w:ascii="Times New Roman" w:hAnsi="Times New Roman" w:eastAsia="宋体"/>
                <w:b w:val="0"/>
                <w:i w:val="0"/>
                <w:sz w:val="21"/>
              </w:rPr>
              <w:t>默认单价：选填</w:t>
            </w:r>
          </w:p>
        </w:tc>
        <w:tc>
          <w:tcPr>
            <w:tcW w:type="dxa" w:w="3402"/>
          </w:tcPr>
          <w:p>
            <w:pPr>
              <w:spacing w:before="20" w:after="20" w:line="276" w:lineRule="auto"/>
              <w:ind w:firstLine="0"/>
            </w:pPr>
            <w:r/>
            <w:r>
              <w:rPr>
                <w:rFonts w:ascii="Times New Roman" w:hAnsi="Times New Roman" w:eastAsia="宋体"/>
                <w:b w:val="0"/>
                <w:i w:val="0"/>
                <w:sz w:val="21"/>
              </w:rPr>
              <w:t>入库单与出库单的品名字段引用单品名；被合同或入库引用后不可删除</w:t>
            </w:r>
          </w:p>
        </w:tc>
      </w:tr>
      <w:tr>
        <w:tc>
          <w:tcPr>
            <w:tcW w:type="dxa" w:w="1474"/>
          </w:tcPr>
          <w:p>
            <w:pPr>
              <w:spacing w:before="20" w:after="20" w:line="276" w:lineRule="auto"/>
              <w:ind w:firstLine="0"/>
            </w:pPr>
            <w:r/>
            <w:r>
              <w:rPr>
                <w:rFonts w:ascii="Times New Roman" w:hAnsi="Times New Roman" w:eastAsia="宋体"/>
                <w:b w:val="0"/>
                <w:i w:val="0"/>
                <w:sz w:val="21"/>
              </w:rPr>
              <w:t>物联设备</w:t>
            </w:r>
          </w:p>
        </w:tc>
        <w:tc>
          <w:tcPr>
            <w:tcW w:type="dxa" w:w="4195"/>
          </w:tcPr>
          <w:p>
            <w:pPr>
              <w:spacing w:before="20" w:after="20" w:line="276" w:lineRule="auto"/>
              <w:ind w:firstLine="0"/>
            </w:pPr>
            <w:r/>
            <w:r>
              <w:rPr>
                <w:rFonts w:ascii="Times New Roman" w:hAnsi="Times New Roman" w:eastAsia="宋体"/>
                <w:b w:val="0"/>
                <w:i w:val="0"/>
                <w:sz w:val="21"/>
              </w:rPr>
              <w:t>设备编号、所属仓库</w:t>
            </w:r>
            <w:r>
              <w:br/>
            </w:r>
            <w:r>
              <w:rPr>
                <w:rFonts w:ascii="Times New Roman" w:hAnsi="Times New Roman" w:eastAsia="宋体"/>
                <w:b w:val="0"/>
                <w:i w:val="0"/>
                <w:sz w:val="21"/>
              </w:rPr>
              <w:t>设备类型：温湿度、监控、门禁、消防</w:t>
            </w:r>
            <w:r>
              <w:br/>
            </w:r>
            <w:r>
              <w:rPr>
                <w:rFonts w:ascii="Times New Roman" w:hAnsi="Times New Roman" w:eastAsia="宋体"/>
                <w:b w:val="0"/>
                <w:i w:val="0"/>
                <w:sz w:val="21"/>
              </w:rPr>
              <w:t>安装位置</w:t>
            </w:r>
            <w:r>
              <w:br/>
            </w:r>
            <w:r>
              <w:rPr>
                <w:rFonts w:ascii="Times New Roman" w:hAnsi="Times New Roman" w:eastAsia="宋体"/>
                <w:b w:val="0"/>
                <w:i w:val="0"/>
                <w:sz w:val="21"/>
              </w:rPr>
              <w:t>实时数据：温度、湿度等</w:t>
            </w:r>
            <w:r>
              <w:br/>
            </w:r>
            <w:r>
              <w:rPr>
                <w:rFonts w:ascii="Times New Roman" w:hAnsi="Times New Roman" w:eastAsia="宋体"/>
                <w:b w:val="0"/>
                <w:i w:val="0"/>
                <w:sz w:val="21"/>
              </w:rPr>
              <w:t>运行状态：在线、异常、离线、故障</w:t>
            </w:r>
            <w:r>
              <w:br/>
            </w:r>
            <w:r>
              <w:rPr>
                <w:rFonts w:ascii="Times New Roman" w:hAnsi="Times New Roman" w:eastAsia="宋体"/>
                <w:b w:val="0"/>
                <w:i w:val="0"/>
                <w:sz w:val="21"/>
              </w:rPr>
              <w:t>最后心跳、固件版本、IP 地址</w:t>
            </w:r>
          </w:p>
        </w:tc>
        <w:tc>
          <w:tcPr>
            <w:tcW w:type="dxa" w:w="3402"/>
          </w:tcPr>
          <w:p>
            <w:pPr>
              <w:spacing w:before="20" w:after="20" w:line="276" w:lineRule="auto"/>
              <w:ind w:firstLine="0"/>
            </w:pPr>
            <w:r/>
            <w:r>
              <w:rPr>
                <w:rFonts w:ascii="Times New Roman" w:hAnsi="Times New Roman" w:eastAsia="宋体"/>
                <w:b w:val="0"/>
                <w:i w:val="0"/>
                <w:sz w:val="21"/>
              </w:rPr>
              <w:t>设备挂靠库点、仓房或货位；运行状态驱动设备状态分栏与预警中心推送</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4.26.6　角色权限与数据权限</w:t>
      </w:r>
    </w:p>
    <w:p>
      <w:pPr>
        <w:spacing w:before="0" w:after="120" w:line="360" w:lineRule="auto"/>
      </w:pPr>
      <w:r>
        <w:rPr>
          <w:rFonts w:ascii="Times New Roman" w:hAnsi="Times New Roman" w:eastAsia="宋体"/>
          <w:b w:val="0"/>
          <w:i w:val="0"/>
          <w:sz w:val="24"/>
        </w:rPr>
        <w:t>本期为系统全量权限（业务方裁决 D17 / QA-012）；下表角色为典型使用角色，非权限分级。库点、仓房、货位与品类单品名为全平台共享基础数据，全部角色可查看，基础数据的增删改由仓储部负责。</w:t>
      </w:r>
    </w:p>
    <w:p>
      <w:pPr>
        <w:spacing w:before="0" w:after="80" w:line="360" w:lineRule="auto"/>
      </w:pPr>
      <w:r>
        <w:rPr>
          <w:rFonts w:ascii="Times New Roman" w:hAnsi="Times New Roman" w:eastAsia="宋体"/>
          <w:b w:val="0"/>
          <w:i w:val="0"/>
          <w:sz w:val="24"/>
        </w:rPr>
        <w:t>数据可见性：按单据归属与业务筛选查看；手机号、统一社会信用代码等敏感字段默认打码，手动点击查看完整值且查看行为留痕。</w:t>
      </w:r>
    </w:p>
    <w:p>
      <w:pPr>
        <w:pStyle w:val="Heading3"/>
        <w:keepNext/>
        <w:spacing w:before="160" w:after="80" w:line="312" w:lineRule="auto"/>
        <w:ind w:firstLine="0"/>
      </w:pPr>
      <w:r>
        <w:rPr>
          <w:rFonts w:ascii="Times New Roman" w:hAnsi="Times New Roman" w:eastAsia="黑体"/>
          <w:b/>
          <w:i w:val="0"/>
          <w:sz w:val="24"/>
        </w:rPr>
        <w:t>4.26.7　业务流程与页面</w:t>
      </w:r>
    </w:p>
    <w:p>
      <w:pPr>
        <w:spacing w:before="120" w:after="60"/>
        <w:ind w:firstLine="0"/>
        <w:jc w:val="center"/>
      </w:pPr>
      <w:r>
        <w:drawing>
          <wp:inline xmlns:a="http://schemas.openxmlformats.org/drawingml/2006/main" xmlns:pic="http://schemas.openxmlformats.org/drawingml/2006/picture">
            <wp:extent cx="5616000" cy="1468552"/>
            <wp:docPr id="55" name="Picture 55"/>
            <wp:cNvGraphicFramePr>
              <a:graphicFrameLocks noChangeAspect="1"/>
            </wp:cNvGraphicFramePr>
            <a:graphic>
              <a:graphicData uri="http://schemas.openxmlformats.org/drawingml/2006/picture">
                <pic:pic>
                  <pic:nvPicPr>
                    <pic:cNvPr id="0" name="mermaid-warehouse-system.png"/>
                    <pic:cNvPicPr/>
                  </pic:nvPicPr>
                  <pic:blipFill>
                    <a:blip r:embed="rId65"/>
                    <a:stretch>
                      <a:fillRect/>
                    </a:stretch>
                  </pic:blipFill>
                  <pic:spPr>
                    <a:xfrm>
                      <a:off x="0" y="0"/>
                      <a:ext cx="5616000" cy="1468552"/>
                    </a:xfrm>
                    <a:prstGeom prst="rect"/>
                  </pic:spPr>
                </pic:pic>
              </a:graphicData>
            </a:graphic>
          </wp:inline>
        </w:drawing>
      </w:r>
    </w:p>
    <w:p>
      <w:pPr>
        <w:spacing w:before="0" w:after="200" w:line="240" w:lineRule="auto"/>
        <w:ind w:firstLine="0"/>
        <w:jc w:val="center"/>
      </w:pPr>
      <w:r>
        <w:rPr>
          <w:rFonts w:ascii="Times New Roman" w:hAnsi="Times New Roman" w:eastAsia="宋体"/>
          <w:b w:val="0"/>
          <w:i w:val="0"/>
          <w:sz w:val="21"/>
        </w:rPr>
        <w:t>图 4-26-1　系统管理 主业务流程</w:t>
      </w:r>
    </w:p>
    <w:p>
      <w:pPr>
        <w:spacing w:before="0" w:after="60" w:line="360" w:lineRule="auto"/>
      </w:pPr>
      <w:r>
        <w:rPr>
          <w:rFonts w:ascii="Times New Roman" w:hAnsi="Times New Roman" w:eastAsia="宋体"/>
          <w:b/>
          <w:i w:val="0"/>
          <w:sz w:val="24"/>
        </w:rPr>
        <w:t>主流程步骤：</w:t>
      </w:r>
    </w:p>
    <w:p>
      <w:pPr>
        <w:spacing w:before="0" w:after="60" w:line="336" w:lineRule="auto"/>
        <w:ind w:left="510" w:hanging="510"/>
      </w:pPr>
      <w:r>
        <w:rPr>
          <w:rFonts w:ascii="Times New Roman" w:hAnsi="Times New Roman" w:eastAsia="宋体"/>
          <w:b w:val="0"/>
          <w:i w:val="0"/>
          <w:sz w:val="24"/>
        </w:rPr>
        <w:t>1. 进入系统管理，先在库点信息管理维护库点基础信息与仓储租赁合同</w:t>
      </w:r>
    </w:p>
    <w:p>
      <w:pPr>
        <w:spacing w:before="0" w:after="60" w:line="336" w:lineRule="auto"/>
        <w:ind w:left="510" w:hanging="510"/>
      </w:pPr>
      <w:r>
        <w:rPr>
          <w:rFonts w:ascii="Times New Roman" w:hAnsi="Times New Roman" w:eastAsia="宋体"/>
          <w:b w:val="0"/>
          <w:i w:val="0"/>
          <w:sz w:val="24"/>
        </w:rPr>
        <w:t>2. 在库点平面图页签配置库点平面图并关联监控信息</w:t>
      </w:r>
    </w:p>
    <w:p>
      <w:pPr>
        <w:spacing w:before="0" w:after="60" w:line="336" w:lineRule="auto"/>
        <w:ind w:left="510" w:hanging="510"/>
      </w:pPr>
      <w:r>
        <w:rPr>
          <w:rFonts w:ascii="Times New Roman" w:hAnsi="Times New Roman" w:eastAsia="宋体"/>
          <w:b w:val="0"/>
          <w:i w:val="0"/>
          <w:sz w:val="24"/>
        </w:rPr>
        <w:t>3. 在仓房管理按库点建立仓房，填写仓房名称、类型与容积</w:t>
      </w:r>
    </w:p>
    <w:p>
      <w:pPr>
        <w:spacing w:before="0" w:after="60" w:line="336" w:lineRule="auto"/>
        <w:ind w:left="510" w:hanging="510"/>
      </w:pPr>
      <w:r>
        <w:rPr>
          <w:rFonts w:ascii="Times New Roman" w:hAnsi="Times New Roman" w:eastAsia="宋体"/>
          <w:b w:val="0"/>
          <w:i w:val="0"/>
          <w:sz w:val="24"/>
        </w:rPr>
        <w:t>4. 开启该仓房的巡库任务开关，该仓房自动纳入巡库计划</w:t>
      </w:r>
    </w:p>
    <w:p>
      <w:pPr>
        <w:spacing w:before="0" w:after="60" w:line="336" w:lineRule="auto"/>
        <w:ind w:left="510" w:hanging="510"/>
      </w:pPr>
      <w:r>
        <w:rPr>
          <w:rFonts w:ascii="Times New Roman" w:hAnsi="Times New Roman" w:eastAsia="宋体"/>
          <w:b w:val="0"/>
          <w:i w:val="0"/>
          <w:sz w:val="24"/>
        </w:rPr>
        <w:t>5. 在仓房展开行建立货位并维护货位容积，校验容积合计不超出仓房容积</w:t>
      </w:r>
    </w:p>
    <w:p>
      <w:pPr>
        <w:spacing w:before="0" w:after="60" w:line="336" w:lineRule="auto"/>
        <w:ind w:left="510" w:hanging="510"/>
      </w:pPr>
      <w:r>
        <w:rPr>
          <w:rFonts w:ascii="Times New Roman" w:hAnsi="Times New Roman" w:eastAsia="宋体"/>
          <w:b w:val="0"/>
          <w:i w:val="0"/>
          <w:sz w:val="24"/>
        </w:rPr>
        <w:t>6. 在品类配置新增品类，并为其新增单品名与默认计量单位</w:t>
      </w:r>
    </w:p>
    <w:p>
      <w:pPr>
        <w:spacing w:before="0" w:after="60" w:line="336" w:lineRule="auto"/>
        <w:ind w:left="510" w:hanging="510"/>
      </w:pPr>
      <w:r>
        <w:rPr>
          <w:rFonts w:ascii="Times New Roman" w:hAnsi="Times New Roman" w:eastAsia="宋体"/>
          <w:b w:val="0"/>
          <w:i w:val="0"/>
          <w:sz w:val="24"/>
        </w:rPr>
        <w:t>7. 需要批量维护时下载模板并批量导入品类，单次不超过 100 行</w:t>
      </w:r>
    </w:p>
    <w:p>
      <w:pPr>
        <w:spacing w:before="0" w:after="60" w:line="336" w:lineRule="auto"/>
        <w:ind w:left="510" w:hanging="510"/>
      </w:pPr>
      <w:r>
        <w:rPr>
          <w:rFonts w:ascii="Times New Roman" w:hAnsi="Times New Roman" w:eastAsia="宋体"/>
          <w:b w:val="0"/>
          <w:i w:val="0"/>
          <w:sz w:val="24"/>
        </w:rPr>
        <w:t>8. 出入库登记时引用库点、仓房、货位与单品名，完成后回写货位当前库存</w:t>
      </w:r>
    </w:p>
    <w:p>
      <w:pPr>
        <w:spacing w:before="0" w:after="60" w:line="336" w:lineRule="auto"/>
        <w:ind w:left="510" w:hanging="510"/>
      </w:pPr>
      <w:r>
        <w:rPr>
          <w:rFonts w:ascii="Times New Roman" w:hAnsi="Times New Roman" w:eastAsia="宋体"/>
          <w:b w:val="0"/>
          <w:i w:val="0"/>
          <w:sz w:val="24"/>
        </w:rPr>
        <w:t>9. 在系统监控页查看设备状态，离线超 1 小时或温湿度超阈值时系统提示并触发预警</w:t>
      </w:r>
    </w:p>
    <w:p>
      <w:pPr>
        <w:spacing w:before="0" w:after="60" w:line="336" w:lineRule="auto"/>
        <w:ind w:left="510" w:hanging="510"/>
      </w:pPr>
      <w:r>
        <w:rPr>
          <w:rFonts w:ascii="Times New Roman" w:hAnsi="Times New Roman" w:eastAsia="宋体"/>
          <w:b w:val="0"/>
          <w:i w:val="0"/>
          <w:sz w:val="24"/>
        </w:rPr>
        <w:t>10. 从系统监控的查看详情跳转视频监控查看现场画面</w:t>
      </w:r>
    </w:p>
    <w:p>
      <w:pPr>
        <w:spacing w:before="120" w:after="60" w:line="360" w:lineRule="auto"/>
      </w:pPr>
      <w:r>
        <w:rPr>
          <w:rFonts w:ascii="Times New Roman" w:hAnsi="Times New Roman" w:eastAsia="宋体"/>
          <w:b/>
          <w:i w:val="0"/>
          <w:sz w:val="24"/>
        </w:rPr>
        <w:t>异常分支：</w:t>
      </w:r>
    </w:p>
    <w:tbl>
      <w:tblPr>
        <w:tblStyle w:val="TableGrid"/>
        <w:tblW w:type="auto" w:w="0"/>
        <w:jc w:val="center"/>
        <w:tblLayout w:type="fixed"/>
        <w:tblLook w:firstColumn="1" w:firstRow="1" w:lastColumn="0" w:lastRow="0" w:noHBand="0" w:noVBand="1" w:val="04A0"/>
      </w:tblPr>
      <w:tblGrid>
        <w:gridCol w:w="4479"/>
        <w:gridCol w:w="4479"/>
      </w:tblGrid>
      <w:tr>
        <w:trPr>
          <w:tblHeader w:val="true"/>
        </w:trPr>
        <w:tc>
          <w:tcPr>
            <w:tcW w:type="dxa" w:w="2835"/>
            <w:shd w:val="clear" w:color="auto" w:fill="DCE6F1"/>
          </w:tcPr>
          <w:p>
            <w:pPr>
              <w:spacing w:before="40" w:after="40" w:line="276" w:lineRule="auto"/>
              <w:jc w:val="center"/>
            </w:pPr>
            <w:r/>
            <w:r>
              <w:rPr>
                <w:rFonts w:ascii="Times New Roman" w:hAnsi="Times New Roman" w:eastAsia="黑体"/>
                <w:b/>
                <w:i w:val="0"/>
                <w:sz w:val="21"/>
              </w:rPr>
              <w:t>异常场景</w:t>
            </w:r>
          </w:p>
        </w:tc>
        <w:tc>
          <w:tcPr>
            <w:tcW w:type="dxa" w:w="6236"/>
            <w:shd w:val="clear" w:color="auto" w:fill="DCE6F1"/>
          </w:tcPr>
          <w:p>
            <w:pPr>
              <w:spacing w:before="40" w:after="40" w:line="276" w:lineRule="auto"/>
              <w:jc w:val="center"/>
            </w:pPr>
            <w:r/>
            <w:r>
              <w:rPr>
                <w:rFonts w:ascii="Times New Roman" w:hAnsi="Times New Roman" w:eastAsia="黑体"/>
                <w:b/>
                <w:i w:val="0"/>
                <w:sz w:val="21"/>
              </w:rPr>
              <w:t>系统处理</w:t>
            </w:r>
          </w:p>
        </w:tc>
      </w:tr>
      <w:tr>
        <w:tc>
          <w:tcPr>
            <w:tcW w:type="dxa" w:w="2835"/>
          </w:tcPr>
          <w:p>
            <w:pPr>
              <w:spacing w:before="20" w:after="20" w:line="276" w:lineRule="auto"/>
              <w:ind w:firstLine="0"/>
            </w:pPr>
            <w:r/>
            <w:r>
              <w:rPr>
                <w:rFonts w:ascii="Times New Roman" w:hAnsi="Times New Roman" w:eastAsia="宋体"/>
                <w:b w:val="0"/>
                <w:i w:val="0"/>
                <w:sz w:val="21"/>
              </w:rPr>
              <w:t>删除仍有下级数据的库点或仓房</w:t>
            </w:r>
          </w:p>
        </w:tc>
        <w:tc>
          <w:tcPr>
            <w:tcW w:type="dxa" w:w="6236"/>
          </w:tcPr>
          <w:p>
            <w:pPr>
              <w:spacing w:before="20" w:after="20" w:line="276" w:lineRule="auto"/>
              <w:ind w:firstLine="0"/>
            </w:pPr>
            <w:r/>
            <w:r>
              <w:rPr>
                <w:rFonts w:ascii="Times New Roman" w:hAnsi="Times New Roman" w:eastAsia="宋体"/>
                <w:b w:val="0"/>
                <w:i w:val="0"/>
                <w:sz w:val="21"/>
              </w:rPr>
              <w:t>删除有仓房的库点时红字提示该库点有 N 个仓房无法删除；删除有货位的仓房时红字提示该仓房有 N 个货位无法删除；两者均拒绝删除</w:t>
            </w:r>
          </w:p>
        </w:tc>
      </w:tr>
      <w:tr>
        <w:tc>
          <w:tcPr>
            <w:tcW w:type="dxa" w:w="2835"/>
          </w:tcPr>
          <w:p>
            <w:pPr>
              <w:spacing w:before="20" w:after="20" w:line="276" w:lineRule="auto"/>
              <w:ind w:firstLine="0"/>
            </w:pPr>
            <w:r/>
            <w:r>
              <w:rPr>
                <w:rFonts w:ascii="Times New Roman" w:hAnsi="Times New Roman" w:eastAsia="宋体"/>
                <w:b w:val="0"/>
                <w:i w:val="0"/>
                <w:sz w:val="21"/>
              </w:rPr>
              <w:t>货位容积合计大于仓房容积</w:t>
            </w:r>
          </w:p>
        </w:tc>
        <w:tc>
          <w:tcPr>
            <w:tcW w:type="dxa" w:w="6236"/>
          </w:tcPr>
          <w:p>
            <w:pPr>
              <w:spacing w:before="20" w:after="20" w:line="276" w:lineRule="auto"/>
              <w:ind w:firstLine="0"/>
            </w:pPr>
            <w:r/>
            <w:r>
              <w:rPr>
                <w:rFonts w:ascii="Times New Roman" w:hAnsi="Times New Roman" w:eastAsia="宋体"/>
                <w:b w:val="0"/>
                <w:i w:val="0"/>
                <w:sz w:val="21"/>
              </w:rPr>
              <w:t>红字提示货位容积合计不能大于仓房容积并拦截保存</w:t>
            </w:r>
          </w:p>
        </w:tc>
      </w:tr>
      <w:tr>
        <w:tc>
          <w:tcPr>
            <w:tcW w:type="dxa" w:w="2835"/>
          </w:tcPr>
          <w:p>
            <w:pPr>
              <w:spacing w:before="20" w:after="20" w:line="276" w:lineRule="auto"/>
              <w:ind w:firstLine="0"/>
            </w:pPr>
            <w:r/>
            <w:r>
              <w:rPr>
                <w:rFonts w:ascii="Times New Roman" w:hAnsi="Times New Roman" w:eastAsia="宋体"/>
                <w:b w:val="0"/>
                <w:i w:val="0"/>
                <w:sz w:val="21"/>
              </w:rPr>
              <w:t>删除已被占用的货位</w:t>
            </w:r>
          </w:p>
        </w:tc>
        <w:tc>
          <w:tcPr>
            <w:tcW w:type="dxa" w:w="6236"/>
          </w:tcPr>
          <w:p>
            <w:pPr>
              <w:spacing w:before="20" w:after="20" w:line="276" w:lineRule="auto"/>
              <w:ind w:firstLine="0"/>
            </w:pPr>
            <w:r/>
            <w:r>
              <w:rPr>
                <w:rFonts w:ascii="Times New Roman" w:hAnsi="Times New Roman" w:eastAsia="宋体"/>
                <w:b w:val="0"/>
                <w:i w:val="0"/>
                <w:sz w:val="21"/>
              </w:rPr>
              <w:t>红字提示该货位正在使用无法删除并拒绝删除</w:t>
            </w:r>
          </w:p>
        </w:tc>
      </w:tr>
      <w:tr>
        <w:tc>
          <w:tcPr>
            <w:tcW w:type="dxa" w:w="2835"/>
          </w:tcPr>
          <w:p>
            <w:pPr>
              <w:spacing w:before="20" w:after="20" w:line="276" w:lineRule="auto"/>
              <w:ind w:firstLine="0"/>
            </w:pPr>
            <w:r/>
            <w:r>
              <w:rPr>
                <w:rFonts w:ascii="Times New Roman" w:hAnsi="Times New Roman" w:eastAsia="宋体"/>
                <w:b w:val="0"/>
                <w:i w:val="0"/>
                <w:sz w:val="21"/>
              </w:rPr>
              <w:t>删除被业务引用的品类或单品名，或批量导入格式错误</w:t>
            </w:r>
          </w:p>
        </w:tc>
        <w:tc>
          <w:tcPr>
            <w:tcW w:type="dxa" w:w="6236"/>
          </w:tcPr>
          <w:p>
            <w:pPr>
              <w:spacing w:before="20" w:after="20" w:line="276" w:lineRule="auto"/>
              <w:ind w:firstLine="0"/>
            </w:pPr>
            <w:r/>
            <w:r>
              <w:rPr>
                <w:rFonts w:ascii="Times New Roman" w:hAnsi="Times New Roman" w:eastAsia="宋体"/>
                <w:b w:val="0"/>
                <w:i w:val="0"/>
                <w:sz w:val="21"/>
              </w:rPr>
              <w:t>红字提示被 N 笔业务引用并拒绝删除；批量导入格式错误时红字指出具体行列并提供错误明细下载，单次超过 100 行时提示批量导入单次不超过 100 行</w:t>
            </w:r>
          </w:p>
        </w:tc>
      </w:tr>
      <w:tr>
        <w:tc>
          <w:tcPr>
            <w:tcW w:type="dxa" w:w="2835"/>
          </w:tcPr>
          <w:p>
            <w:pPr>
              <w:spacing w:before="20" w:after="20" w:line="276" w:lineRule="auto"/>
              <w:ind w:firstLine="0"/>
            </w:pPr>
            <w:r/>
            <w:r>
              <w:rPr>
                <w:rFonts w:ascii="Times New Roman" w:hAnsi="Times New Roman" w:eastAsia="宋体"/>
                <w:b w:val="0"/>
                <w:i w:val="0"/>
                <w:sz w:val="21"/>
              </w:rPr>
              <w:t>设备离线超过 1 小时或温湿度超阈值</w:t>
            </w:r>
          </w:p>
        </w:tc>
        <w:tc>
          <w:tcPr>
            <w:tcW w:type="dxa" w:w="6236"/>
          </w:tcPr>
          <w:p>
            <w:pPr>
              <w:spacing w:before="20" w:after="20" w:line="276" w:lineRule="auto"/>
              <w:ind w:firstLine="0"/>
            </w:pPr>
            <w:r/>
            <w:r>
              <w:rPr>
                <w:rFonts w:ascii="Times New Roman" w:hAnsi="Times New Roman" w:eastAsia="宋体"/>
                <w:b w:val="0"/>
                <w:i w:val="0"/>
                <w:sz w:val="21"/>
              </w:rPr>
              <w:t>离线超 1 小时在顶部红色 bar 提示；温湿度超阈值以红色字显示并自动触发预警</w:t>
            </w:r>
          </w:p>
        </w:tc>
      </w:tr>
    </w:tbl>
    <w:p>
      <w:pPr>
        <w:spacing w:before="0" w:after="0" w:line="240" w:lineRule="auto"/>
      </w:pPr>
    </w:p>
    <w:p>
      <w:pPr>
        <w:spacing w:before="120" w:after="60"/>
        <w:ind w:firstLine="0"/>
        <w:jc w:val="center"/>
      </w:pPr>
      <w:r>
        <w:drawing>
          <wp:inline xmlns:a="http://schemas.openxmlformats.org/drawingml/2006/main" xmlns:pic="http://schemas.openxmlformats.org/drawingml/2006/picture">
            <wp:extent cx="5616000" cy="3334500"/>
            <wp:docPr id="56" name="Picture 56"/>
            <wp:cNvGraphicFramePr>
              <a:graphicFrameLocks noChangeAspect="1"/>
            </wp:cNvGraphicFramePr>
            <a:graphic>
              <a:graphicData uri="http://schemas.openxmlformats.org/drawingml/2006/picture">
                <pic:pic>
                  <pic:nvPicPr>
                    <pic:cNvPr id="0" name="warehouse-system.png"/>
                    <pic:cNvPicPr/>
                  </pic:nvPicPr>
                  <pic:blipFill>
                    <a:blip r:embed="rId66"/>
                    <a:stretch>
                      <a:fillRect/>
                    </a:stretch>
                  </pic:blipFill>
                  <pic:spPr>
                    <a:xfrm>
                      <a:off x="0" y="0"/>
                      <a:ext cx="5616000" cy="3334500"/>
                    </a:xfrm>
                    <a:prstGeom prst="rect"/>
                  </pic:spPr>
                </pic:pic>
              </a:graphicData>
            </a:graphic>
          </wp:inline>
        </w:drawing>
      </w:r>
    </w:p>
    <w:p>
      <w:pPr>
        <w:spacing w:before="0" w:after="200" w:line="240" w:lineRule="auto"/>
        <w:ind w:firstLine="0"/>
        <w:jc w:val="center"/>
      </w:pPr>
      <w:r>
        <w:rPr>
          <w:rFonts w:ascii="Times New Roman" w:hAnsi="Times New Roman" w:eastAsia="宋体"/>
          <w:b w:val="0"/>
          <w:i w:val="0"/>
          <w:sz w:val="21"/>
        </w:rPr>
        <w:t>图 4-26-2　系统管理 原型页面</w:t>
      </w:r>
    </w:p>
    <w:p>
      <w:pPr>
        <w:spacing w:before="80" w:after="60" w:line="360" w:lineRule="auto"/>
      </w:pPr>
      <w:r>
        <w:rPr>
          <w:rFonts w:ascii="Times New Roman" w:hAnsi="Times New Roman" w:eastAsia="宋体"/>
          <w:b/>
          <w:i w:val="0"/>
          <w:sz w:val="24"/>
        </w:rPr>
        <w:t>页面级说明：</w:t>
      </w: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tblGrid>
      <w:tr>
        <w:trPr>
          <w:tblHeader w:val="true"/>
        </w:trPr>
        <w:tc>
          <w:tcPr>
            <w:tcW w:type="dxa" w:w="1178"/>
            <w:shd w:val="clear" w:color="auto" w:fill="DCE6F1"/>
          </w:tcPr>
          <w:p>
            <w:pPr>
              <w:spacing w:before="40" w:after="40" w:line="276" w:lineRule="auto"/>
              <w:jc w:val="center"/>
            </w:pPr>
            <w:r/>
            <w:r>
              <w:rPr>
                <w:rFonts w:ascii="Times New Roman" w:hAnsi="Times New Roman" w:eastAsia="黑体"/>
                <w:b/>
                <w:i w:val="0"/>
                <w:sz w:val="19"/>
              </w:rPr>
              <w:t>页面</w:t>
            </w:r>
          </w:p>
        </w:tc>
        <w:tc>
          <w:tcPr>
            <w:tcW w:type="dxa" w:w="1531"/>
            <w:shd w:val="clear" w:color="auto" w:fill="DCE6F1"/>
          </w:tcPr>
          <w:p>
            <w:pPr>
              <w:spacing w:before="40" w:after="40" w:line="276" w:lineRule="auto"/>
              <w:jc w:val="center"/>
            </w:pPr>
            <w:r/>
            <w:r>
              <w:rPr>
                <w:rFonts w:ascii="Times New Roman" w:hAnsi="Times New Roman" w:eastAsia="黑体"/>
                <w:b/>
                <w:i w:val="0"/>
                <w:sz w:val="19"/>
              </w:rPr>
              <w:t>原型文件</w:t>
            </w:r>
          </w:p>
        </w:tc>
        <w:tc>
          <w:tcPr>
            <w:tcW w:type="dxa" w:w="1119"/>
            <w:shd w:val="clear" w:color="auto" w:fill="DCE6F1"/>
          </w:tcPr>
          <w:p>
            <w:pPr>
              <w:spacing w:before="40" w:after="40" w:line="276" w:lineRule="auto"/>
              <w:jc w:val="center"/>
            </w:pPr>
            <w:r/>
            <w:r>
              <w:rPr>
                <w:rFonts w:ascii="Times New Roman" w:hAnsi="Times New Roman" w:eastAsia="黑体"/>
                <w:b/>
                <w:i w:val="0"/>
                <w:sz w:val="19"/>
              </w:rPr>
              <w:t>进入方式</w:t>
            </w:r>
          </w:p>
        </w:tc>
        <w:tc>
          <w:tcPr>
            <w:tcW w:type="dxa" w:w="2062"/>
            <w:shd w:val="clear" w:color="auto" w:fill="DCE6F1"/>
          </w:tcPr>
          <w:p>
            <w:pPr>
              <w:spacing w:before="40" w:after="40" w:line="276" w:lineRule="auto"/>
              <w:jc w:val="center"/>
            </w:pPr>
            <w:r/>
            <w:r>
              <w:rPr>
                <w:rFonts w:ascii="Times New Roman" w:hAnsi="Times New Roman" w:eastAsia="黑体"/>
                <w:b/>
                <w:i w:val="0"/>
                <w:sz w:val="19"/>
              </w:rPr>
              <w:t>关键区块</w:t>
            </w:r>
          </w:p>
        </w:tc>
        <w:tc>
          <w:tcPr>
            <w:tcW w:type="dxa" w:w="1767"/>
            <w:shd w:val="clear" w:color="auto" w:fill="DCE6F1"/>
          </w:tcPr>
          <w:p>
            <w:pPr>
              <w:spacing w:before="40" w:after="40" w:line="276" w:lineRule="auto"/>
              <w:jc w:val="center"/>
            </w:pPr>
            <w:r/>
            <w:r>
              <w:rPr>
                <w:rFonts w:ascii="Times New Roman" w:hAnsi="Times New Roman" w:eastAsia="黑体"/>
                <w:b/>
                <w:i w:val="0"/>
                <w:sz w:val="19"/>
              </w:rPr>
              <w:t>主要按钮与行为</w:t>
            </w:r>
          </w:p>
        </w:tc>
        <w:tc>
          <w:tcPr>
            <w:tcW w:type="dxa" w:w="1414"/>
            <w:shd w:val="clear" w:color="auto" w:fill="DCE6F1"/>
          </w:tcPr>
          <w:p>
            <w:pPr>
              <w:spacing w:before="40" w:after="40" w:line="276" w:lineRule="auto"/>
              <w:jc w:val="center"/>
            </w:pPr>
            <w:r/>
            <w:r>
              <w:rPr>
                <w:rFonts w:ascii="Times New Roman" w:hAnsi="Times New Roman" w:eastAsia="黑体"/>
                <w:b/>
                <w:i w:val="0"/>
                <w:sz w:val="19"/>
              </w:rPr>
              <w:t>跳转去向</w:t>
            </w:r>
          </w:p>
        </w:tc>
      </w:tr>
      <w:tr>
        <w:tc>
          <w:tcPr>
            <w:tcW w:type="dxa" w:w="1178"/>
          </w:tcPr>
          <w:p>
            <w:pPr>
              <w:spacing w:before="20" w:after="20" w:line="276" w:lineRule="auto"/>
              <w:ind w:firstLine="0"/>
            </w:pPr>
            <w:r/>
            <w:r>
              <w:rPr>
                <w:rFonts w:ascii="Times New Roman" w:hAnsi="Times New Roman" w:eastAsia="宋体"/>
                <w:b w:val="0"/>
                <w:i w:val="0"/>
                <w:sz w:val="19"/>
              </w:rPr>
              <w:t>库点信息管理</w:t>
            </w:r>
          </w:p>
        </w:tc>
        <w:tc>
          <w:tcPr>
            <w:tcW w:type="dxa" w:w="1531"/>
          </w:tcPr>
          <w:p>
            <w:pPr>
              <w:spacing w:before="20" w:after="20" w:line="276" w:lineRule="auto"/>
              <w:ind w:firstLine="0"/>
            </w:pPr>
            <w:r/>
            <w:r>
              <w:rPr>
                <w:rFonts w:ascii="Times New Roman" w:hAnsi="Times New Roman" w:eastAsia="宋体"/>
                <w:b w:val="0"/>
                <w:i w:val="0"/>
                <w:sz w:val="19"/>
              </w:rPr>
              <w:t>warehouse-point.html</w:t>
            </w:r>
          </w:p>
        </w:tc>
        <w:tc>
          <w:tcPr>
            <w:tcW w:type="dxa" w:w="1119"/>
          </w:tcPr>
          <w:p>
            <w:pPr>
              <w:spacing w:before="20" w:after="20" w:line="276" w:lineRule="auto"/>
              <w:ind w:firstLine="0"/>
            </w:pPr>
            <w:r/>
            <w:r>
              <w:rPr>
                <w:rFonts w:ascii="Times New Roman" w:hAnsi="Times New Roman" w:eastAsia="宋体"/>
                <w:b w:val="0"/>
                <w:i w:val="0"/>
                <w:sz w:val="19"/>
              </w:rPr>
              <w:t>仓储管理 → 系统管理 → 库点信息管理</w:t>
            </w:r>
          </w:p>
        </w:tc>
        <w:tc>
          <w:tcPr>
            <w:tcW w:type="dxa" w:w="2062"/>
          </w:tcPr>
          <w:p>
            <w:pPr>
              <w:spacing w:before="20" w:after="20" w:line="276" w:lineRule="auto"/>
              <w:ind w:firstLine="0"/>
            </w:pPr>
            <w:r/>
            <w:r>
              <w:rPr>
                <w:rFonts w:ascii="Times New Roman" w:hAnsi="Times New Roman" w:eastAsia="宋体"/>
                <w:b w:val="0"/>
                <w:i w:val="0"/>
                <w:sz w:val="19"/>
              </w:rPr>
              <w:t>基础信息表 8 字段、库点平面图与仓储租赁合同 2 个页签、平面图空状态与监控信息入口、仓储租赁合同 11 列表格</w:t>
            </w:r>
          </w:p>
        </w:tc>
        <w:tc>
          <w:tcPr>
            <w:tcW w:type="dxa" w:w="1767"/>
          </w:tcPr>
          <w:p>
            <w:pPr>
              <w:spacing w:before="20" w:after="20" w:line="276" w:lineRule="auto"/>
              <w:ind w:firstLine="0"/>
            </w:pPr>
            <w:r/>
            <w:r>
              <w:rPr>
                <w:rFonts w:ascii="Times New Roman" w:hAnsi="Times New Roman" w:eastAsia="宋体"/>
                <w:b w:val="0"/>
                <w:i w:val="0"/>
                <w:sz w:val="19"/>
              </w:rPr>
              <w:t>编辑库点、上传合同、监控信息、打印机图标、页签切换</w:t>
            </w:r>
          </w:p>
        </w:tc>
        <w:tc>
          <w:tcPr>
            <w:tcW w:type="dxa" w:w="1414"/>
          </w:tcPr>
          <w:p>
            <w:pPr>
              <w:spacing w:before="20" w:after="20" w:line="276" w:lineRule="auto"/>
              <w:ind w:firstLine="0"/>
            </w:pPr>
            <w:r/>
            <w:r>
              <w:rPr>
                <w:rFonts w:ascii="Times New Roman" w:hAnsi="Times New Roman" w:eastAsia="宋体"/>
                <w:b w:val="0"/>
                <w:i w:val="0"/>
                <w:sz w:val="19"/>
              </w:rPr>
              <w:t>页签内切换，不跨页跳转</w:t>
            </w:r>
          </w:p>
        </w:tc>
      </w:tr>
      <w:tr>
        <w:tc>
          <w:tcPr>
            <w:tcW w:type="dxa" w:w="1178"/>
          </w:tcPr>
          <w:p>
            <w:pPr>
              <w:spacing w:before="20" w:after="20" w:line="276" w:lineRule="auto"/>
              <w:ind w:firstLine="0"/>
            </w:pPr>
            <w:r/>
            <w:r>
              <w:rPr>
                <w:rFonts w:ascii="Times New Roman" w:hAnsi="Times New Roman" w:eastAsia="宋体"/>
                <w:b w:val="0"/>
                <w:i w:val="0"/>
                <w:sz w:val="19"/>
              </w:rPr>
              <w:t>仓房管理</w:t>
            </w:r>
          </w:p>
        </w:tc>
        <w:tc>
          <w:tcPr>
            <w:tcW w:type="dxa" w:w="1531"/>
          </w:tcPr>
          <w:p>
            <w:pPr>
              <w:spacing w:before="20" w:after="20" w:line="276" w:lineRule="auto"/>
              <w:ind w:firstLine="0"/>
            </w:pPr>
            <w:r/>
            <w:r>
              <w:rPr>
                <w:rFonts w:ascii="Times New Roman" w:hAnsi="Times New Roman" w:eastAsia="宋体"/>
                <w:b w:val="0"/>
                <w:i w:val="0"/>
                <w:sz w:val="19"/>
              </w:rPr>
              <w:t>warehouse-warehouse.html</w:t>
            </w:r>
          </w:p>
        </w:tc>
        <w:tc>
          <w:tcPr>
            <w:tcW w:type="dxa" w:w="1119"/>
          </w:tcPr>
          <w:p>
            <w:pPr>
              <w:spacing w:before="20" w:after="20" w:line="276" w:lineRule="auto"/>
              <w:ind w:firstLine="0"/>
            </w:pPr>
            <w:r/>
            <w:r>
              <w:rPr>
                <w:rFonts w:ascii="Times New Roman" w:hAnsi="Times New Roman" w:eastAsia="宋体"/>
                <w:b w:val="0"/>
                <w:i w:val="0"/>
                <w:sz w:val="19"/>
              </w:rPr>
              <w:t>仓储管理 → 系统管理 → 仓房管理</w:t>
            </w:r>
          </w:p>
        </w:tc>
        <w:tc>
          <w:tcPr>
            <w:tcW w:type="dxa" w:w="2062"/>
          </w:tcPr>
          <w:p>
            <w:pPr>
              <w:spacing w:before="20" w:after="20" w:line="276" w:lineRule="auto"/>
              <w:ind w:firstLine="0"/>
            </w:pPr>
            <w:r/>
            <w:r>
              <w:rPr>
                <w:rFonts w:ascii="Times New Roman" w:hAnsi="Times New Roman" w:eastAsia="宋体"/>
                <w:b w:val="0"/>
                <w:i w:val="0"/>
                <w:sz w:val="19"/>
              </w:rPr>
              <w:t>仓房名称筛选区、6 列表格（编号、仓房名称、所属货主、备注、巡库任务、操作）、新增与编辑仓房弹窗（仓房名称、备注 2 字段）</w:t>
            </w:r>
          </w:p>
        </w:tc>
        <w:tc>
          <w:tcPr>
            <w:tcW w:type="dxa" w:w="1767"/>
          </w:tcPr>
          <w:p>
            <w:pPr>
              <w:spacing w:before="20" w:after="20" w:line="276" w:lineRule="auto"/>
              <w:ind w:firstLine="0"/>
            </w:pPr>
            <w:r/>
            <w:r>
              <w:rPr>
                <w:rFonts w:ascii="Times New Roman" w:hAnsi="Times New Roman" w:eastAsia="宋体"/>
                <w:b w:val="0"/>
                <w:i w:val="0"/>
                <w:sz w:val="19"/>
              </w:rPr>
              <w:t>新增仓房、行内编辑、货位、巡库任务开关；弹窗内取消与确定</w:t>
            </w:r>
          </w:p>
        </w:tc>
        <w:tc>
          <w:tcPr>
            <w:tcW w:type="dxa" w:w="1414"/>
          </w:tcPr>
          <w:p>
            <w:pPr>
              <w:spacing w:before="20" w:after="20" w:line="276" w:lineRule="auto"/>
              <w:ind w:firstLine="0"/>
            </w:pPr>
            <w:r/>
            <w:r>
              <w:rPr>
                <w:rFonts w:ascii="Times New Roman" w:hAnsi="Times New Roman" w:eastAsia="宋体"/>
                <w:b w:val="0"/>
                <w:i w:val="0"/>
                <w:sz w:val="19"/>
              </w:rPr>
              <w:t>货位操作当前仅给出提示，不跳转独立货位管理页</w:t>
            </w:r>
          </w:p>
        </w:tc>
      </w:tr>
      <w:tr>
        <w:tc>
          <w:tcPr>
            <w:tcW w:type="dxa" w:w="1178"/>
          </w:tcPr>
          <w:p>
            <w:pPr>
              <w:spacing w:before="20" w:after="20" w:line="276" w:lineRule="auto"/>
              <w:ind w:firstLine="0"/>
            </w:pPr>
            <w:r/>
            <w:r>
              <w:rPr>
                <w:rFonts w:ascii="Times New Roman" w:hAnsi="Times New Roman" w:eastAsia="宋体"/>
                <w:b w:val="0"/>
                <w:i w:val="0"/>
                <w:sz w:val="19"/>
              </w:rPr>
              <w:t>品类配置</w:t>
            </w:r>
          </w:p>
        </w:tc>
        <w:tc>
          <w:tcPr>
            <w:tcW w:type="dxa" w:w="1531"/>
          </w:tcPr>
          <w:p>
            <w:pPr>
              <w:spacing w:before="20" w:after="20" w:line="276" w:lineRule="auto"/>
              <w:ind w:firstLine="0"/>
            </w:pPr>
            <w:r/>
            <w:r>
              <w:rPr>
                <w:rFonts w:ascii="Times New Roman" w:hAnsi="Times New Roman" w:eastAsia="宋体"/>
                <w:b w:val="0"/>
                <w:i w:val="0"/>
                <w:sz w:val="19"/>
              </w:rPr>
              <w:t>warehouse-category.html</w:t>
            </w:r>
          </w:p>
        </w:tc>
        <w:tc>
          <w:tcPr>
            <w:tcW w:type="dxa" w:w="1119"/>
          </w:tcPr>
          <w:p>
            <w:pPr>
              <w:spacing w:before="20" w:after="20" w:line="276" w:lineRule="auto"/>
              <w:ind w:firstLine="0"/>
            </w:pPr>
            <w:r/>
            <w:r>
              <w:rPr>
                <w:rFonts w:ascii="Times New Roman" w:hAnsi="Times New Roman" w:eastAsia="宋体"/>
                <w:b w:val="0"/>
                <w:i w:val="0"/>
                <w:sz w:val="19"/>
              </w:rPr>
              <w:t>仓储管理 → 系统管理 → 品类配置</w:t>
            </w:r>
          </w:p>
        </w:tc>
        <w:tc>
          <w:tcPr>
            <w:tcW w:type="dxa" w:w="2062"/>
          </w:tcPr>
          <w:p>
            <w:pPr>
              <w:spacing w:before="20" w:after="20" w:line="276" w:lineRule="auto"/>
              <w:ind w:firstLine="0"/>
            </w:pPr>
            <w:r/>
            <w:r>
              <w:rPr>
                <w:rFonts w:ascii="Times New Roman" w:hAnsi="Times New Roman" w:eastAsia="宋体"/>
                <w:b w:val="0"/>
                <w:i w:val="0"/>
                <w:sz w:val="19"/>
              </w:rPr>
              <w:t>品类名称筛选区、品类列表（编号、品类名称、操作）、展开后的单品名子表</w:t>
            </w:r>
          </w:p>
        </w:tc>
        <w:tc>
          <w:tcPr>
            <w:tcW w:type="dxa" w:w="1767"/>
          </w:tcPr>
          <w:p>
            <w:pPr>
              <w:spacing w:before="20" w:after="20" w:line="276" w:lineRule="auto"/>
              <w:ind w:firstLine="0"/>
            </w:pPr>
            <w:r/>
            <w:r>
              <w:rPr>
                <w:rFonts w:ascii="Times New Roman" w:hAnsi="Times New Roman" w:eastAsia="宋体"/>
                <w:b w:val="0"/>
                <w:i w:val="0"/>
                <w:sz w:val="19"/>
              </w:rPr>
              <w:t>新增品类、批量导入、展开或收起、行内编辑、删除、新增单品名</w:t>
            </w:r>
          </w:p>
        </w:tc>
        <w:tc>
          <w:tcPr>
            <w:tcW w:type="dxa" w:w="1414"/>
          </w:tcPr>
          <w:p>
            <w:pPr>
              <w:spacing w:before="20" w:after="20" w:line="276" w:lineRule="auto"/>
              <w:ind w:firstLine="0"/>
            </w:pPr>
            <w:r/>
            <w:r>
              <w:rPr>
                <w:rFonts w:ascii="Times New Roman" w:hAnsi="Times New Roman" w:eastAsia="宋体"/>
                <w:b w:val="0"/>
                <w:i w:val="0"/>
                <w:sz w:val="19"/>
              </w:rPr>
              <w:t>页面内展开行，不跨页跳转</w:t>
            </w:r>
          </w:p>
        </w:tc>
      </w:tr>
      <w:tr>
        <w:tc>
          <w:tcPr>
            <w:tcW w:type="dxa" w:w="1178"/>
          </w:tcPr>
          <w:p>
            <w:pPr>
              <w:spacing w:before="20" w:after="20" w:line="276" w:lineRule="auto"/>
              <w:ind w:firstLine="0"/>
            </w:pPr>
            <w:r/>
            <w:r>
              <w:rPr>
                <w:rFonts w:ascii="Times New Roman" w:hAnsi="Times New Roman" w:eastAsia="宋体"/>
                <w:b w:val="0"/>
                <w:i w:val="0"/>
                <w:sz w:val="19"/>
              </w:rPr>
              <w:t>系统监控</w:t>
            </w:r>
          </w:p>
        </w:tc>
        <w:tc>
          <w:tcPr>
            <w:tcW w:type="dxa" w:w="1531"/>
          </w:tcPr>
          <w:p>
            <w:pPr>
              <w:spacing w:before="20" w:after="20" w:line="276" w:lineRule="auto"/>
              <w:ind w:firstLine="0"/>
            </w:pPr>
            <w:r/>
            <w:r>
              <w:rPr>
                <w:rFonts w:ascii="Times New Roman" w:hAnsi="Times New Roman" w:eastAsia="宋体"/>
                <w:b w:val="0"/>
                <w:i w:val="0"/>
                <w:sz w:val="19"/>
              </w:rPr>
              <w:t>warehouse-system.html</w:t>
            </w:r>
          </w:p>
        </w:tc>
        <w:tc>
          <w:tcPr>
            <w:tcW w:type="dxa" w:w="1119"/>
          </w:tcPr>
          <w:p>
            <w:pPr>
              <w:spacing w:before="20" w:after="20" w:line="276" w:lineRule="auto"/>
              <w:ind w:firstLine="0"/>
            </w:pPr>
            <w:r/>
            <w:r>
              <w:rPr>
                <w:rFonts w:ascii="Times New Roman" w:hAnsi="Times New Roman" w:eastAsia="宋体"/>
                <w:b w:val="0"/>
                <w:i w:val="0"/>
                <w:sz w:val="19"/>
              </w:rPr>
              <w:t>仓储管理 → 系统管理 → 系统监控</w:t>
            </w:r>
          </w:p>
        </w:tc>
        <w:tc>
          <w:tcPr>
            <w:tcW w:type="dxa" w:w="2062"/>
          </w:tcPr>
          <w:p>
            <w:pPr>
              <w:spacing w:before="20" w:after="20" w:line="276" w:lineRule="auto"/>
              <w:ind w:firstLine="0"/>
            </w:pPr>
            <w:r/>
            <w:r>
              <w:rPr>
                <w:rFonts w:ascii="Times New Roman" w:hAnsi="Times New Roman" w:eastAsia="宋体"/>
                <w:b w:val="0"/>
                <w:i w:val="0"/>
                <w:sz w:val="19"/>
              </w:rPr>
              <w:t>6 个字段筛选区、4 个状态分栏（全部、正常、预警、故障，带计数）、9 列设备状态表格</w:t>
            </w:r>
          </w:p>
        </w:tc>
        <w:tc>
          <w:tcPr>
            <w:tcW w:type="dxa" w:w="1767"/>
          </w:tcPr>
          <w:p>
            <w:pPr>
              <w:spacing w:before="20" w:after="20" w:line="276" w:lineRule="auto"/>
              <w:ind w:firstLine="0"/>
            </w:pPr>
            <w:r/>
            <w:r>
              <w:rPr>
                <w:rFonts w:ascii="Times New Roman" w:hAnsi="Times New Roman" w:eastAsia="宋体"/>
                <w:b w:val="0"/>
                <w:i w:val="0"/>
                <w:sz w:val="19"/>
              </w:rPr>
              <w:t>搜索筛选、状态分栏切换、行内查看详情与查看历史</w:t>
            </w:r>
          </w:p>
        </w:tc>
        <w:tc>
          <w:tcPr>
            <w:tcW w:type="dxa" w:w="1414"/>
          </w:tcPr>
          <w:p>
            <w:pPr>
              <w:spacing w:before="20" w:after="20" w:line="276" w:lineRule="auto"/>
              <w:ind w:firstLine="0"/>
            </w:pPr>
            <w:r/>
            <w:r>
              <w:rPr>
                <w:rFonts w:ascii="Times New Roman" w:hAnsi="Times New Roman" w:eastAsia="宋体"/>
                <w:b w:val="0"/>
                <w:i w:val="0"/>
                <w:sz w:val="19"/>
              </w:rPr>
              <w:t>查看详情 → 视频监控页；查看历史 → 该设备的实时数据与最近上报时间</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4.26.8　验收标准与待确认项</w:t>
      </w:r>
    </w:p>
    <w:tbl>
      <w:tblPr>
        <w:tblStyle w:val="TableGrid"/>
        <w:tblW w:type="auto" w:w="0"/>
        <w:jc w:val="center"/>
        <w:tblLayout w:type="fixed"/>
        <w:tblLook w:firstColumn="1" w:firstRow="1" w:lastColumn="0" w:lastRow="0" w:noHBand="0" w:noVBand="1" w:val="04A0"/>
      </w:tblPr>
      <w:tblGrid>
        <w:gridCol w:w="4479"/>
        <w:gridCol w:w="4479"/>
      </w:tblGrid>
      <w:tr>
        <w:trPr>
          <w:tblHeader w:val="true"/>
        </w:trPr>
        <w:tc>
          <w:tcPr>
            <w:tcW w:type="dxa" w:w="1701"/>
            <w:shd w:val="clear" w:color="auto" w:fill="DCE6F1"/>
          </w:tcPr>
          <w:p>
            <w:pPr>
              <w:spacing w:before="40" w:after="40" w:line="276" w:lineRule="auto"/>
              <w:jc w:val="center"/>
            </w:pPr>
            <w:r/>
            <w:r>
              <w:rPr>
                <w:rFonts w:ascii="Times New Roman" w:hAnsi="Times New Roman" w:eastAsia="黑体"/>
                <w:b/>
                <w:i w:val="0"/>
                <w:sz w:val="21"/>
              </w:rPr>
              <w:t>功能</w:t>
            </w:r>
          </w:p>
        </w:tc>
        <w:tc>
          <w:tcPr>
            <w:tcW w:type="dxa" w:w="7370"/>
            <w:shd w:val="clear" w:color="auto" w:fill="DCE6F1"/>
          </w:tcPr>
          <w:p>
            <w:pPr>
              <w:spacing w:before="40" w:after="40" w:line="276" w:lineRule="auto"/>
              <w:jc w:val="center"/>
            </w:pPr>
            <w:r/>
            <w:r>
              <w:rPr>
                <w:rFonts w:ascii="Times New Roman" w:hAnsi="Times New Roman" w:eastAsia="黑体"/>
                <w:b/>
                <w:i w:val="0"/>
                <w:sz w:val="21"/>
              </w:rPr>
              <w:t>验收要点（由关键规则转写）</w:t>
            </w:r>
          </w:p>
        </w:tc>
      </w:tr>
      <w:tr>
        <w:tc>
          <w:tcPr>
            <w:tcW w:type="dxa" w:w="1701"/>
          </w:tcPr>
          <w:p>
            <w:pPr>
              <w:spacing w:before="20" w:after="20" w:line="276" w:lineRule="auto"/>
              <w:ind w:firstLine="0"/>
            </w:pPr>
            <w:r/>
            <w:r>
              <w:rPr>
                <w:rFonts w:ascii="Times New Roman" w:hAnsi="Times New Roman" w:eastAsia="宋体"/>
                <w:b w:val="0"/>
                <w:i w:val="0"/>
                <w:sz w:val="21"/>
              </w:rPr>
              <w:t>库点信息管理与平面图</w:t>
            </w:r>
          </w:p>
        </w:tc>
        <w:tc>
          <w:tcPr>
            <w:tcW w:type="dxa" w:w="7370"/>
          </w:tcPr>
          <w:p>
            <w:pPr>
              <w:spacing w:before="20" w:after="20" w:line="276" w:lineRule="auto"/>
              <w:ind w:firstLine="0"/>
            </w:pPr>
            <w:r/>
            <w:r>
              <w:rPr>
                <w:rFonts w:ascii="Times New Roman" w:hAnsi="Times New Roman" w:eastAsia="宋体"/>
                <w:b w:val="0"/>
                <w:i w:val="0"/>
                <w:sz w:val="21"/>
              </w:rPr>
              <w:t>顶部基础信息表 8 个字段：库点编号、库点名称、仓储企业、行业、类型、库点联系人、联系人手机号、地址；页面分 2 个页签：库点平面图与仓储租赁合同；平面图未配置时展示未配置平面图信息的空状态并提供监控信息入口</w:t>
            </w:r>
          </w:p>
        </w:tc>
      </w:tr>
      <w:tr>
        <w:tc>
          <w:tcPr>
            <w:tcW w:type="dxa" w:w="1701"/>
          </w:tcPr>
          <w:p>
            <w:pPr>
              <w:spacing w:before="20" w:after="20" w:line="276" w:lineRule="auto"/>
              <w:ind w:firstLine="0"/>
            </w:pPr>
            <w:r/>
            <w:r>
              <w:rPr>
                <w:rFonts w:ascii="Times New Roman" w:hAnsi="Times New Roman" w:eastAsia="宋体"/>
                <w:b w:val="0"/>
                <w:i w:val="0"/>
                <w:sz w:val="21"/>
              </w:rPr>
              <w:t>仓储租赁合同管理</w:t>
            </w:r>
          </w:p>
        </w:tc>
        <w:tc>
          <w:tcPr>
            <w:tcW w:type="dxa" w:w="7370"/>
          </w:tcPr>
          <w:p>
            <w:pPr>
              <w:spacing w:before="20" w:after="20" w:line="276" w:lineRule="auto"/>
              <w:ind w:firstLine="0"/>
            </w:pPr>
            <w:r/>
            <w:r>
              <w:rPr>
                <w:rFonts w:ascii="Times New Roman" w:hAnsi="Times New Roman" w:eastAsia="宋体"/>
                <w:b w:val="0"/>
                <w:i w:val="0"/>
                <w:sz w:val="21"/>
              </w:rPr>
              <w:t>合同表格 11 列：合同编号、库点名称、合同状态、签订日期、生效日期、业务实际负责人、签章状态、仓储方名称、承租方名称、付费方名称、操作；支持上传合同文件</w:t>
            </w:r>
          </w:p>
        </w:tc>
      </w:tr>
      <w:tr>
        <w:tc>
          <w:tcPr>
            <w:tcW w:type="dxa" w:w="1701"/>
          </w:tcPr>
          <w:p>
            <w:pPr>
              <w:spacing w:before="20" w:after="20" w:line="276" w:lineRule="auto"/>
              <w:ind w:firstLine="0"/>
            </w:pPr>
            <w:r/>
            <w:r>
              <w:rPr>
                <w:rFonts w:ascii="Times New Roman" w:hAnsi="Times New Roman" w:eastAsia="宋体"/>
                <w:b w:val="0"/>
                <w:i w:val="0"/>
                <w:sz w:val="21"/>
              </w:rPr>
              <w:t>库点删除校验</w:t>
            </w:r>
          </w:p>
        </w:tc>
        <w:tc>
          <w:tcPr>
            <w:tcW w:type="dxa" w:w="7370"/>
          </w:tcPr>
          <w:p>
            <w:pPr>
              <w:spacing w:before="20" w:after="20" w:line="276" w:lineRule="auto"/>
              <w:ind w:firstLine="0"/>
            </w:pPr>
            <w:r/>
            <w:r>
              <w:rPr>
                <w:rFonts w:ascii="Times New Roman" w:hAnsi="Times New Roman" w:eastAsia="宋体"/>
                <w:b w:val="0"/>
                <w:i w:val="0"/>
                <w:sz w:val="21"/>
              </w:rPr>
              <w:t>库点下有仓房时删除被拒绝，红字提示该库点有 N 个仓房无法删除；联系电话按 11 位手机号格式校验；库点名称必填，库点类型为自营仓、第三方仓、监管仓</w:t>
            </w:r>
          </w:p>
        </w:tc>
      </w:tr>
      <w:tr>
        <w:tc>
          <w:tcPr>
            <w:tcW w:type="dxa" w:w="1701"/>
          </w:tcPr>
          <w:p>
            <w:pPr>
              <w:spacing w:before="20" w:after="20" w:line="276" w:lineRule="auto"/>
              <w:ind w:firstLine="0"/>
            </w:pPr>
            <w:r/>
            <w:r>
              <w:rPr>
                <w:rFonts w:ascii="Times New Roman" w:hAnsi="Times New Roman" w:eastAsia="宋体"/>
                <w:b w:val="0"/>
                <w:i w:val="0"/>
                <w:sz w:val="21"/>
              </w:rPr>
              <w:t>仓房管理与新增仓房</w:t>
            </w:r>
          </w:p>
        </w:tc>
        <w:tc>
          <w:tcPr>
            <w:tcW w:type="dxa" w:w="7370"/>
          </w:tcPr>
          <w:p>
            <w:pPr>
              <w:spacing w:before="20" w:after="20" w:line="276" w:lineRule="auto"/>
              <w:ind w:firstLine="0"/>
            </w:pPr>
            <w:r/>
            <w:r>
              <w:rPr>
                <w:rFonts w:ascii="Times New Roman" w:hAnsi="Times New Roman" w:eastAsia="宋体"/>
                <w:b w:val="0"/>
                <w:i w:val="0"/>
                <w:sz w:val="21"/>
              </w:rPr>
              <w:t>仓房名称必填，备注上限 200 字，同一库点下仓房名称不可重复；仓房类型为平房仓、楼房仓、筒仓、其他；容积为必填数字且不小于 0；货位数与当前库存由系统统计为只读；列表含编号、仓房名称、所属货主、备注、巡库任务、操作 6 列</w:t>
            </w:r>
          </w:p>
        </w:tc>
      </w:tr>
      <w:tr>
        <w:tc>
          <w:tcPr>
            <w:tcW w:type="dxa" w:w="1701"/>
          </w:tcPr>
          <w:p>
            <w:pPr>
              <w:spacing w:before="20" w:after="20" w:line="276" w:lineRule="auto"/>
              <w:ind w:firstLine="0"/>
            </w:pPr>
            <w:r/>
            <w:r>
              <w:rPr>
                <w:rFonts w:ascii="Times New Roman" w:hAnsi="Times New Roman" w:eastAsia="宋体"/>
                <w:b w:val="0"/>
                <w:i w:val="0"/>
                <w:sz w:val="21"/>
              </w:rPr>
              <w:t>货位管理</w:t>
            </w:r>
          </w:p>
        </w:tc>
        <w:tc>
          <w:tcPr>
            <w:tcW w:type="dxa" w:w="7370"/>
          </w:tcPr>
          <w:p>
            <w:pPr>
              <w:spacing w:before="20" w:after="20" w:line="276" w:lineRule="auto"/>
              <w:ind w:firstLine="0"/>
            </w:pPr>
            <w:r/>
            <w:r>
              <w:rPr>
                <w:rFonts w:ascii="Times New Roman" w:hAnsi="Times New Roman" w:eastAsia="宋体"/>
                <w:b w:val="0"/>
                <w:i w:val="0"/>
                <w:sz w:val="21"/>
              </w:rPr>
              <w:t>货位名称必填，同一仓房下不可重复；货位容积必填且不得使货位容积合计大于仓房容积；占用状态分为空、部分占用、满并由系统统计；已被占用的货位不可删除</w:t>
            </w:r>
          </w:p>
        </w:tc>
      </w:tr>
      <w:tr>
        <w:tc>
          <w:tcPr>
            <w:tcW w:type="dxa" w:w="1701"/>
          </w:tcPr>
          <w:p>
            <w:pPr>
              <w:spacing w:before="20" w:after="20" w:line="276" w:lineRule="auto"/>
              <w:ind w:firstLine="0"/>
            </w:pPr>
            <w:r/>
            <w:r>
              <w:rPr>
                <w:rFonts w:ascii="Times New Roman" w:hAnsi="Times New Roman" w:eastAsia="宋体"/>
                <w:b w:val="0"/>
                <w:i w:val="0"/>
                <w:sz w:val="21"/>
              </w:rPr>
              <w:t>品类与单品名二级配置</w:t>
            </w:r>
          </w:p>
        </w:tc>
        <w:tc>
          <w:tcPr>
            <w:tcW w:type="dxa" w:w="7370"/>
          </w:tcPr>
          <w:p>
            <w:pPr>
              <w:spacing w:before="20" w:after="20" w:line="276" w:lineRule="auto"/>
              <w:ind w:firstLine="0"/>
            </w:pPr>
            <w:r/>
            <w:r>
              <w:rPr>
                <w:rFonts w:ascii="Times New Roman" w:hAnsi="Times New Roman" w:eastAsia="宋体"/>
                <w:b w:val="0"/>
                <w:i w:val="0"/>
                <w:sz w:val="21"/>
              </w:rPr>
              <w:t>品类名称必填且不可重复；单品名在同一品类下不可重复并绑定默认计量单位（吨、件、支）；支持 Excel 批量导入，单次不超过 100 行；支持展开行查看与维护单品名</w:t>
            </w:r>
          </w:p>
        </w:tc>
      </w:tr>
      <w:tr>
        <w:tc>
          <w:tcPr>
            <w:tcW w:type="dxa" w:w="1701"/>
          </w:tcPr>
          <w:p>
            <w:pPr>
              <w:spacing w:before="20" w:after="20" w:line="276" w:lineRule="auto"/>
              <w:ind w:firstLine="0"/>
            </w:pPr>
            <w:r/>
            <w:r>
              <w:rPr>
                <w:rFonts w:ascii="Times New Roman" w:hAnsi="Times New Roman" w:eastAsia="宋体"/>
                <w:b w:val="0"/>
                <w:i w:val="0"/>
                <w:sz w:val="21"/>
              </w:rPr>
              <w:t>基础数据引用保护</w:t>
            </w:r>
          </w:p>
        </w:tc>
        <w:tc>
          <w:tcPr>
            <w:tcW w:type="dxa" w:w="7370"/>
          </w:tcPr>
          <w:p>
            <w:pPr>
              <w:spacing w:before="20" w:after="20" w:line="276" w:lineRule="auto"/>
              <w:ind w:firstLine="0"/>
            </w:pPr>
            <w:r/>
            <w:r>
              <w:rPr>
                <w:rFonts w:ascii="Times New Roman" w:hAnsi="Times New Roman" w:eastAsia="宋体"/>
                <w:b w:val="0"/>
                <w:i w:val="0"/>
                <w:sz w:val="21"/>
              </w:rPr>
              <w:t>删除被引用的品类时红字提示该品类被 N 笔业务引用无法删除；删除被引用的单品名时同样按引用数拦截；合同已签订或入库已登记后，关联的单品名不可删除</w:t>
            </w:r>
          </w:p>
        </w:tc>
      </w:tr>
      <w:tr>
        <w:tc>
          <w:tcPr>
            <w:tcW w:type="dxa" w:w="1701"/>
          </w:tcPr>
          <w:p>
            <w:pPr>
              <w:spacing w:before="20" w:after="20" w:line="276" w:lineRule="auto"/>
              <w:ind w:firstLine="0"/>
            </w:pPr>
            <w:r/>
            <w:r>
              <w:rPr>
                <w:rFonts w:ascii="Times New Roman" w:hAnsi="Times New Roman" w:eastAsia="宋体"/>
                <w:b w:val="0"/>
                <w:i w:val="0"/>
                <w:sz w:val="21"/>
              </w:rPr>
              <w:t>设备状态监控与异常预警</w:t>
            </w:r>
          </w:p>
        </w:tc>
        <w:tc>
          <w:tcPr>
            <w:tcW w:type="dxa" w:w="7370"/>
          </w:tcPr>
          <w:p>
            <w:pPr>
              <w:spacing w:before="20" w:after="20" w:line="276" w:lineRule="auto"/>
              <w:ind w:firstLine="0"/>
            </w:pPr>
            <w:r/>
            <w:r>
              <w:rPr>
                <w:rFonts w:ascii="Times New Roman" w:hAnsi="Times New Roman" w:eastAsia="宋体"/>
                <w:b w:val="0"/>
                <w:i w:val="0"/>
                <w:sz w:val="21"/>
              </w:rPr>
              <w:t>筛选区 6 个字段：设备编号、所属仓库、设备类型、运行状态、安装位置、更新时间；状态分栏 4 个：全部、正常、预警、故障并带计数；表格 9 列含设备编号、所属仓库、设备类型、安装位置、实时数据、运行状态、最后心跳、固件版本、IP 地址；设备离线超过 1 小时在顶部红色 bar 提示，温湿度超阈值以红色字显示并自动触发预警，多设备同时离线提示可能存在网络问题；告警阈值固定在代码层，不提供可配置界面</w:t>
            </w:r>
          </w:p>
        </w:tc>
      </w:tr>
    </w:tbl>
    <w:p>
      <w:pPr>
        <w:spacing w:before="0" w:after="0" w:line="240" w:lineRule="auto"/>
      </w:pPr>
    </w:p>
    <w:p>
      <w:pPr>
        <w:spacing w:before="120" w:after="60" w:line="360" w:lineRule="auto"/>
      </w:pPr>
      <w:r>
        <w:rPr>
          <w:rFonts w:ascii="Times New Roman" w:hAnsi="Times New Roman" w:eastAsia="宋体"/>
          <w:b/>
          <w:i w:val="0"/>
          <w:sz w:val="24"/>
        </w:rPr>
        <w:t>待业务方确认：</w:t>
      </w:r>
    </w:p>
    <w:p>
      <w:pPr>
        <w:spacing w:before="0" w:after="60" w:line="336" w:lineRule="auto"/>
        <w:ind w:left="340" w:firstLine="0"/>
      </w:pPr>
      <w:r>
        <w:rPr>
          <w:rFonts w:ascii="Times New Roman" w:hAnsi="Times New Roman" w:eastAsia="宋体"/>
          <w:b w:val="0"/>
          <w:i w:val="0"/>
          <w:sz w:val="24"/>
        </w:rPr>
        <w:t>· 待业务方确认：顶层实体的最终命名统一为库点还是保留仓库（站台）口径，以及早期仓库类型枚举与品类配置的关系是否并存</w:t>
      </w:r>
    </w:p>
    <w:p>
      <w:pPr>
        <w:spacing w:before="0" w:after="60" w:line="336" w:lineRule="auto"/>
        <w:ind w:left="340" w:firstLine="0"/>
      </w:pPr>
      <w:r>
        <w:rPr>
          <w:rFonts w:ascii="Times New Roman" w:hAnsi="Times New Roman" w:eastAsia="宋体"/>
          <w:b w:val="0"/>
          <w:i w:val="0"/>
          <w:sz w:val="24"/>
        </w:rPr>
        <w:t>· 待业务方确认：仓房管理下是否建设独立的货位管理页，当前货位操作仅给出提示</w:t>
      </w:r>
    </w:p>
    <w:p>
      <w:pPr>
        <w:spacing w:before="0" w:after="60" w:line="336" w:lineRule="auto"/>
        <w:ind w:left="340" w:firstLine="0"/>
      </w:pPr>
      <w:r>
        <w:rPr>
          <w:rFonts w:ascii="Times New Roman" w:hAnsi="Times New Roman" w:eastAsia="宋体"/>
          <w:b w:val="0"/>
          <w:i w:val="0"/>
          <w:sz w:val="24"/>
        </w:rPr>
        <w:t>· 待业务方确认：系统监控页顶部统计卡片的指标口径与是否随筛选条件联动</w:t>
      </w:r>
    </w:p>
    <w:p>
      <w:pPr>
        <w:spacing w:before="0" w:after="60" w:line="336" w:lineRule="auto"/>
        <w:ind w:left="340" w:firstLine="0"/>
      </w:pPr>
      <w:r>
        <w:rPr>
          <w:rFonts w:ascii="Times New Roman" w:hAnsi="Times New Roman" w:eastAsia="宋体"/>
          <w:b w:val="0"/>
          <w:i w:val="0"/>
          <w:sz w:val="24"/>
        </w:rPr>
        <w:t>· 待业务方确认：库点平面图的配置方式与监控信息的数据来源，以及平面图未配置时的后续补录路径</w:t>
      </w:r>
    </w:p>
    <w:p>
      <w:pPr>
        <w:spacing w:before="0" w:after="60" w:line="336" w:lineRule="auto"/>
        <w:ind w:left="340" w:firstLine="0"/>
      </w:pPr>
      <w:r>
        <w:rPr>
          <w:rFonts w:ascii="Times New Roman" w:hAnsi="Times New Roman" w:eastAsia="宋体"/>
          <w:b w:val="0"/>
          <w:i w:val="0"/>
          <w:sz w:val="24"/>
        </w:rPr>
        <w:t>· 待业务方确认：仓储租赁合同的文件格式与容量限制，以及签章状态的取值枚举</w:t>
      </w:r>
    </w:p>
    <w:p>
      <w:pPr>
        <w:spacing w:before="0" w:after="60" w:line="336" w:lineRule="auto"/>
        <w:ind w:left="340" w:firstLine="0"/>
      </w:pPr>
      <w:r>
        <w:rPr>
          <w:rFonts w:ascii="Times New Roman" w:hAnsi="Times New Roman" w:eastAsia="宋体"/>
          <w:b w:val="0"/>
          <w:i w:val="0"/>
          <w:sz w:val="24"/>
        </w:rPr>
        <w:t>· 待业务方确认：温湿度等设备告警阈值的具体取值，以及是否固定在代码层、不提供可配置界面</w:t>
      </w:r>
    </w:p>
    <w:p>
      <w:pPr>
        <w:spacing w:before="0" w:after="60" w:line="336" w:lineRule="auto"/>
        <w:ind w:left="340" w:firstLine="0"/>
      </w:pPr>
      <w:r>
        <w:rPr>
          <w:rFonts w:ascii="Times New Roman" w:hAnsi="Times New Roman" w:eastAsia="宋体"/>
          <w:b w:val="0"/>
          <w:i w:val="0"/>
          <w:sz w:val="24"/>
        </w:rPr>
        <w:t>· 待业务方确认：品类批量导入模板的字段结构与错误明细的下载形式</w:t>
      </w:r>
    </w:p>
    <w:p>
      <w:r>
        <w:br w:type="page"/>
      </w:r>
    </w:p>
    <w:p>
      <w:pPr>
        <w:pStyle w:val="Heading2"/>
        <w:keepNext/>
        <w:spacing w:before="240" w:after="120" w:line="312" w:lineRule="auto"/>
        <w:ind w:firstLine="0"/>
      </w:pPr>
      <w:r>
        <w:rPr>
          <w:rFonts w:ascii="Times New Roman" w:hAnsi="Times New Roman" w:eastAsia="黑体"/>
          <w:b/>
          <w:i w:val="0"/>
          <w:sz w:val="28"/>
        </w:rPr>
        <w:t>4.27　预警管理</w:t>
      </w:r>
    </w:p>
    <w:p>
      <w:pPr>
        <w:spacing w:before="0" w:after="160" w:line="360" w:lineRule="auto"/>
      </w:pPr>
      <w:r>
        <w:rPr>
          <w:rFonts w:ascii="Times New Roman" w:hAnsi="Times New Roman" w:eastAsia="宋体"/>
          <w:b w:val="0"/>
          <w:i w:val="0"/>
          <w:color w:val="595959"/>
          <w:sz w:val="21"/>
        </w:rPr>
        <w:t>菜单路径：预警中心 / 预警管理</w:t>
      </w:r>
    </w:p>
    <w:p>
      <w:pPr>
        <w:pStyle w:val="Heading3"/>
        <w:keepNext/>
        <w:spacing w:before="160" w:after="80" w:line="312" w:lineRule="auto"/>
        <w:ind w:firstLine="0"/>
      </w:pPr>
      <w:r>
        <w:rPr>
          <w:rFonts w:ascii="Times New Roman" w:hAnsi="Times New Roman" w:eastAsia="黑体"/>
          <w:b/>
          <w:i w:val="0"/>
          <w:sz w:val="24"/>
        </w:rPr>
        <w:t>4.27.1　一页结论</w:t>
      </w:r>
    </w:p>
    <w:p>
      <w:pPr>
        <w:spacing w:before="0" w:after="120" w:line="360" w:lineRule="auto"/>
      </w:pPr>
      <w:r>
        <w:rPr>
          <w:rFonts w:ascii="Times New Roman" w:hAnsi="Times New Roman" w:eastAsia="宋体"/>
          <w:b w:val="0"/>
          <w:i w:val="0"/>
          <w:sz w:val="24"/>
        </w:rPr>
        <w:t>按企业监控、交易监控、价格波动三类归集平台产生的预警信号，统一查看预警总量与超期情况，并完成认领、处置、审批与解除闭环。</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928"/>
            <w:shd w:val="clear" w:color="auto" w:fill="DCE6F1"/>
          </w:tcPr>
          <w:p>
            <w:pPr>
              <w:spacing w:before="40" w:after="40" w:line="276" w:lineRule="auto"/>
              <w:jc w:val="center"/>
            </w:pPr>
            <w:r/>
            <w:r>
              <w:rPr>
                <w:rFonts w:ascii="Times New Roman" w:hAnsi="Times New Roman" w:eastAsia="黑体"/>
                <w:b/>
                <w:i w:val="0"/>
                <w:sz w:val="21"/>
              </w:rPr>
              <w:t>问题</w:t>
            </w:r>
          </w:p>
        </w:tc>
        <w:tc>
          <w:tcPr>
            <w:tcW w:type="dxa" w:w="3572"/>
            <w:shd w:val="clear" w:color="auto" w:fill="DCE6F1"/>
          </w:tcPr>
          <w:p>
            <w:pPr>
              <w:spacing w:before="40" w:after="40" w:line="276" w:lineRule="auto"/>
              <w:jc w:val="center"/>
            </w:pPr>
            <w:r/>
            <w:r>
              <w:rPr>
                <w:rFonts w:ascii="Times New Roman" w:hAnsi="Times New Roman" w:eastAsia="黑体"/>
                <w:b/>
                <w:i w:val="0"/>
                <w:sz w:val="21"/>
              </w:rPr>
              <w:t>当前做法</w:t>
            </w:r>
          </w:p>
        </w:tc>
        <w:tc>
          <w:tcPr>
            <w:tcW w:type="dxa" w:w="3572"/>
            <w:shd w:val="clear" w:color="auto" w:fill="DCE6F1"/>
          </w:tcPr>
          <w:p>
            <w:pPr>
              <w:spacing w:before="40" w:after="40" w:line="276" w:lineRule="auto"/>
              <w:jc w:val="center"/>
            </w:pPr>
            <w:r/>
            <w:r>
              <w:rPr>
                <w:rFonts w:ascii="Times New Roman" w:hAnsi="Times New Roman" w:eastAsia="黑体"/>
                <w:b/>
                <w:i w:val="0"/>
                <w:sz w:val="21"/>
              </w:rPr>
              <w:t>本模块解法</w:t>
            </w:r>
          </w:p>
        </w:tc>
      </w:tr>
      <w:tr>
        <w:tc>
          <w:tcPr>
            <w:tcW w:type="dxa" w:w="1928"/>
          </w:tcPr>
          <w:p>
            <w:pPr>
              <w:spacing w:before="20" w:after="20" w:line="276" w:lineRule="auto"/>
              <w:ind w:firstLine="0"/>
            </w:pPr>
            <w:r/>
            <w:r>
              <w:rPr>
                <w:rFonts w:ascii="Times New Roman" w:hAnsi="Times New Roman" w:eastAsia="宋体"/>
                <w:b w:val="0"/>
                <w:i w:val="0"/>
                <w:sz w:val="21"/>
              </w:rPr>
              <w:t>预警信号分散在不同业务模块，缺少统一入口</w:t>
            </w:r>
          </w:p>
        </w:tc>
        <w:tc>
          <w:tcPr>
            <w:tcW w:type="dxa" w:w="3572"/>
          </w:tcPr>
          <w:p>
            <w:pPr>
              <w:spacing w:before="20" w:after="20" w:line="276" w:lineRule="auto"/>
              <w:ind w:firstLine="0"/>
            </w:pPr>
            <w:r/>
            <w:r>
              <w:rPr>
                <w:rFonts w:ascii="Times New Roman" w:hAnsi="Times New Roman" w:eastAsia="宋体"/>
                <w:b w:val="0"/>
                <w:i w:val="0"/>
                <w:sz w:val="21"/>
              </w:rPr>
              <w:t>客户风险、合同超期、指数波动各自在对应模块或外部系统查看，管理层无法一眼掌握全局风险</w:t>
            </w:r>
          </w:p>
        </w:tc>
        <w:tc>
          <w:tcPr>
            <w:tcW w:type="dxa" w:w="3572"/>
          </w:tcPr>
          <w:p>
            <w:pPr>
              <w:spacing w:before="20" w:after="20" w:line="276" w:lineRule="auto"/>
              <w:ind w:firstLine="0"/>
            </w:pPr>
            <w:r/>
            <w:r>
              <w:rPr>
                <w:rFonts w:ascii="Times New Roman" w:hAnsi="Times New Roman" w:eastAsia="宋体"/>
                <w:b w:val="0"/>
                <w:i w:val="0"/>
                <w:sz w:val="21"/>
              </w:rPr>
              <w:t>预警管理按企业监控、交易监控、价格波动 3 个页签归集全部预警信号，并在顶部提供 3 张概览卡片</w:t>
            </w:r>
          </w:p>
        </w:tc>
      </w:tr>
      <w:tr>
        <w:tc>
          <w:tcPr>
            <w:tcW w:type="dxa" w:w="1928"/>
          </w:tcPr>
          <w:p>
            <w:pPr>
              <w:spacing w:before="20" w:after="20" w:line="276" w:lineRule="auto"/>
              <w:ind w:firstLine="0"/>
            </w:pPr>
            <w:r/>
            <w:r>
              <w:rPr>
                <w:rFonts w:ascii="Times New Roman" w:hAnsi="Times New Roman" w:eastAsia="宋体"/>
                <w:b w:val="0"/>
                <w:i w:val="0"/>
                <w:sz w:val="21"/>
              </w:rPr>
              <w:t>预警产生后无人认领，处置责任不清</w:t>
            </w:r>
          </w:p>
        </w:tc>
        <w:tc>
          <w:tcPr>
            <w:tcW w:type="dxa" w:w="3572"/>
          </w:tcPr>
          <w:p>
            <w:pPr>
              <w:spacing w:before="20" w:after="20" w:line="276" w:lineRule="auto"/>
              <w:ind w:firstLine="0"/>
            </w:pPr>
            <w:r/>
            <w:r>
              <w:rPr>
                <w:rFonts w:ascii="Times New Roman" w:hAnsi="Times New Roman" w:eastAsia="宋体"/>
                <w:b w:val="0"/>
                <w:i w:val="0"/>
                <w:sz w:val="21"/>
              </w:rPr>
              <w:t>预警发出后靠邮件或口头传达跟进人，无人认领的预警长期挂在待处理里</w:t>
            </w:r>
          </w:p>
        </w:tc>
        <w:tc>
          <w:tcPr>
            <w:tcW w:type="dxa" w:w="3572"/>
          </w:tcPr>
          <w:p>
            <w:pPr>
              <w:spacing w:before="20" w:after="20" w:line="276" w:lineRule="auto"/>
              <w:ind w:firstLine="0"/>
            </w:pPr>
            <w:r/>
            <w:r>
              <w:rPr>
                <w:rFonts w:ascii="Times New Roman" w:hAnsi="Times New Roman" w:eastAsia="宋体"/>
                <w:b w:val="0"/>
                <w:i w:val="0"/>
                <w:sz w:val="21"/>
              </w:rPr>
              <w:t>预警列表提供认领与处置动作，认领后状态转为已跟进并记录处理人与处置意见</w:t>
            </w:r>
          </w:p>
        </w:tc>
      </w:tr>
      <w:tr>
        <w:tc>
          <w:tcPr>
            <w:tcW w:type="dxa" w:w="1928"/>
          </w:tcPr>
          <w:p>
            <w:pPr>
              <w:spacing w:before="20" w:after="20" w:line="276" w:lineRule="auto"/>
              <w:ind w:firstLine="0"/>
            </w:pPr>
            <w:r/>
            <w:r>
              <w:rPr>
                <w:rFonts w:ascii="Times New Roman" w:hAnsi="Times New Roman" w:eastAsia="宋体"/>
                <w:b w:val="0"/>
                <w:i w:val="0"/>
                <w:sz w:val="21"/>
              </w:rPr>
              <w:t>超期未处理的预警没有升级机制，风险被静默积压</w:t>
            </w:r>
          </w:p>
        </w:tc>
        <w:tc>
          <w:tcPr>
            <w:tcW w:type="dxa" w:w="3572"/>
          </w:tcPr>
          <w:p>
            <w:pPr>
              <w:spacing w:before="20" w:after="20" w:line="276" w:lineRule="auto"/>
              <w:ind w:firstLine="0"/>
            </w:pPr>
            <w:r/>
            <w:r>
              <w:rPr>
                <w:rFonts w:ascii="Times New Roman" w:hAnsi="Times New Roman" w:eastAsia="宋体"/>
                <w:b w:val="0"/>
                <w:i w:val="0"/>
                <w:sz w:val="21"/>
              </w:rPr>
              <w:t>预警超过一定天数没有明显标识，也没有升级通知动作</w:t>
            </w:r>
          </w:p>
        </w:tc>
        <w:tc>
          <w:tcPr>
            <w:tcW w:type="dxa" w:w="3572"/>
          </w:tcPr>
          <w:p>
            <w:pPr>
              <w:spacing w:before="20" w:after="20" w:line="276" w:lineRule="auto"/>
              <w:ind w:firstLine="0"/>
            </w:pPr>
            <w:r/>
            <w:r>
              <w:rPr>
                <w:rFonts w:ascii="Times New Roman" w:hAnsi="Times New Roman" w:eastAsia="宋体"/>
                <w:b w:val="0"/>
                <w:i w:val="0"/>
                <w:sz w:val="21"/>
              </w:rPr>
              <w:t>系统按预警日期自动计算超 7 日标记，超过 7 日仍未处理时升级通知到上级并单独提供超期页签统计</w:t>
            </w:r>
          </w:p>
        </w:tc>
      </w:tr>
      <w:tr>
        <w:tc>
          <w:tcPr>
            <w:tcW w:type="dxa" w:w="1928"/>
          </w:tcPr>
          <w:p>
            <w:pPr>
              <w:spacing w:before="20" w:after="20" w:line="276" w:lineRule="auto"/>
              <w:ind w:firstLine="0"/>
            </w:pPr>
            <w:r/>
            <w:r>
              <w:rPr>
                <w:rFonts w:ascii="Times New Roman" w:hAnsi="Times New Roman" w:eastAsia="宋体"/>
                <w:b w:val="0"/>
                <w:i w:val="0"/>
                <w:sz w:val="21"/>
              </w:rPr>
              <w:t>重复触发产生大量重复预警，淹没真实风险</w:t>
            </w:r>
          </w:p>
        </w:tc>
        <w:tc>
          <w:tcPr>
            <w:tcW w:type="dxa" w:w="3572"/>
          </w:tcPr>
          <w:p>
            <w:pPr>
              <w:spacing w:before="20" w:after="20" w:line="276" w:lineRule="auto"/>
              <w:ind w:firstLine="0"/>
            </w:pPr>
            <w:r/>
            <w:r>
              <w:rPr>
                <w:rFonts w:ascii="Times New Roman" w:hAnsi="Times New Roman" w:eastAsia="宋体"/>
                <w:b w:val="0"/>
                <w:i w:val="0"/>
                <w:sz w:val="21"/>
              </w:rPr>
              <w:t>同一规则在短时间内多次命中时逐条生成信号，列表噪声大</w:t>
            </w:r>
          </w:p>
        </w:tc>
        <w:tc>
          <w:tcPr>
            <w:tcW w:type="dxa" w:w="3572"/>
          </w:tcPr>
          <w:p>
            <w:pPr>
              <w:spacing w:before="20" w:after="20" w:line="276" w:lineRule="auto"/>
              <w:ind w:firstLine="0"/>
            </w:pPr>
            <w:r/>
            <w:r>
              <w:rPr>
                <w:rFonts w:ascii="Times New Roman" w:hAnsi="Times New Roman" w:eastAsia="宋体"/>
                <w:b w:val="0"/>
                <w:i w:val="0"/>
                <w:sz w:val="21"/>
              </w:rPr>
              <w:t>同一规则 24 小时内重复触发时合并为 1 条信号并记录触发次数提示</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4.27.2　背景与目标</w:t>
      </w:r>
    </w:p>
    <w:tbl>
      <w:tblPr>
        <w:tblStyle w:val="TableGrid"/>
        <w:tblW w:type="auto" w:w="0"/>
        <w:jc w:val="center"/>
        <w:tblLayout w:type="fixed"/>
        <w:tblLook w:firstColumn="1" w:firstRow="1" w:lastColumn="0" w:lastRow="0" w:noHBand="0" w:noVBand="1" w:val="04A0"/>
      </w:tblPr>
      <w:tblGrid>
        <w:gridCol w:w="8958"/>
      </w:tblGrid>
      <w:tr>
        <w:trPr>
          <w:tblHeader w:val="true"/>
        </w:trPr>
        <w:tc>
          <w:tcPr>
            <w:tcW w:type="dxa" w:w="9071"/>
            <w:shd w:val="clear" w:color="auto" w:fill="DCE6F1"/>
          </w:tcPr>
          <w:p>
            <w:pPr>
              <w:spacing w:before="40" w:after="40" w:line="276" w:lineRule="auto"/>
              <w:jc w:val="center"/>
            </w:pPr>
            <w:r/>
            <w:r>
              <w:rPr>
                <w:rFonts w:ascii="Times New Roman" w:hAnsi="Times New Roman" w:eastAsia="黑体"/>
                <w:b/>
                <w:i w:val="0"/>
                <w:sz w:val="21"/>
              </w:rPr>
              <w:t>目标 / 衡量口径</w:t>
            </w:r>
          </w:p>
        </w:tc>
      </w:tr>
      <w:tr>
        <w:tc>
          <w:tcPr>
            <w:tcW w:type="dxa" w:w="9071"/>
          </w:tcPr>
          <w:p>
            <w:pPr>
              <w:spacing w:before="20" w:after="20" w:line="276" w:lineRule="auto"/>
              <w:ind w:firstLine="0"/>
            </w:pPr>
            <w:r/>
            <w:r>
              <w:rPr>
                <w:rFonts w:ascii="Times New Roman" w:hAnsi="Times New Roman" w:eastAsia="宋体"/>
                <w:b w:val="0"/>
                <w:i w:val="0"/>
                <w:sz w:val="21"/>
              </w:rPr>
              <w:t>企业监控、交易监控、价格波动三类预警在同一页面集中查询，3 个页签各自拥有独立的筛选区、状态页签与表格</w:t>
            </w:r>
          </w:p>
        </w:tc>
      </w:tr>
      <w:tr>
        <w:tc>
          <w:tcPr>
            <w:tcW w:type="dxa" w:w="9071"/>
          </w:tcPr>
          <w:p>
            <w:pPr>
              <w:spacing w:before="20" w:after="20" w:line="276" w:lineRule="auto"/>
              <w:ind w:firstLine="0"/>
            </w:pPr>
            <w:r/>
            <w:r>
              <w:rPr>
                <w:rFonts w:ascii="Times New Roman" w:hAnsi="Times New Roman" w:eastAsia="宋体"/>
                <w:b w:val="0"/>
                <w:i w:val="0"/>
                <w:sz w:val="21"/>
              </w:rPr>
              <w:t>顶部 3 张概览卡片的统计口径统一：预警总数等于已处理加未处理，超 7 日未处理预警数为超过 7 日且未处理的数量</w:t>
            </w:r>
          </w:p>
        </w:tc>
      </w:tr>
      <w:tr>
        <w:tc>
          <w:tcPr>
            <w:tcW w:type="dxa" w:w="9071"/>
          </w:tcPr>
          <w:p>
            <w:pPr>
              <w:spacing w:before="20" w:after="20" w:line="276" w:lineRule="auto"/>
              <w:ind w:firstLine="0"/>
            </w:pPr>
            <w:r/>
            <w:r>
              <w:rPr>
                <w:rFonts w:ascii="Times New Roman" w:hAnsi="Times New Roman" w:eastAsia="宋体"/>
                <w:b w:val="0"/>
                <w:i w:val="0"/>
                <w:sz w:val="21"/>
              </w:rPr>
              <w:t>预警信号状态机覆盖待处理、已跟进、已处理、已超 7 日仍未处理四态，认领、处置、审批、解除四类动作均可追溯到处理人与处理时间</w:t>
            </w:r>
          </w:p>
        </w:tc>
      </w:tr>
      <w:tr>
        <w:tc>
          <w:tcPr>
            <w:tcW w:type="dxa" w:w="9071"/>
          </w:tcPr>
          <w:p>
            <w:pPr>
              <w:spacing w:before="20" w:after="20" w:line="276" w:lineRule="auto"/>
              <w:ind w:firstLine="0"/>
            </w:pPr>
            <w:r/>
            <w:r>
              <w:rPr>
                <w:rFonts w:ascii="Times New Roman" w:hAnsi="Times New Roman" w:eastAsia="宋体"/>
                <w:b w:val="0"/>
                <w:i w:val="0"/>
                <w:sz w:val="21"/>
              </w:rPr>
              <w:t>超 7 日未处理的预警自动升级通知到上级；预警解除后消除该条提醒已触发的通知消息，暂不处理后暂停该条提醒后续的通知消息；处置规模以系统运行报表为准</w:t>
            </w:r>
          </w:p>
        </w:tc>
      </w:tr>
    </w:tbl>
    <w:p>
      <w:pPr>
        <w:spacing w:before="0" w:after="0" w:line="240" w:lineRule="auto"/>
      </w:pPr>
    </w:p>
    <w:p>
      <w:pPr>
        <w:spacing w:before="80" w:after="120" w:line="360" w:lineRule="auto"/>
      </w:pPr>
      <w:r>
        <w:rPr>
          <w:rFonts w:ascii="Times New Roman" w:hAnsi="Times New Roman" w:eastAsia="宋体"/>
          <w:b w:val="0"/>
          <w:i w:val="0"/>
          <w:color w:val="595959"/>
          <w:sz w:val="21"/>
        </w:rPr>
        <w:t>说明：文中口径以业务方已确认结论为准；未确认项集中列于本章末与第 5 章。</w:t>
      </w:r>
    </w:p>
    <w:p>
      <w:pPr>
        <w:pStyle w:val="Heading3"/>
        <w:keepNext/>
        <w:spacing w:before="160" w:after="80" w:line="312" w:lineRule="auto"/>
        <w:ind w:firstLine="0"/>
      </w:pPr>
      <w:r>
        <w:rPr>
          <w:rFonts w:ascii="Times New Roman" w:hAnsi="Times New Roman" w:eastAsia="黑体"/>
          <w:b/>
          <w:i w:val="0"/>
          <w:sz w:val="24"/>
        </w:rPr>
        <w:t>4.27.3　角色与用户需求</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361"/>
            <w:shd w:val="clear" w:color="auto" w:fill="DCE6F1"/>
          </w:tcPr>
          <w:p>
            <w:pPr>
              <w:spacing w:before="40" w:after="40" w:line="276" w:lineRule="auto"/>
              <w:jc w:val="center"/>
            </w:pPr>
            <w:r/>
            <w:r>
              <w:rPr>
                <w:rFonts w:ascii="Times New Roman" w:hAnsi="Times New Roman" w:eastAsia="黑体"/>
                <w:b/>
                <w:i w:val="0"/>
                <w:sz w:val="21"/>
              </w:rPr>
              <w:t>角色</w:t>
            </w:r>
          </w:p>
        </w:tc>
        <w:tc>
          <w:tcPr>
            <w:tcW w:type="dxa" w:w="1247"/>
            <w:shd w:val="clear" w:color="auto" w:fill="DCE6F1"/>
          </w:tcPr>
          <w:p>
            <w:pPr>
              <w:spacing w:before="40" w:after="40" w:line="276" w:lineRule="auto"/>
              <w:jc w:val="center"/>
            </w:pPr>
            <w:r/>
            <w:r>
              <w:rPr>
                <w:rFonts w:ascii="Times New Roman" w:hAnsi="Times New Roman" w:eastAsia="黑体"/>
                <w:b/>
                <w:i w:val="0"/>
                <w:sz w:val="21"/>
              </w:rPr>
              <w:t>所属部门</w:t>
            </w:r>
          </w:p>
        </w:tc>
        <w:tc>
          <w:tcPr>
            <w:tcW w:type="dxa" w:w="6463"/>
            <w:shd w:val="clear" w:color="auto" w:fill="DCE6F1"/>
          </w:tcPr>
          <w:p>
            <w:pPr>
              <w:spacing w:before="40" w:after="40" w:line="276" w:lineRule="auto"/>
              <w:jc w:val="center"/>
            </w:pPr>
            <w:r/>
            <w:r>
              <w:rPr>
                <w:rFonts w:ascii="Times New Roman" w:hAnsi="Times New Roman" w:eastAsia="黑体"/>
                <w:b/>
                <w:i w:val="0"/>
                <w:sz w:val="21"/>
              </w:rPr>
              <w:t>用户需求（我要…以便…）</w:t>
            </w:r>
          </w:p>
        </w:tc>
      </w:tr>
      <w:tr>
        <w:tc>
          <w:tcPr>
            <w:tcW w:type="dxa" w:w="1361"/>
          </w:tcPr>
          <w:p>
            <w:pPr>
              <w:spacing w:before="20" w:after="20" w:line="276" w:lineRule="auto"/>
              <w:ind w:firstLine="0"/>
            </w:pPr>
            <w:r/>
            <w:r>
              <w:rPr>
                <w:rFonts w:ascii="Times New Roman" w:hAnsi="Times New Roman" w:eastAsia="宋体"/>
                <w:b w:val="0"/>
                <w:i w:val="0"/>
                <w:sz w:val="21"/>
              </w:rPr>
              <w:t>业务员</w:t>
            </w:r>
          </w:p>
        </w:tc>
        <w:tc>
          <w:tcPr>
            <w:tcW w:type="dxa" w:w="1247"/>
          </w:tcPr>
          <w:p>
            <w:pPr>
              <w:spacing w:before="20" w:after="20" w:line="276" w:lineRule="auto"/>
              <w:ind w:firstLine="0"/>
            </w:pPr>
            <w:r/>
            <w:r>
              <w:rPr>
                <w:rFonts w:ascii="Times New Roman" w:hAnsi="Times New Roman" w:eastAsia="宋体"/>
                <w:b w:val="0"/>
                <w:i w:val="0"/>
                <w:sz w:val="21"/>
              </w:rPr>
              <w:t>业务部</w:t>
            </w:r>
          </w:p>
        </w:tc>
        <w:tc>
          <w:tcPr>
            <w:tcW w:type="dxa" w:w="6463"/>
          </w:tcPr>
          <w:p>
            <w:pPr>
              <w:spacing w:before="20" w:after="20" w:line="276" w:lineRule="auto"/>
              <w:ind w:firstLine="0"/>
            </w:pPr>
            <w:r/>
            <w:r>
              <w:rPr>
                <w:rFonts w:ascii="Times New Roman" w:hAnsi="Times New Roman" w:eastAsia="宋体"/>
                <w:b w:val="0"/>
                <w:i w:val="0"/>
                <w:sz w:val="21"/>
              </w:rPr>
              <w:t>我要认领预警并提交处置意见，以便责任明确且处置过程留痕</w:t>
            </w:r>
          </w:p>
        </w:tc>
      </w:tr>
      <w:tr>
        <w:tc>
          <w:tcPr>
            <w:tcW w:type="dxa" w:w="1361"/>
          </w:tcPr>
          <w:p>
            <w:pPr>
              <w:spacing w:before="20" w:after="20" w:line="276" w:lineRule="auto"/>
              <w:ind w:firstLine="0"/>
            </w:pPr>
            <w:r/>
            <w:r>
              <w:rPr>
                <w:rFonts w:ascii="Times New Roman" w:hAnsi="Times New Roman" w:eastAsia="宋体"/>
                <w:b w:val="0"/>
                <w:i w:val="0"/>
                <w:sz w:val="21"/>
              </w:rPr>
              <w:t>处置审批人</w:t>
            </w:r>
          </w:p>
        </w:tc>
        <w:tc>
          <w:tcPr>
            <w:tcW w:type="dxa" w:w="1247"/>
          </w:tcPr>
          <w:p>
            <w:pPr>
              <w:spacing w:before="20" w:after="20" w:line="276" w:lineRule="auto"/>
              <w:ind w:firstLine="0"/>
            </w:pPr>
            <w:r/>
            <w:r>
              <w:rPr>
                <w:rFonts w:ascii="Times New Roman" w:hAnsi="Times New Roman" w:eastAsia="宋体"/>
                <w:b w:val="0"/>
                <w:i w:val="0"/>
                <w:sz w:val="21"/>
              </w:rPr>
              <w:t>风控部</w:t>
            </w:r>
          </w:p>
        </w:tc>
        <w:tc>
          <w:tcPr>
            <w:tcW w:type="dxa" w:w="6463"/>
          </w:tcPr>
          <w:p>
            <w:pPr>
              <w:spacing w:before="20" w:after="20" w:line="276" w:lineRule="auto"/>
              <w:ind w:firstLine="0"/>
            </w:pPr>
            <w:r/>
            <w:r>
              <w:rPr>
                <w:rFonts w:ascii="Times New Roman" w:hAnsi="Times New Roman" w:eastAsia="宋体"/>
                <w:b w:val="0"/>
                <w:i w:val="0"/>
                <w:sz w:val="21"/>
              </w:rPr>
              <w:t>我要对已提交的处置意见进行审批，以便处置结果经过复核再关闭</w:t>
            </w:r>
          </w:p>
        </w:tc>
      </w:tr>
      <w:tr>
        <w:tc>
          <w:tcPr>
            <w:tcW w:type="dxa" w:w="1361"/>
          </w:tcPr>
          <w:p>
            <w:pPr>
              <w:spacing w:before="20" w:after="20" w:line="276" w:lineRule="auto"/>
              <w:ind w:firstLine="0"/>
            </w:pPr>
            <w:r/>
            <w:r>
              <w:rPr>
                <w:rFonts w:ascii="Times New Roman" w:hAnsi="Times New Roman" w:eastAsia="宋体"/>
                <w:b w:val="0"/>
                <w:i w:val="0"/>
                <w:sz w:val="21"/>
              </w:rPr>
              <w:t>风控规则管理员</w:t>
            </w:r>
          </w:p>
        </w:tc>
        <w:tc>
          <w:tcPr>
            <w:tcW w:type="dxa" w:w="1247"/>
          </w:tcPr>
          <w:p>
            <w:pPr>
              <w:spacing w:before="20" w:after="20" w:line="276" w:lineRule="auto"/>
              <w:ind w:firstLine="0"/>
            </w:pPr>
            <w:r/>
            <w:r>
              <w:rPr>
                <w:rFonts w:ascii="Times New Roman" w:hAnsi="Times New Roman" w:eastAsia="宋体"/>
                <w:b w:val="0"/>
                <w:i w:val="0"/>
                <w:sz w:val="21"/>
              </w:rPr>
              <w:t>风控部</w:t>
            </w:r>
          </w:p>
        </w:tc>
        <w:tc>
          <w:tcPr>
            <w:tcW w:type="dxa" w:w="6463"/>
          </w:tcPr>
          <w:p>
            <w:pPr>
              <w:spacing w:before="20" w:after="20" w:line="276" w:lineRule="auto"/>
              <w:ind w:firstLine="0"/>
            </w:pPr>
            <w:r/>
            <w:r>
              <w:rPr>
                <w:rFonts w:ascii="Times New Roman" w:hAnsi="Times New Roman" w:eastAsia="宋体"/>
                <w:b w:val="0"/>
                <w:i w:val="0"/>
                <w:sz w:val="21"/>
              </w:rPr>
              <w:t>我要查看各页签的预警分布与风险等级，以便调整规则配置和风险等级取值</w:t>
            </w:r>
          </w:p>
        </w:tc>
      </w:tr>
      <w:tr>
        <w:tc>
          <w:tcPr>
            <w:tcW w:type="dxa" w:w="1361"/>
          </w:tcPr>
          <w:p>
            <w:pPr>
              <w:spacing w:before="20" w:after="20" w:line="276" w:lineRule="auto"/>
              <w:ind w:firstLine="0"/>
            </w:pPr>
            <w:r/>
            <w:r>
              <w:rPr>
                <w:rFonts w:ascii="Times New Roman" w:hAnsi="Times New Roman" w:eastAsia="宋体"/>
                <w:b w:val="0"/>
                <w:i w:val="0"/>
                <w:sz w:val="21"/>
              </w:rPr>
              <w:t>平台运营</w:t>
            </w:r>
          </w:p>
        </w:tc>
        <w:tc>
          <w:tcPr>
            <w:tcW w:type="dxa" w:w="1247"/>
          </w:tcPr>
          <w:p>
            <w:pPr>
              <w:spacing w:before="20" w:after="20" w:line="276" w:lineRule="auto"/>
              <w:ind w:firstLine="0"/>
            </w:pPr>
            <w:r/>
            <w:r>
              <w:rPr>
                <w:rFonts w:ascii="Times New Roman" w:hAnsi="Times New Roman" w:eastAsia="宋体"/>
                <w:b w:val="0"/>
                <w:i w:val="0"/>
                <w:sz w:val="21"/>
              </w:rPr>
              <w:t>运营管理部</w:t>
            </w:r>
          </w:p>
        </w:tc>
        <w:tc>
          <w:tcPr>
            <w:tcW w:type="dxa" w:w="6463"/>
          </w:tcPr>
          <w:p>
            <w:pPr>
              <w:spacing w:before="20" w:after="20" w:line="276" w:lineRule="auto"/>
              <w:ind w:firstLine="0"/>
            </w:pPr>
            <w:r/>
            <w:r>
              <w:rPr>
                <w:rFonts w:ascii="Times New Roman" w:hAnsi="Times New Roman" w:eastAsia="宋体"/>
                <w:b w:val="0"/>
                <w:i w:val="0"/>
                <w:sz w:val="21"/>
              </w:rPr>
              <w:t>我要在超 7 日未处理页签集中查看积压预警，以便推动责任部门及时处置</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4.27.4　功能结构与范围</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474"/>
            <w:shd w:val="clear" w:color="auto" w:fill="DCE6F1"/>
          </w:tcPr>
          <w:p>
            <w:pPr>
              <w:spacing w:before="40" w:after="40" w:line="276" w:lineRule="auto"/>
              <w:jc w:val="center"/>
            </w:pPr>
            <w:r/>
            <w:r>
              <w:rPr>
                <w:rFonts w:ascii="Times New Roman" w:hAnsi="Times New Roman" w:eastAsia="黑体"/>
                <w:b/>
                <w:i w:val="0"/>
                <w:sz w:val="21"/>
              </w:rPr>
              <w:t>功能</w:t>
            </w:r>
          </w:p>
        </w:tc>
        <w:tc>
          <w:tcPr>
            <w:tcW w:type="dxa" w:w="3175"/>
            <w:shd w:val="clear" w:color="auto" w:fill="DCE6F1"/>
          </w:tcPr>
          <w:p>
            <w:pPr>
              <w:spacing w:before="40" w:after="40" w:line="276" w:lineRule="auto"/>
              <w:jc w:val="center"/>
            </w:pPr>
            <w:r/>
            <w:r>
              <w:rPr>
                <w:rFonts w:ascii="Times New Roman" w:hAnsi="Times New Roman" w:eastAsia="黑体"/>
                <w:b/>
                <w:i w:val="0"/>
                <w:sz w:val="21"/>
              </w:rPr>
              <w:t>功能说明</w:t>
            </w:r>
          </w:p>
        </w:tc>
        <w:tc>
          <w:tcPr>
            <w:tcW w:type="dxa" w:w="4422"/>
            <w:shd w:val="clear" w:color="auto" w:fill="DCE6F1"/>
          </w:tcPr>
          <w:p>
            <w:pPr>
              <w:spacing w:before="40" w:after="40" w:line="276" w:lineRule="auto"/>
              <w:jc w:val="center"/>
            </w:pPr>
            <w:r/>
            <w:r>
              <w:rPr>
                <w:rFonts w:ascii="Times New Roman" w:hAnsi="Times New Roman" w:eastAsia="黑体"/>
                <w:b/>
                <w:i w:val="0"/>
                <w:sz w:val="21"/>
              </w:rPr>
              <w:t>关键规则</w:t>
            </w:r>
          </w:p>
        </w:tc>
      </w:tr>
      <w:tr>
        <w:tc>
          <w:tcPr>
            <w:tcW w:type="dxa" w:w="1474"/>
          </w:tcPr>
          <w:p>
            <w:pPr>
              <w:spacing w:before="20" w:after="20" w:line="276" w:lineRule="auto"/>
              <w:ind w:firstLine="0"/>
            </w:pPr>
            <w:r/>
            <w:r>
              <w:rPr>
                <w:rFonts w:ascii="Times New Roman" w:hAnsi="Times New Roman" w:eastAsia="宋体"/>
                <w:b w:val="0"/>
                <w:i w:val="0"/>
                <w:sz w:val="21"/>
              </w:rPr>
              <w:t>预警数据概览</w:t>
            </w:r>
          </w:p>
        </w:tc>
        <w:tc>
          <w:tcPr>
            <w:tcW w:type="dxa" w:w="3175"/>
          </w:tcPr>
          <w:p>
            <w:pPr>
              <w:spacing w:before="20" w:after="20" w:line="276" w:lineRule="auto"/>
              <w:ind w:firstLine="0"/>
            </w:pPr>
            <w:r/>
            <w:r>
              <w:rPr>
                <w:rFonts w:ascii="Times New Roman" w:hAnsi="Times New Roman" w:eastAsia="宋体"/>
                <w:b w:val="0"/>
                <w:i w:val="0"/>
                <w:sz w:val="21"/>
              </w:rPr>
              <w:t>在列表页顶部用 3 张卡片展示全局预警规模与风险构成</w:t>
            </w:r>
          </w:p>
        </w:tc>
        <w:tc>
          <w:tcPr>
            <w:tcW w:type="dxa" w:w="4422"/>
          </w:tcPr>
          <w:p>
            <w:pPr>
              <w:spacing w:before="20" w:after="20" w:line="276" w:lineRule="auto"/>
              <w:ind w:firstLine="0"/>
            </w:pPr>
            <w:r/>
            <w:r>
              <w:rPr>
                <w:rFonts w:ascii="Times New Roman" w:hAnsi="Times New Roman" w:eastAsia="宋体"/>
                <w:b w:val="0"/>
                <w:i w:val="0"/>
                <w:sz w:val="21"/>
              </w:rPr>
              <w:t>3 张卡片分别为预警总计、未处理预警、超 7 日未处理，其中未处理预警等于待处理加已跟进加已超 7 日未处理；预警总数等于已处理加未处理；每张卡片为 3 个维度（企业监控、交易监控、价格波动）的堆叠柱状图，含全部、高风险、中风险、低风险 4 个图例；3 张卡片在 3 个页签间共享同一份数据</w:t>
            </w:r>
          </w:p>
        </w:tc>
      </w:tr>
      <w:tr>
        <w:tc>
          <w:tcPr>
            <w:tcW w:type="dxa" w:w="1474"/>
          </w:tcPr>
          <w:p>
            <w:pPr>
              <w:spacing w:before="20" w:after="20" w:line="276" w:lineRule="auto"/>
              <w:ind w:firstLine="0"/>
            </w:pPr>
            <w:r/>
            <w:r>
              <w:rPr>
                <w:rFonts w:ascii="Times New Roman" w:hAnsi="Times New Roman" w:eastAsia="宋体"/>
                <w:b w:val="0"/>
                <w:i w:val="0"/>
                <w:sz w:val="21"/>
              </w:rPr>
              <w:t>分栏与状态页签筛选</w:t>
            </w:r>
          </w:p>
        </w:tc>
        <w:tc>
          <w:tcPr>
            <w:tcW w:type="dxa" w:w="3175"/>
          </w:tcPr>
          <w:p>
            <w:pPr>
              <w:spacing w:before="20" w:after="20" w:line="276" w:lineRule="auto"/>
              <w:ind w:firstLine="0"/>
            </w:pPr>
            <w:r/>
            <w:r>
              <w:rPr>
                <w:rFonts w:ascii="Times New Roman" w:hAnsi="Times New Roman" w:eastAsia="宋体"/>
                <w:b w:val="0"/>
                <w:i w:val="0"/>
                <w:sz w:val="21"/>
              </w:rPr>
              <w:t>按三类预警分栏，并在栏内按处理状态进一步过滤</w:t>
            </w:r>
          </w:p>
        </w:tc>
        <w:tc>
          <w:tcPr>
            <w:tcW w:type="dxa" w:w="4422"/>
          </w:tcPr>
          <w:p>
            <w:pPr>
              <w:spacing w:before="20" w:after="20" w:line="276" w:lineRule="auto"/>
              <w:ind w:firstLine="0"/>
            </w:pPr>
            <w:r/>
            <w:r>
              <w:rPr>
                <w:rFonts w:ascii="Times New Roman" w:hAnsi="Times New Roman" w:eastAsia="宋体"/>
                <w:b w:val="0"/>
                <w:i w:val="0"/>
                <w:sz w:val="21"/>
              </w:rPr>
              <w:t>列表页固定企业监控、交易监控、价格波动 3 个页签，进入默认停留在企业监控页签；3 个页签的筛选区、状态页签与表格各自独立，筛选条件不跨页签共享，切换页签后按该页签的业务实体重新渲染列表与状态页签计数；企业监控页签提供全部、待处理、已跟进、已处理、超 7 日未处理 5 个状态页签，交易监控与价格波动页签在此基础上扩展审批类与超期类状态；状态页签带计数，计数为 0 时仍保留该页签不隐藏；切换状态页签即过滤实例列表</w:t>
            </w:r>
          </w:p>
        </w:tc>
      </w:tr>
      <w:tr>
        <w:tc>
          <w:tcPr>
            <w:tcW w:type="dxa" w:w="1474"/>
          </w:tcPr>
          <w:p>
            <w:pPr>
              <w:spacing w:before="20" w:after="20" w:line="276" w:lineRule="auto"/>
              <w:ind w:firstLine="0"/>
            </w:pPr>
            <w:r/>
            <w:r>
              <w:rPr>
                <w:rFonts w:ascii="Times New Roman" w:hAnsi="Times New Roman" w:eastAsia="宋体"/>
                <w:b w:val="0"/>
                <w:i w:val="0"/>
                <w:sz w:val="21"/>
              </w:rPr>
              <w:t>多条件筛选与导出</w:t>
            </w:r>
          </w:p>
        </w:tc>
        <w:tc>
          <w:tcPr>
            <w:tcW w:type="dxa" w:w="3175"/>
          </w:tcPr>
          <w:p>
            <w:pPr>
              <w:spacing w:before="20" w:after="20" w:line="276" w:lineRule="auto"/>
              <w:ind w:firstLine="0"/>
            </w:pPr>
            <w:r/>
            <w:r>
              <w:rPr>
                <w:rFonts w:ascii="Times New Roman" w:hAnsi="Times New Roman" w:eastAsia="宋体"/>
                <w:b w:val="0"/>
                <w:i w:val="0"/>
                <w:sz w:val="21"/>
              </w:rPr>
              <w:t>按业务维度组合筛选预警并导出当前结果</w:t>
            </w:r>
          </w:p>
        </w:tc>
        <w:tc>
          <w:tcPr>
            <w:tcW w:type="dxa" w:w="4422"/>
          </w:tcPr>
          <w:p>
            <w:pPr>
              <w:spacing w:before="20" w:after="20" w:line="276" w:lineRule="auto"/>
              <w:ind w:firstLine="0"/>
            </w:pPr>
            <w:r/>
            <w:r>
              <w:rPr>
                <w:rFonts w:ascii="Times New Roman" w:hAnsi="Times New Roman" w:eastAsia="宋体"/>
                <w:b w:val="0"/>
                <w:i w:val="0"/>
                <w:sz w:val="21"/>
              </w:rPr>
              <w:t>企业监控页签 6 个筛选字段为预警日期、规则类型、规则名称、风险等级、企业名称、企业类型；交易监控页签 5 个字段为预警日期、规则名称、规则类型、触发预警指标、风险等级；价格波动页签 8 个字段为预警日期、规则类型、规则名称、风险等级、合同编号、下游实际负责人、业务线名称、业务品种；三个页签均提供查询、重置、导出 3 个按钮，重置清空当前页签全部筛选项，导出范围为当前筛选结果</w:t>
            </w:r>
          </w:p>
        </w:tc>
      </w:tr>
      <w:tr>
        <w:tc>
          <w:tcPr>
            <w:tcW w:type="dxa" w:w="1474"/>
          </w:tcPr>
          <w:p>
            <w:pPr>
              <w:spacing w:before="20" w:after="20" w:line="276" w:lineRule="auto"/>
              <w:ind w:firstLine="0"/>
            </w:pPr>
            <w:r/>
            <w:r>
              <w:rPr>
                <w:rFonts w:ascii="Times New Roman" w:hAnsi="Times New Roman" w:eastAsia="宋体"/>
                <w:b w:val="0"/>
                <w:i w:val="0"/>
                <w:sz w:val="21"/>
              </w:rPr>
              <w:t>预警认领与处置</w:t>
            </w:r>
          </w:p>
        </w:tc>
        <w:tc>
          <w:tcPr>
            <w:tcW w:type="dxa" w:w="3175"/>
          </w:tcPr>
          <w:p>
            <w:pPr>
              <w:spacing w:before="20" w:after="20" w:line="276" w:lineRule="auto"/>
              <w:ind w:firstLine="0"/>
            </w:pPr>
            <w:r/>
            <w:r>
              <w:rPr>
                <w:rFonts w:ascii="Times New Roman" w:hAnsi="Times New Roman" w:eastAsia="宋体"/>
                <w:b w:val="0"/>
                <w:i w:val="0"/>
                <w:sz w:val="21"/>
              </w:rPr>
              <w:t>业务员认领预警并提交处置意见</w:t>
            </w:r>
          </w:p>
        </w:tc>
        <w:tc>
          <w:tcPr>
            <w:tcW w:type="dxa" w:w="4422"/>
          </w:tcPr>
          <w:p>
            <w:pPr>
              <w:spacing w:before="20" w:after="20" w:line="276" w:lineRule="auto"/>
              <w:ind w:firstLine="0"/>
            </w:pPr>
            <w:r/>
            <w:r>
              <w:rPr>
                <w:rFonts w:ascii="Times New Roman" w:hAnsi="Times New Roman" w:eastAsia="宋体"/>
                <w:b w:val="0"/>
                <w:i w:val="0"/>
                <w:sz w:val="21"/>
              </w:rPr>
              <w:t>待处理状态的预警由业务员认领后状态转为已跟进并记录处理人；提交处置意见后进入处置审批环节；处置意见与处理人、处理时间一并记录在预警处理记录中</w:t>
            </w:r>
          </w:p>
        </w:tc>
      </w:tr>
      <w:tr>
        <w:tc>
          <w:tcPr>
            <w:tcW w:type="dxa" w:w="1474"/>
          </w:tcPr>
          <w:p>
            <w:pPr>
              <w:spacing w:before="20" w:after="20" w:line="276" w:lineRule="auto"/>
              <w:ind w:firstLine="0"/>
            </w:pPr>
            <w:r/>
            <w:r>
              <w:rPr>
                <w:rFonts w:ascii="Times New Roman" w:hAnsi="Times New Roman" w:eastAsia="宋体"/>
                <w:b w:val="0"/>
                <w:i w:val="0"/>
                <w:sz w:val="21"/>
              </w:rPr>
              <w:t>处置审批</w:t>
            </w:r>
          </w:p>
        </w:tc>
        <w:tc>
          <w:tcPr>
            <w:tcW w:type="dxa" w:w="3175"/>
          </w:tcPr>
          <w:p>
            <w:pPr>
              <w:spacing w:before="20" w:after="20" w:line="276" w:lineRule="auto"/>
              <w:ind w:firstLine="0"/>
            </w:pPr>
            <w:r/>
            <w:r>
              <w:rPr>
                <w:rFonts w:ascii="Times New Roman" w:hAnsi="Times New Roman" w:eastAsia="宋体"/>
                <w:b w:val="0"/>
                <w:i w:val="0"/>
                <w:sz w:val="21"/>
              </w:rPr>
              <w:t>对已提交的处置意见进行审批并决定预警是否关闭</w:t>
            </w:r>
          </w:p>
        </w:tc>
        <w:tc>
          <w:tcPr>
            <w:tcW w:type="dxa" w:w="4422"/>
          </w:tcPr>
          <w:p>
            <w:pPr>
              <w:spacing w:before="20" w:after="20" w:line="276" w:lineRule="auto"/>
              <w:ind w:firstLine="0"/>
            </w:pPr>
            <w:r/>
            <w:r>
              <w:rPr>
                <w:rFonts w:ascii="Times New Roman" w:hAnsi="Times New Roman" w:eastAsia="宋体"/>
                <w:b w:val="0"/>
                <w:i w:val="0"/>
                <w:sz w:val="21"/>
              </w:rPr>
              <w:t>处置审批通过后状态转为已处理，已处理为终态；审批驳回时回到已跟进状态并要求补充处置意见；审批通过后按业务类型触发下游联动动作</w:t>
            </w:r>
          </w:p>
        </w:tc>
      </w:tr>
      <w:tr>
        <w:tc>
          <w:tcPr>
            <w:tcW w:type="dxa" w:w="1474"/>
          </w:tcPr>
          <w:p>
            <w:pPr>
              <w:spacing w:before="20" w:after="20" w:line="276" w:lineRule="auto"/>
              <w:ind w:firstLine="0"/>
            </w:pPr>
            <w:r/>
            <w:r>
              <w:rPr>
                <w:rFonts w:ascii="Times New Roman" w:hAnsi="Times New Roman" w:eastAsia="宋体"/>
                <w:b w:val="0"/>
                <w:i w:val="0"/>
                <w:sz w:val="21"/>
              </w:rPr>
              <w:t>超 7 日未处理升级</w:t>
            </w:r>
          </w:p>
        </w:tc>
        <w:tc>
          <w:tcPr>
            <w:tcW w:type="dxa" w:w="3175"/>
          </w:tcPr>
          <w:p>
            <w:pPr>
              <w:spacing w:before="20" w:after="20" w:line="276" w:lineRule="auto"/>
              <w:ind w:firstLine="0"/>
            </w:pPr>
            <w:r/>
            <w:r>
              <w:rPr>
                <w:rFonts w:ascii="Times New Roman" w:hAnsi="Times New Roman" w:eastAsia="宋体"/>
                <w:b w:val="0"/>
                <w:i w:val="0"/>
                <w:sz w:val="21"/>
              </w:rPr>
              <w:t>对长期未处置的预警自动标记并升级通知</w:t>
            </w:r>
          </w:p>
        </w:tc>
        <w:tc>
          <w:tcPr>
            <w:tcW w:type="dxa" w:w="4422"/>
          </w:tcPr>
          <w:p>
            <w:pPr>
              <w:spacing w:before="20" w:after="20" w:line="276" w:lineRule="auto"/>
              <w:ind w:firstLine="0"/>
            </w:pPr>
            <w:r/>
            <w:r>
              <w:rPr>
                <w:rFonts w:ascii="Times New Roman" w:hAnsi="Times New Roman" w:eastAsia="宋体"/>
                <w:b w:val="0"/>
                <w:i w:val="0"/>
                <w:sz w:val="21"/>
              </w:rPr>
              <w:t>超期判定式为当前日期减预警日期大于 7 天，系统自动计算并置超期标记；判定为超期后升级通知到上级并提示预警已超 7 日未处理；超期信号可继续处理后转为已处理</w:t>
            </w:r>
          </w:p>
        </w:tc>
      </w:tr>
      <w:tr>
        <w:tc>
          <w:tcPr>
            <w:tcW w:type="dxa" w:w="1474"/>
          </w:tcPr>
          <w:p>
            <w:pPr>
              <w:spacing w:before="20" w:after="20" w:line="276" w:lineRule="auto"/>
              <w:ind w:firstLine="0"/>
            </w:pPr>
            <w:r/>
            <w:r>
              <w:rPr>
                <w:rFonts w:ascii="Times New Roman" w:hAnsi="Times New Roman" w:eastAsia="宋体"/>
                <w:b w:val="0"/>
                <w:i w:val="0"/>
                <w:sz w:val="21"/>
              </w:rPr>
              <w:t>重复触发合并</w:t>
            </w:r>
          </w:p>
        </w:tc>
        <w:tc>
          <w:tcPr>
            <w:tcW w:type="dxa" w:w="3175"/>
          </w:tcPr>
          <w:p>
            <w:pPr>
              <w:spacing w:before="20" w:after="20" w:line="276" w:lineRule="auto"/>
              <w:ind w:firstLine="0"/>
            </w:pPr>
            <w:r/>
            <w:r>
              <w:rPr>
                <w:rFonts w:ascii="Times New Roman" w:hAnsi="Times New Roman" w:eastAsia="宋体"/>
                <w:b w:val="0"/>
                <w:i w:val="0"/>
                <w:sz w:val="21"/>
              </w:rPr>
              <w:t>控制短时间内同一规则的重复预警噪声</w:t>
            </w:r>
          </w:p>
        </w:tc>
        <w:tc>
          <w:tcPr>
            <w:tcW w:type="dxa" w:w="4422"/>
          </w:tcPr>
          <w:p>
            <w:pPr>
              <w:spacing w:before="20" w:after="20" w:line="276" w:lineRule="auto"/>
              <w:ind w:firstLine="0"/>
            </w:pPr>
            <w:r/>
            <w:r>
              <w:rPr>
                <w:rFonts w:ascii="Times New Roman" w:hAnsi="Times New Roman" w:eastAsia="宋体"/>
                <w:b w:val="0"/>
                <w:i w:val="0"/>
                <w:sz w:val="21"/>
              </w:rPr>
              <w:t>同一规则在 24 小时内重复触发时合并为 1 条信号并提示同规则 24 小时内已触发若干次，合并为 1 条；合并结果不阻断后续查询</w:t>
            </w:r>
          </w:p>
        </w:tc>
      </w:tr>
      <w:tr>
        <w:tc>
          <w:tcPr>
            <w:tcW w:type="dxa" w:w="1474"/>
          </w:tcPr>
          <w:p>
            <w:pPr>
              <w:spacing w:before="20" w:after="20" w:line="276" w:lineRule="auto"/>
              <w:ind w:firstLine="0"/>
            </w:pPr>
            <w:r/>
            <w:r>
              <w:rPr>
                <w:rFonts w:ascii="Times New Roman" w:hAnsi="Times New Roman" w:eastAsia="宋体"/>
                <w:b w:val="0"/>
                <w:i w:val="0"/>
                <w:sz w:val="21"/>
              </w:rPr>
              <w:t>预警解除与暂不处理</w:t>
            </w:r>
          </w:p>
        </w:tc>
        <w:tc>
          <w:tcPr>
            <w:tcW w:type="dxa" w:w="3175"/>
          </w:tcPr>
          <w:p>
            <w:pPr>
              <w:spacing w:before="20" w:after="20" w:line="276" w:lineRule="auto"/>
              <w:ind w:firstLine="0"/>
            </w:pPr>
            <w:r/>
            <w:r>
              <w:rPr>
                <w:rFonts w:ascii="Times New Roman" w:hAnsi="Times New Roman" w:eastAsia="宋体"/>
                <w:b w:val="0"/>
                <w:i w:val="0"/>
                <w:sz w:val="21"/>
              </w:rPr>
              <w:t>在详情页对已生成的预警做解除或暂缓处理</w:t>
            </w:r>
          </w:p>
        </w:tc>
        <w:tc>
          <w:tcPr>
            <w:tcW w:type="dxa" w:w="4422"/>
          </w:tcPr>
          <w:p>
            <w:pPr>
              <w:spacing w:before="20" w:after="20" w:line="276" w:lineRule="auto"/>
              <w:ind w:firstLine="0"/>
            </w:pPr>
            <w:r/>
            <w:r>
              <w:rPr>
                <w:rFonts w:ascii="Times New Roman" w:hAnsi="Times New Roman" w:eastAsia="宋体"/>
                <w:b w:val="0"/>
                <w:i w:val="0"/>
                <w:sz w:val="21"/>
              </w:rPr>
              <w:t>提供解除预警与暂不处理两种处理动作；解除预警后消除该条提醒已触发的通知消息；暂不处理后暂停该条提醒后续的通知消息，且该动作不是终态；两种动作的提交均需确认</w:t>
            </w:r>
          </w:p>
        </w:tc>
      </w:tr>
      <w:tr>
        <w:tc>
          <w:tcPr>
            <w:tcW w:type="dxa" w:w="1474"/>
          </w:tcPr>
          <w:p>
            <w:pPr>
              <w:spacing w:before="20" w:after="20" w:line="276" w:lineRule="auto"/>
              <w:ind w:firstLine="0"/>
            </w:pPr>
            <w:r/>
            <w:r>
              <w:rPr>
                <w:rFonts w:ascii="Times New Roman" w:hAnsi="Times New Roman" w:eastAsia="宋体"/>
                <w:b w:val="0"/>
                <w:i w:val="0"/>
                <w:sz w:val="21"/>
              </w:rPr>
              <w:t>下游联动</w:t>
            </w:r>
          </w:p>
        </w:tc>
        <w:tc>
          <w:tcPr>
            <w:tcW w:type="dxa" w:w="3175"/>
          </w:tcPr>
          <w:p>
            <w:pPr>
              <w:spacing w:before="20" w:after="20" w:line="276" w:lineRule="auto"/>
              <w:ind w:firstLine="0"/>
            </w:pPr>
            <w:r/>
            <w:r>
              <w:rPr>
                <w:rFonts w:ascii="Times New Roman" w:hAnsi="Times New Roman" w:eastAsia="宋体"/>
                <w:b w:val="0"/>
                <w:i w:val="0"/>
                <w:sz w:val="21"/>
              </w:rPr>
              <w:t>预警处置完成后驱动其他模块的相应更新</w:t>
            </w:r>
          </w:p>
        </w:tc>
        <w:tc>
          <w:tcPr>
            <w:tcW w:type="dxa" w:w="4422"/>
          </w:tcPr>
          <w:p>
            <w:pPr>
              <w:spacing w:before="20" w:after="20" w:line="276" w:lineRule="auto"/>
              <w:ind w:firstLine="0"/>
            </w:pPr>
            <w:r/>
            <w:r>
              <w:rPr>
                <w:rFonts w:ascii="Times New Roman" w:hAnsi="Times New Roman" w:eastAsia="宋体"/>
                <w:b w:val="0"/>
                <w:i w:val="0"/>
                <w:sz w:val="21"/>
              </w:rPr>
              <w:t>高风险预警已处理后更新客户风险等级；交易监控预警已处理后通知对应业务员；价格波动预警已处理后触发追保函</w:t>
            </w:r>
          </w:p>
        </w:tc>
      </w:tr>
    </w:tbl>
    <w:p>
      <w:pPr>
        <w:spacing w:before="0" w:after="0" w:line="240" w:lineRule="auto"/>
      </w:pP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tblGrid>
      <w:tr>
        <w:trPr>
          <w:tblHeader w:val="true"/>
        </w:trPr>
        <w:tc>
          <w:tcPr>
            <w:tcW w:type="dxa" w:w="1247"/>
            <w:shd w:val="clear" w:color="auto" w:fill="DCE6F1"/>
          </w:tcPr>
          <w:p>
            <w:pPr>
              <w:spacing w:before="40" w:after="40" w:line="276" w:lineRule="auto"/>
              <w:jc w:val="center"/>
            </w:pPr>
            <w:r/>
            <w:r>
              <w:rPr>
                <w:rFonts w:ascii="Times New Roman" w:hAnsi="Times New Roman" w:eastAsia="黑体"/>
                <w:b/>
                <w:i w:val="0"/>
                <w:sz w:val="19"/>
              </w:rPr>
              <w:t>页面</w:t>
            </w:r>
          </w:p>
        </w:tc>
        <w:tc>
          <w:tcPr>
            <w:tcW w:type="dxa" w:w="1474"/>
            <w:shd w:val="clear" w:color="auto" w:fill="DCE6F1"/>
          </w:tcPr>
          <w:p>
            <w:pPr>
              <w:spacing w:before="40" w:after="40" w:line="276" w:lineRule="auto"/>
              <w:jc w:val="center"/>
            </w:pPr>
            <w:r/>
            <w:r>
              <w:rPr>
                <w:rFonts w:ascii="Times New Roman" w:hAnsi="Times New Roman" w:eastAsia="黑体"/>
                <w:b/>
                <w:i w:val="0"/>
                <w:sz w:val="19"/>
              </w:rPr>
              <w:t>文件</w:t>
            </w:r>
          </w:p>
        </w:tc>
        <w:tc>
          <w:tcPr>
            <w:tcW w:type="dxa" w:w="1134"/>
            <w:shd w:val="clear" w:color="auto" w:fill="DCE6F1"/>
          </w:tcPr>
          <w:p>
            <w:pPr>
              <w:spacing w:before="40" w:after="40" w:line="276" w:lineRule="auto"/>
              <w:jc w:val="center"/>
            </w:pPr>
            <w:r/>
            <w:r>
              <w:rPr>
                <w:rFonts w:ascii="Times New Roman" w:hAnsi="Times New Roman" w:eastAsia="黑体"/>
                <w:b/>
                <w:i w:val="0"/>
                <w:sz w:val="19"/>
              </w:rPr>
              <w:t>入口</w:t>
            </w:r>
          </w:p>
        </w:tc>
        <w:tc>
          <w:tcPr>
            <w:tcW w:type="dxa" w:w="2041"/>
            <w:shd w:val="clear" w:color="auto" w:fill="DCE6F1"/>
          </w:tcPr>
          <w:p>
            <w:pPr>
              <w:spacing w:before="40" w:after="40" w:line="276" w:lineRule="auto"/>
              <w:jc w:val="center"/>
            </w:pPr>
            <w:r/>
            <w:r>
              <w:rPr>
                <w:rFonts w:ascii="Times New Roman" w:hAnsi="Times New Roman" w:eastAsia="黑体"/>
                <w:b/>
                <w:i w:val="0"/>
                <w:sz w:val="19"/>
              </w:rPr>
              <w:t>主要区块</w:t>
            </w:r>
          </w:p>
        </w:tc>
        <w:tc>
          <w:tcPr>
            <w:tcW w:type="dxa" w:w="1701"/>
            <w:shd w:val="clear" w:color="auto" w:fill="DCE6F1"/>
          </w:tcPr>
          <w:p>
            <w:pPr>
              <w:spacing w:before="40" w:after="40" w:line="276" w:lineRule="auto"/>
              <w:jc w:val="center"/>
            </w:pPr>
            <w:r/>
            <w:r>
              <w:rPr>
                <w:rFonts w:ascii="Times New Roman" w:hAnsi="Times New Roman" w:eastAsia="黑体"/>
                <w:b/>
                <w:i w:val="0"/>
                <w:sz w:val="19"/>
              </w:rPr>
              <w:t>主要操作</w:t>
            </w:r>
          </w:p>
        </w:tc>
        <w:tc>
          <w:tcPr>
            <w:tcW w:type="dxa" w:w="1474"/>
            <w:shd w:val="clear" w:color="auto" w:fill="DCE6F1"/>
          </w:tcPr>
          <w:p>
            <w:pPr>
              <w:spacing w:before="40" w:after="40" w:line="276" w:lineRule="auto"/>
              <w:jc w:val="center"/>
            </w:pPr>
            <w:r/>
            <w:r>
              <w:rPr>
                <w:rFonts w:ascii="Times New Roman" w:hAnsi="Times New Roman" w:eastAsia="黑体"/>
                <w:b/>
                <w:i w:val="0"/>
                <w:sz w:val="19"/>
              </w:rPr>
              <w:t>跳转</w:t>
            </w:r>
          </w:p>
        </w:tc>
      </w:tr>
      <w:tr>
        <w:tc>
          <w:tcPr>
            <w:tcW w:type="dxa" w:w="1247"/>
          </w:tcPr>
          <w:p>
            <w:pPr>
              <w:spacing w:before="20" w:after="20" w:line="276" w:lineRule="auto"/>
              <w:ind w:firstLine="0"/>
            </w:pPr>
            <w:r/>
            <w:r>
              <w:rPr>
                <w:rFonts w:ascii="Times New Roman" w:hAnsi="Times New Roman" w:eastAsia="宋体"/>
                <w:b w:val="0"/>
                <w:i w:val="0"/>
                <w:sz w:val="19"/>
              </w:rPr>
              <w:t>预警列表</w:t>
            </w:r>
          </w:p>
        </w:tc>
        <w:tc>
          <w:tcPr>
            <w:tcW w:type="dxa" w:w="1474"/>
          </w:tcPr>
          <w:p>
            <w:pPr>
              <w:spacing w:before="20" w:after="20" w:line="276" w:lineRule="auto"/>
              <w:ind w:firstLine="0"/>
            </w:pPr>
            <w:r/>
            <w:r>
              <w:rPr>
                <w:rFonts w:ascii="Times New Roman" w:hAnsi="Times New Roman" w:eastAsia="宋体"/>
                <w:b w:val="0"/>
                <w:i w:val="0"/>
                <w:sz w:val="19"/>
              </w:rPr>
              <w:t>warning-list.html</w:t>
            </w:r>
          </w:p>
        </w:tc>
        <w:tc>
          <w:tcPr>
            <w:tcW w:type="dxa" w:w="1134"/>
          </w:tcPr>
          <w:p>
            <w:pPr>
              <w:spacing w:before="20" w:after="20" w:line="276" w:lineRule="auto"/>
              <w:ind w:firstLine="0"/>
            </w:pPr>
            <w:r/>
            <w:r>
              <w:rPr>
                <w:rFonts w:ascii="Times New Roman" w:hAnsi="Times New Roman" w:eastAsia="宋体"/>
                <w:b w:val="0"/>
                <w:i w:val="0"/>
                <w:sz w:val="19"/>
              </w:rPr>
              <w:t>预警中心 / 预警管理 / 预警列表</w:t>
            </w:r>
          </w:p>
        </w:tc>
        <w:tc>
          <w:tcPr>
            <w:tcW w:type="dxa" w:w="2041"/>
          </w:tcPr>
          <w:p>
            <w:pPr>
              <w:spacing w:before="20" w:after="20" w:line="276" w:lineRule="auto"/>
              <w:ind w:firstLine="0"/>
            </w:pPr>
            <w:r/>
            <w:r>
              <w:rPr>
                <w:rFonts w:ascii="Times New Roman" w:hAnsi="Times New Roman" w:eastAsia="宋体"/>
                <w:b w:val="0"/>
                <w:i w:val="0"/>
                <w:sz w:val="19"/>
              </w:rPr>
              <w:t>区块一预警信息数据概览，3 张等宽卡片各含堆叠柱状图与 4 个图例；区块二预警数据，含 3 个页签（企业监控、交易监控、价格波动）、3 套筛选区、3 套状态页签、3 套表格与分页</w:t>
            </w:r>
          </w:p>
        </w:tc>
        <w:tc>
          <w:tcPr>
            <w:tcW w:type="dxa" w:w="1701"/>
          </w:tcPr>
          <w:p>
            <w:pPr>
              <w:spacing w:before="20" w:after="20" w:line="276" w:lineRule="auto"/>
              <w:ind w:firstLine="0"/>
            </w:pPr>
            <w:r/>
            <w:r>
              <w:rPr>
                <w:rFonts w:ascii="Times New Roman" w:hAnsi="Times New Roman" w:eastAsia="宋体"/>
                <w:b w:val="0"/>
                <w:i w:val="0"/>
                <w:sz w:val="19"/>
              </w:rPr>
              <w:t>页签切换、状态页签切换、查询、重置、导出、行内详情、认领、处置；筛选标签位于输入框上方且不带冒号</w:t>
            </w:r>
          </w:p>
        </w:tc>
        <w:tc>
          <w:tcPr>
            <w:tcW w:type="dxa" w:w="1474"/>
          </w:tcPr>
          <w:p>
            <w:pPr>
              <w:spacing w:before="20" w:after="20" w:line="276" w:lineRule="auto"/>
              <w:ind w:firstLine="0"/>
            </w:pPr>
            <w:r/>
            <w:r>
              <w:rPr>
                <w:rFonts w:ascii="Times New Roman" w:hAnsi="Times New Roman" w:eastAsia="宋体"/>
                <w:b w:val="0"/>
                <w:i w:val="0"/>
                <w:sz w:val="19"/>
              </w:rPr>
              <w:t>点击行内详情跳转预警详情页 warning-detail.html</w:t>
            </w:r>
          </w:p>
        </w:tc>
      </w:tr>
      <w:tr>
        <w:tc>
          <w:tcPr>
            <w:tcW w:type="dxa" w:w="1247"/>
          </w:tcPr>
          <w:p>
            <w:pPr>
              <w:spacing w:before="20" w:after="20" w:line="276" w:lineRule="auto"/>
              <w:ind w:firstLine="0"/>
            </w:pPr>
            <w:r/>
            <w:r>
              <w:rPr>
                <w:rFonts w:ascii="Times New Roman" w:hAnsi="Times New Roman" w:eastAsia="宋体"/>
                <w:b w:val="0"/>
                <w:i w:val="0"/>
                <w:sz w:val="19"/>
              </w:rPr>
              <w:t>预警详情</w:t>
            </w:r>
          </w:p>
        </w:tc>
        <w:tc>
          <w:tcPr>
            <w:tcW w:type="dxa" w:w="1474"/>
          </w:tcPr>
          <w:p>
            <w:pPr>
              <w:spacing w:before="20" w:after="20" w:line="276" w:lineRule="auto"/>
              <w:ind w:firstLine="0"/>
            </w:pPr>
            <w:r/>
            <w:r>
              <w:rPr>
                <w:rFonts w:ascii="Times New Roman" w:hAnsi="Times New Roman" w:eastAsia="宋体"/>
                <w:b w:val="0"/>
                <w:i w:val="0"/>
                <w:sz w:val="19"/>
              </w:rPr>
              <w:t>warning-detail.html</w:t>
            </w:r>
          </w:p>
        </w:tc>
        <w:tc>
          <w:tcPr>
            <w:tcW w:type="dxa" w:w="1134"/>
          </w:tcPr>
          <w:p>
            <w:pPr>
              <w:spacing w:before="20" w:after="20" w:line="276" w:lineRule="auto"/>
              <w:ind w:firstLine="0"/>
            </w:pPr>
            <w:r/>
            <w:r>
              <w:rPr>
                <w:rFonts w:ascii="Times New Roman" w:hAnsi="Times New Roman" w:eastAsia="宋体"/>
                <w:b w:val="0"/>
                <w:i w:val="0"/>
                <w:sz w:val="19"/>
              </w:rPr>
              <w:t>预警中心 / 预警管理 / 预警列表 / 行内详情</w:t>
            </w:r>
          </w:p>
        </w:tc>
        <w:tc>
          <w:tcPr>
            <w:tcW w:type="dxa" w:w="2041"/>
          </w:tcPr>
          <w:p>
            <w:pPr>
              <w:spacing w:before="20" w:after="20" w:line="276" w:lineRule="auto"/>
              <w:ind w:firstLine="0"/>
            </w:pPr>
            <w:r/>
            <w:r>
              <w:rPr>
                <w:rFonts w:ascii="Times New Roman" w:hAnsi="Times New Roman" w:eastAsia="宋体"/>
                <w:b w:val="0"/>
                <w:i w:val="0"/>
                <w:sz w:val="19"/>
              </w:rPr>
              <w:t>头部操作下拉；区块一基本信息 6 行 2 列共 12 个字段；区块二预警明细含描述与 9 列表格；区块三预警处理记录含 5 列表格；区块四预警解除含单选项与 6 列表格及取消与提交按钮；底部嵌入式按钮区</w:t>
            </w:r>
          </w:p>
        </w:tc>
        <w:tc>
          <w:tcPr>
            <w:tcW w:type="dxa" w:w="1701"/>
          </w:tcPr>
          <w:p>
            <w:pPr>
              <w:spacing w:before="20" w:after="20" w:line="276" w:lineRule="auto"/>
              <w:ind w:firstLine="0"/>
            </w:pPr>
            <w:r/>
            <w:r>
              <w:rPr>
                <w:rFonts w:ascii="Times New Roman" w:hAnsi="Times New Roman" w:eastAsia="宋体"/>
                <w:b w:val="0"/>
                <w:i w:val="0"/>
                <w:sz w:val="19"/>
              </w:rPr>
              <w:t>头部操作下拉、认领、处置、审批、预警解除提交、取消、解除时间与最新跟踪时间的只读展示；未解除时预警解除时间列留空</w:t>
            </w:r>
          </w:p>
        </w:tc>
        <w:tc>
          <w:tcPr>
            <w:tcW w:type="dxa" w:w="1474"/>
          </w:tcPr>
          <w:p>
            <w:pPr>
              <w:spacing w:before="20" w:after="20" w:line="276" w:lineRule="auto"/>
              <w:ind w:firstLine="0"/>
            </w:pPr>
            <w:r/>
            <w:r>
              <w:rPr>
                <w:rFonts w:ascii="Times New Roman" w:hAnsi="Times New Roman" w:eastAsia="宋体"/>
                <w:b w:val="0"/>
                <w:i w:val="0"/>
                <w:sz w:val="19"/>
              </w:rPr>
              <w:t>处置与解除提交后回到预警列表 warning-list.html 并刷新当前页签数据</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4.27.5　数据关系</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474"/>
            <w:shd w:val="clear" w:color="auto" w:fill="DCE6F1"/>
          </w:tcPr>
          <w:p>
            <w:pPr>
              <w:spacing w:before="40" w:after="40" w:line="276" w:lineRule="auto"/>
              <w:jc w:val="center"/>
            </w:pPr>
            <w:r/>
            <w:r>
              <w:rPr>
                <w:rFonts w:ascii="Times New Roman" w:hAnsi="Times New Roman" w:eastAsia="黑体"/>
                <w:b/>
                <w:i w:val="0"/>
                <w:sz w:val="21"/>
              </w:rPr>
              <w:t>业务对象</w:t>
            </w:r>
          </w:p>
        </w:tc>
        <w:tc>
          <w:tcPr>
            <w:tcW w:type="dxa" w:w="4195"/>
            <w:shd w:val="clear" w:color="auto" w:fill="DCE6F1"/>
          </w:tcPr>
          <w:p>
            <w:pPr>
              <w:spacing w:before="40" w:after="40" w:line="276" w:lineRule="auto"/>
              <w:jc w:val="center"/>
            </w:pPr>
            <w:r/>
            <w:r>
              <w:rPr>
                <w:rFonts w:ascii="Times New Roman" w:hAnsi="Times New Roman" w:eastAsia="黑体"/>
                <w:b/>
                <w:i w:val="0"/>
                <w:sz w:val="21"/>
              </w:rPr>
              <w:t>关键字段与口径</w:t>
            </w:r>
          </w:p>
        </w:tc>
        <w:tc>
          <w:tcPr>
            <w:tcW w:type="dxa" w:w="3402"/>
            <w:shd w:val="clear" w:color="auto" w:fill="DCE6F1"/>
          </w:tcPr>
          <w:p>
            <w:pPr>
              <w:spacing w:before="40" w:after="40" w:line="276" w:lineRule="auto"/>
              <w:jc w:val="center"/>
            </w:pPr>
            <w:r/>
            <w:r>
              <w:rPr>
                <w:rFonts w:ascii="Times New Roman" w:hAnsi="Times New Roman" w:eastAsia="黑体"/>
                <w:b/>
                <w:i w:val="0"/>
                <w:sz w:val="21"/>
              </w:rPr>
              <w:t>与其他对象的关系</w:t>
            </w:r>
          </w:p>
        </w:tc>
      </w:tr>
      <w:tr>
        <w:tc>
          <w:tcPr>
            <w:tcW w:type="dxa" w:w="1474"/>
          </w:tcPr>
          <w:p>
            <w:pPr>
              <w:spacing w:before="20" w:after="20" w:line="276" w:lineRule="auto"/>
              <w:ind w:firstLine="0"/>
            </w:pPr>
            <w:r/>
            <w:r>
              <w:rPr>
                <w:rFonts w:ascii="Times New Roman" w:hAnsi="Times New Roman" w:eastAsia="宋体"/>
                <w:b w:val="0"/>
                <w:i w:val="0"/>
                <w:sz w:val="21"/>
              </w:rPr>
              <w:t>预警信号</w:t>
            </w:r>
          </w:p>
        </w:tc>
        <w:tc>
          <w:tcPr>
            <w:tcW w:type="dxa" w:w="4195"/>
          </w:tcPr>
          <w:p>
            <w:pPr>
              <w:spacing w:before="20" w:after="20" w:line="276" w:lineRule="auto"/>
              <w:ind w:firstLine="0"/>
            </w:pPr>
            <w:r/>
            <w:r>
              <w:rPr>
                <w:rFonts w:ascii="Times New Roman" w:hAnsi="Times New Roman" w:eastAsia="宋体"/>
                <w:b w:val="0"/>
                <w:i w:val="0"/>
                <w:sz w:val="21"/>
              </w:rPr>
              <w:t>关联规则：指向产生该信号的预警规则</w:t>
            </w:r>
            <w:r>
              <w:br/>
            </w:r>
            <w:r>
              <w:rPr>
                <w:rFonts w:ascii="Times New Roman" w:hAnsi="Times New Roman" w:eastAsia="宋体"/>
                <w:b w:val="0"/>
                <w:i w:val="0"/>
                <w:sz w:val="21"/>
              </w:rPr>
              <w:t>规则名称：冗余记录，便于列表直接展示</w:t>
            </w:r>
            <w:r>
              <w:br/>
            </w:r>
            <w:r>
              <w:rPr>
                <w:rFonts w:ascii="Times New Roman" w:hAnsi="Times New Roman" w:eastAsia="宋体"/>
                <w:b w:val="0"/>
                <w:i w:val="0"/>
                <w:sz w:val="21"/>
              </w:rPr>
              <w:t>信号类型：企业监控、交易监控、价格波动三值之一</w:t>
            </w:r>
            <w:r>
              <w:br/>
            </w:r>
            <w:r>
              <w:rPr>
                <w:rFonts w:ascii="Times New Roman" w:hAnsi="Times New Roman" w:eastAsia="宋体"/>
                <w:b w:val="0"/>
                <w:i w:val="0"/>
                <w:sz w:val="21"/>
              </w:rPr>
              <w:t>目标类型与目标标识与目标名称：指向客户、合同或指数等监控对象</w:t>
            </w:r>
            <w:r>
              <w:br/>
            </w:r>
            <w:r>
              <w:rPr>
                <w:rFonts w:ascii="Times New Roman" w:hAnsi="Times New Roman" w:eastAsia="宋体"/>
                <w:b w:val="0"/>
                <w:i w:val="0"/>
                <w:sz w:val="21"/>
              </w:rPr>
              <w:t>预警内容：由预警模板与变量渲染出的可读文本</w:t>
            </w:r>
            <w:r>
              <w:br/>
            </w:r>
            <w:r>
              <w:rPr>
                <w:rFonts w:ascii="Times New Roman" w:hAnsi="Times New Roman" w:eastAsia="宋体"/>
                <w:b w:val="0"/>
                <w:i w:val="0"/>
                <w:sz w:val="21"/>
              </w:rPr>
              <w:t>风险等级：高、中、低三值</w:t>
            </w:r>
            <w:r>
              <w:br/>
            </w:r>
            <w:r>
              <w:rPr>
                <w:rFonts w:ascii="Times New Roman" w:hAnsi="Times New Roman" w:eastAsia="宋体"/>
                <w:b w:val="0"/>
                <w:i w:val="0"/>
                <w:sz w:val="21"/>
              </w:rPr>
              <w:t>触发指标与触发值：产生该信号的具体指标与数值</w:t>
            </w:r>
            <w:r>
              <w:br/>
            </w:r>
            <w:r>
              <w:rPr>
                <w:rFonts w:ascii="Times New Roman" w:hAnsi="Times New Roman" w:eastAsia="宋体"/>
                <w:b w:val="0"/>
                <w:i w:val="0"/>
                <w:sz w:val="21"/>
              </w:rPr>
              <w:t>预警日期：超 7 日判定的起算基准</w:t>
            </w:r>
            <w:r>
              <w:br/>
            </w:r>
            <w:r>
              <w:rPr>
                <w:rFonts w:ascii="Times New Roman" w:hAnsi="Times New Roman" w:eastAsia="宋体"/>
                <w:b w:val="0"/>
                <w:i w:val="0"/>
                <w:sz w:val="21"/>
              </w:rPr>
              <w:t>预警状态：待处理、已跟进、已处理、已超 7 日仍未处理</w:t>
            </w:r>
            <w:r>
              <w:br/>
            </w:r>
            <w:r>
              <w:rPr>
                <w:rFonts w:ascii="Times New Roman" w:hAnsi="Times New Roman" w:eastAsia="宋体"/>
                <w:b w:val="0"/>
                <w:i w:val="0"/>
                <w:sz w:val="21"/>
              </w:rPr>
              <w:t>处理人、处理人姓名、处理时间、处置意见</w:t>
            </w:r>
            <w:r>
              <w:br/>
            </w:r>
            <w:r>
              <w:rPr>
                <w:rFonts w:ascii="Times New Roman" w:hAnsi="Times New Roman" w:eastAsia="宋体"/>
                <w:b w:val="0"/>
                <w:i w:val="0"/>
                <w:sz w:val="21"/>
              </w:rPr>
              <w:t>是否超 7 日未处理：0 或 1，系统自动计算</w:t>
            </w:r>
          </w:p>
        </w:tc>
        <w:tc>
          <w:tcPr>
            <w:tcW w:type="dxa" w:w="3402"/>
          </w:tcPr>
          <w:p>
            <w:pPr>
              <w:spacing w:before="20" w:after="20" w:line="276" w:lineRule="auto"/>
              <w:ind w:firstLine="0"/>
            </w:pPr>
            <w:r/>
            <w:r>
              <w:rPr>
                <w:rFonts w:ascii="Times New Roman" w:hAnsi="Times New Roman" w:eastAsia="宋体"/>
                <w:b w:val="0"/>
                <w:i w:val="0"/>
                <w:sz w:val="21"/>
              </w:rPr>
              <w:t>由预警规则命中产生；一条信号可触发多条提醒与通知；企业信息类字段需关联客户管理取得</w:t>
            </w:r>
          </w:p>
        </w:tc>
      </w:tr>
      <w:tr>
        <w:tc>
          <w:tcPr>
            <w:tcW w:type="dxa" w:w="1474"/>
          </w:tcPr>
          <w:p>
            <w:pPr>
              <w:spacing w:before="20" w:after="20" w:line="276" w:lineRule="auto"/>
              <w:ind w:firstLine="0"/>
            </w:pPr>
            <w:r/>
            <w:r>
              <w:rPr>
                <w:rFonts w:ascii="Times New Roman" w:hAnsi="Times New Roman" w:eastAsia="宋体"/>
                <w:b w:val="0"/>
                <w:i w:val="0"/>
                <w:sz w:val="21"/>
              </w:rPr>
              <w:t>预警模板</w:t>
            </w:r>
          </w:p>
        </w:tc>
        <w:tc>
          <w:tcPr>
            <w:tcW w:type="dxa" w:w="4195"/>
          </w:tcPr>
          <w:p>
            <w:pPr>
              <w:spacing w:before="20" w:after="20" w:line="276" w:lineRule="auto"/>
              <w:ind w:firstLine="0"/>
            </w:pPr>
            <w:r/>
            <w:r>
              <w:rPr>
                <w:rFonts w:ascii="Times New Roman" w:hAnsi="Times New Roman" w:eastAsia="宋体"/>
                <w:b w:val="0"/>
                <w:i w:val="0"/>
                <w:sz w:val="21"/>
              </w:rPr>
              <w:t>模板名称</w:t>
            </w:r>
            <w:r>
              <w:br/>
            </w:r>
            <w:r>
              <w:rPr>
                <w:rFonts w:ascii="Times New Roman" w:hAnsi="Times New Roman" w:eastAsia="宋体"/>
                <w:b w:val="0"/>
                <w:i w:val="0"/>
                <w:sz w:val="21"/>
              </w:rPr>
              <w:t>模板类型：企业监控、交易监控、价格波动三值之一</w:t>
            </w:r>
            <w:r>
              <w:br/>
            </w:r>
            <w:r>
              <w:rPr>
                <w:rFonts w:ascii="Times New Roman" w:hAnsi="Times New Roman" w:eastAsia="宋体"/>
                <w:b w:val="0"/>
                <w:i w:val="0"/>
                <w:sz w:val="21"/>
              </w:rPr>
              <w:t>模板内容：带变量占位符的文本</w:t>
            </w:r>
            <w:r>
              <w:br/>
            </w:r>
            <w:r>
              <w:rPr>
                <w:rFonts w:ascii="Times New Roman" w:hAnsi="Times New Roman" w:eastAsia="宋体"/>
                <w:b w:val="0"/>
                <w:i w:val="0"/>
                <w:sz w:val="21"/>
              </w:rPr>
              <w:t>变量定义：模板渲染所需的变量集合</w:t>
            </w:r>
            <w:r>
              <w:br/>
            </w:r>
            <w:r>
              <w:rPr>
                <w:rFonts w:ascii="Times New Roman" w:hAnsi="Times New Roman" w:eastAsia="宋体"/>
                <w:b w:val="0"/>
                <w:i w:val="0"/>
                <w:sz w:val="21"/>
              </w:rPr>
              <w:t>启停状态：0 停用，1 启用</w:t>
            </w:r>
          </w:p>
        </w:tc>
        <w:tc>
          <w:tcPr>
            <w:tcW w:type="dxa" w:w="3402"/>
          </w:tcPr>
          <w:p>
            <w:pPr>
              <w:spacing w:before="20" w:after="20" w:line="276" w:lineRule="auto"/>
              <w:ind w:firstLine="0"/>
            </w:pPr>
            <w:r/>
            <w:r>
              <w:rPr>
                <w:rFonts w:ascii="Times New Roman" w:hAnsi="Times New Roman" w:eastAsia="宋体"/>
                <w:b w:val="0"/>
                <w:i w:val="0"/>
                <w:sz w:val="21"/>
              </w:rPr>
              <w:t>被预警规则引用；未配置模板的规则在生成信号时被阻断</w:t>
            </w:r>
          </w:p>
        </w:tc>
      </w:tr>
      <w:tr>
        <w:tc>
          <w:tcPr>
            <w:tcW w:type="dxa" w:w="1474"/>
          </w:tcPr>
          <w:p>
            <w:pPr>
              <w:spacing w:before="20" w:after="20" w:line="276" w:lineRule="auto"/>
              <w:ind w:firstLine="0"/>
            </w:pPr>
            <w:r/>
            <w:r>
              <w:rPr>
                <w:rFonts w:ascii="Times New Roman" w:hAnsi="Times New Roman" w:eastAsia="宋体"/>
                <w:b w:val="0"/>
                <w:i w:val="0"/>
                <w:sz w:val="21"/>
              </w:rPr>
              <w:t>预警处置记录</w:t>
            </w:r>
          </w:p>
        </w:tc>
        <w:tc>
          <w:tcPr>
            <w:tcW w:type="dxa" w:w="4195"/>
          </w:tcPr>
          <w:p>
            <w:pPr>
              <w:spacing w:before="20" w:after="20" w:line="276" w:lineRule="auto"/>
              <w:ind w:firstLine="0"/>
            </w:pPr>
            <w:r/>
            <w:r>
              <w:rPr>
                <w:rFonts w:ascii="Times New Roman" w:hAnsi="Times New Roman" w:eastAsia="宋体"/>
                <w:b w:val="0"/>
                <w:i w:val="0"/>
                <w:sz w:val="21"/>
              </w:rPr>
              <w:t>关联预警信号</w:t>
            </w:r>
            <w:r>
              <w:br/>
            </w:r>
            <w:r>
              <w:rPr>
                <w:rFonts w:ascii="Times New Roman" w:hAnsi="Times New Roman" w:eastAsia="宋体"/>
                <w:b w:val="0"/>
                <w:i w:val="0"/>
                <w:sz w:val="21"/>
              </w:rPr>
              <w:t>处理人与处理时间</w:t>
            </w:r>
            <w:r>
              <w:br/>
            </w:r>
            <w:r>
              <w:rPr>
                <w:rFonts w:ascii="Times New Roman" w:hAnsi="Times New Roman" w:eastAsia="宋体"/>
                <w:b w:val="0"/>
                <w:i w:val="0"/>
                <w:sz w:val="21"/>
              </w:rPr>
              <w:t>处置意见</w:t>
            </w:r>
            <w:r>
              <w:br/>
            </w:r>
            <w:r>
              <w:rPr>
                <w:rFonts w:ascii="Times New Roman" w:hAnsi="Times New Roman" w:eastAsia="宋体"/>
                <w:b w:val="0"/>
                <w:i w:val="0"/>
                <w:sz w:val="21"/>
              </w:rPr>
              <w:t>处置审批结果</w:t>
            </w:r>
            <w:r>
              <w:br/>
            </w:r>
            <w:r>
              <w:rPr>
                <w:rFonts w:ascii="Times New Roman" w:hAnsi="Times New Roman" w:eastAsia="宋体"/>
                <w:b w:val="0"/>
                <w:i w:val="0"/>
                <w:sz w:val="21"/>
              </w:rPr>
              <w:t>预警解除时间与解除方式</w:t>
            </w:r>
          </w:p>
        </w:tc>
        <w:tc>
          <w:tcPr>
            <w:tcW w:type="dxa" w:w="3402"/>
          </w:tcPr>
          <w:p>
            <w:pPr>
              <w:spacing w:before="20" w:after="20" w:line="276" w:lineRule="auto"/>
              <w:ind w:firstLine="0"/>
            </w:pPr>
            <w:r/>
            <w:r>
              <w:rPr>
                <w:rFonts w:ascii="Times New Roman" w:hAnsi="Times New Roman" w:eastAsia="宋体"/>
                <w:b w:val="0"/>
                <w:i w:val="0"/>
                <w:sz w:val="21"/>
              </w:rPr>
              <w:t>从属于预警信号；构成详情页的预警处理记录与预警解除两个区块</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4.27.6　角色权限与数据权限</w:t>
      </w:r>
    </w:p>
    <w:p>
      <w:pPr>
        <w:spacing w:before="0" w:after="120" w:line="360" w:lineRule="auto"/>
      </w:pPr>
      <w:r>
        <w:rPr>
          <w:rFonts w:ascii="Times New Roman" w:hAnsi="Times New Roman" w:eastAsia="宋体"/>
          <w:b w:val="0"/>
          <w:i w:val="0"/>
          <w:sz w:val="24"/>
        </w:rPr>
        <w:t>本期为系统全量权限（业务方裁决 D17）；下表角色为典型使用角色，非权限分级。模块内存在明确的操作可见性差异：认领与处置动作在列表行中按预警状态呈现，仅待处理与已跟进状态的信号具备对应操作；处置审批动作由处置审批方执行；无权限用户打开待办时相关按钮不可用并给出无权限提示。处置审批人、升级通知的上级与规则管理员的具体角色边界待业务方确认。</w:t>
      </w:r>
    </w:p>
    <w:p>
      <w:pPr>
        <w:spacing w:before="0" w:after="80" w:line="360" w:lineRule="auto"/>
      </w:pPr>
      <w:r>
        <w:rPr>
          <w:rFonts w:ascii="Times New Roman" w:hAnsi="Times New Roman" w:eastAsia="宋体"/>
          <w:b w:val="0"/>
          <w:i w:val="0"/>
          <w:sz w:val="24"/>
        </w:rPr>
        <w:t>数据可见性：按单据归属与业务筛选查看；手机号、统一社会信用代码等敏感字段默认打码，手动点击查看完整值且查看行为留痕。</w:t>
      </w:r>
    </w:p>
    <w:p>
      <w:pPr>
        <w:pStyle w:val="Heading3"/>
        <w:keepNext/>
        <w:spacing w:before="160" w:after="80" w:line="312" w:lineRule="auto"/>
        <w:ind w:firstLine="0"/>
      </w:pPr>
      <w:r>
        <w:rPr>
          <w:rFonts w:ascii="Times New Roman" w:hAnsi="Times New Roman" w:eastAsia="黑体"/>
          <w:b/>
          <w:i w:val="0"/>
          <w:sz w:val="24"/>
        </w:rPr>
        <w:t>4.27.7　业务流程与页面</w:t>
      </w:r>
    </w:p>
    <w:p>
      <w:pPr>
        <w:spacing w:before="0" w:after="60" w:line="360" w:lineRule="auto"/>
      </w:pPr>
      <w:r>
        <w:rPr>
          <w:rFonts w:ascii="Times New Roman" w:hAnsi="Times New Roman" w:eastAsia="宋体"/>
          <w:b/>
          <w:i w:val="0"/>
          <w:sz w:val="24"/>
        </w:rPr>
        <w:t>主流程步骤：</w:t>
      </w:r>
    </w:p>
    <w:p>
      <w:pPr>
        <w:spacing w:before="0" w:after="60" w:line="336" w:lineRule="auto"/>
        <w:ind w:left="510" w:hanging="510"/>
      </w:pPr>
      <w:r>
        <w:rPr>
          <w:rFonts w:ascii="Times New Roman" w:hAnsi="Times New Roman" w:eastAsia="宋体"/>
          <w:b w:val="0"/>
          <w:i w:val="0"/>
          <w:sz w:val="24"/>
        </w:rPr>
        <w:t>1. 风控在预警规则配置页启用规则，规则进入监控状态</w:t>
      </w:r>
    </w:p>
    <w:p>
      <w:pPr>
        <w:spacing w:before="0" w:after="60" w:line="336" w:lineRule="auto"/>
        <w:ind w:left="510" w:hanging="510"/>
      </w:pPr>
      <w:r>
        <w:rPr>
          <w:rFonts w:ascii="Times New Roman" w:hAnsi="Times New Roman" w:eastAsia="宋体"/>
          <w:b w:val="0"/>
          <w:i w:val="0"/>
          <w:sz w:val="24"/>
        </w:rPr>
        <w:t>2. 系统持续监控客户风险、合同履行、指数价格与保证金余额等业务数据</w:t>
      </w:r>
    </w:p>
    <w:p>
      <w:pPr>
        <w:spacing w:before="0" w:after="60" w:line="336" w:lineRule="auto"/>
        <w:ind w:left="510" w:hanging="510"/>
      </w:pPr>
      <w:r>
        <w:rPr>
          <w:rFonts w:ascii="Times New Roman" w:hAnsi="Times New Roman" w:eastAsia="宋体"/>
          <w:b w:val="0"/>
          <w:i w:val="0"/>
          <w:sz w:val="24"/>
        </w:rPr>
        <w:t>3. 监控数据命中规则时按条件生成预警信号并带出风险等级</w:t>
      </w:r>
    </w:p>
    <w:p>
      <w:pPr>
        <w:spacing w:before="0" w:after="60" w:line="336" w:lineRule="auto"/>
        <w:ind w:left="510" w:hanging="510"/>
      </w:pPr>
      <w:r>
        <w:rPr>
          <w:rFonts w:ascii="Times New Roman" w:hAnsi="Times New Roman" w:eastAsia="宋体"/>
          <w:b w:val="0"/>
          <w:i w:val="0"/>
          <w:sz w:val="24"/>
        </w:rPr>
        <w:t>4. 信号生成前校验规则是否已配置预警模板，未配置时阻断信号生成并提示</w:t>
      </w:r>
    </w:p>
    <w:p>
      <w:pPr>
        <w:spacing w:before="0" w:after="60" w:line="336" w:lineRule="auto"/>
        <w:ind w:left="510" w:hanging="510"/>
      </w:pPr>
      <w:r>
        <w:rPr>
          <w:rFonts w:ascii="Times New Roman" w:hAnsi="Times New Roman" w:eastAsia="宋体"/>
          <w:b w:val="0"/>
          <w:i w:val="0"/>
          <w:sz w:val="24"/>
        </w:rPr>
        <w:t>5. 信号进入待处理状态，同时按预警日期开始计算超 7 日标记</w:t>
      </w:r>
    </w:p>
    <w:p>
      <w:pPr>
        <w:spacing w:before="0" w:after="60" w:line="336" w:lineRule="auto"/>
        <w:ind w:left="510" w:hanging="510"/>
      </w:pPr>
      <w:r>
        <w:rPr>
          <w:rFonts w:ascii="Times New Roman" w:hAnsi="Times New Roman" w:eastAsia="宋体"/>
          <w:b w:val="0"/>
          <w:i w:val="0"/>
          <w:sz w:val="24"/>
        </w:rPr>
        <w:t>6. 业务员在列表页认领预警，状态转为已跟进并记录处理人</w:t>
      </w:r>
    </w:p>
    <w:p>
      <w:pPr>
        <w:spacing w:before="0" w:after="60" w:line="336" w:lineRule="auto"/>
        <w:ind w:left="510" w:hanging="510"/>
      </w:pPr>
      <w:r>
        <w:rPr>
          <w:rFonts w:ascii="Times New Roman" w:hAnsi="Times New Roman" w:eastAsia="宋体"/>
          <w:b w:val="0"/>
          <w:i w:val="0"/>
          <w:sz w:val="24"/>
        </w:rPr>
        <w:t>7. 业务员提交处置意见，进入处置审批环节</w:t>
      </w:r>
    </w:p>
    <w:p>
      <w:pPr>
        <w:spacing w:before="0" w:after="60" w:line="336" w:lineRule="auto"/>
        <w:ind w:left="510" w:hanging="510"/>
      </w:pPr>
      <w:r>
        <w:rPr>
          <w:rFonts w:ascii="Times New Roman" w:hAnsi="Times New Roman" w:eastAsia="宋体"/>
          <w:b w:val="0"/>
          <w:i w:val="0"/>
          <w:sz w:val="24"/>
        </w:rPr>
        <w:t>8. 审批通过后状态转为已处理并触发下游联动；审批驳回则回到已跟进并补充处置意见</w:t>
      </w:r>
    </w:p>
    <w:p>
      <w:pPr>
        <w:spacing w:before="0" w:after="60" w:line="336" w:lineRule="auto"/>
        <w:ind w:left="510" w:hanging="510"/>
      </w:pPr>
      <w:r>
        <w:rPr>
          <w:rFonts w:ascii="Times New Roman" w:hAnsi="Times New Roman" w:eastAsia="宋体"/>
          <w:b w:val="0"/>
          <w:i w:val="0"/>
          <w:sz w:val="24"/>
        </w:rPr>
        <w:t>9. 处置过程中可执行解除预警或暂不处理，分别消除或暂停该条提醒的通知消息</w:t>
      </w:r>
    </w:p>
    <w:p>
      <w:pPr>
        <w:spacing w:before="0" w:after="60" w:line="336" w:lineRule="auto"/>
        <w:ind w:left="510" w:hanging="510"/>
      </w:pPr>
      <w:r>
        <w:rPr>
          <w:rFonts w:ascii="Times New Roman" w:hAnsi="Times New Roman" w:eastAsia="宋体"/>
          <w:b w:val="0"/>
          <w:i w:val="0"/>
          <w:sz w:val="24"/>
        </w:rPr>
        <w:t>10. 超过 7 日仍未处理的信号自动升级通知到上级，并在超 7 日未处理页签中集中呈现</w:t>
      </w:r>
    </w:p>
    <w:p>
      <w:pPr>
        <w:spacing w:before="120" w:after="60" w:line="360" w:lineRule="auto"/>
      </w:pPr>
      <w:r>
        <w:rPr>
          <w:rFonts w:ascii="Times New Roman" w:hAnsi="Times New Roman" w:eastAsia="宋体"/>
          <w:b/>
          <w:i w:val="0"/>
          <w:sz w:val="24"/>
        </w:rPr>
        <w:t>异常分支：</w:t>
      </w:r>
    </w:p>
    <w:tbl>
      <w:tblPr>
        <w:tblStyle w:val="TableGrid"/>
        <w:tblW w:type="auto" w:w="0"/>
        <w:jc w:val="center"/>
        <w:tblLayout w:type="fixed"/>
        <w:tblLook w:firstColumn="1" w:firstRow="1" w:lastColumn="0" w:lastRow="0" w:noHBand="0" w:noVBand="1" w:val="04A0"/>
      </w:tblPr>
      <w:tblGrid>
        <w:gridCol w:w="4479"/>
        <w:gridCol w:w="4479"/>
      </w:tblGrid>
      <w:tr>
        <w:trPr>
          <w:tblHeader w:val="true"/>
        </w:trPr>
        <w:tc>
          <w:tcPr>
            <w:tcW w:type="dxa" w:w="2835"/>
            <w:shd w:val="clear" w:color="auto" w:fill="DCE6F1"/>
          </w:tcPr>
          <w:p>
            <w:pPr>
              <w:spacing w:before="40" w:after="40" w:line="276" w:lineRule="auto"/>
              <w:jc w:val="center"/>
            </w:pPr>
            <w:r/>
            <w:r>
              <w:rPr>
                <w:rFonts w:ascii="Times New Roman" w:hAnsi="Times New Roman" w:eastAsia="黑体"/>
                <w:b/>
                <w:i w:val="0"/>
                <w:sz w:val="21"/>
              </w:rPr>
              <w:t>异常场景</w:t>
            </w:r>
          </w:p>
        </w:tc>
        <w:tc>
          <w:tcPr>
            <w:tcW w:type="dxa" w:w="6236"/>
            <w:shd w:val="clear" w:color="auto" w:fill="DCE6F1"/>
          </w:tcPr>
          <w:p>
            <w:pPr>
              <w:spacing w:before="40" w:after="40" w:line="276" w:lineRule="auto"/>
              <w:jc w:val="center"/>
            </w:pPr>
            <w:r/>
            <w:r>
              <w:rPr>
                <w:rFonts w:ascii="Times New Roman" w:hAnsi="Times New Roman" w:eastAsia="黑体"/>
                <w:b/>
                <w:i w:val="0"/>
                <w:sz w:val="21"/>
              </w:rPr>
              <w:t>系统处理</w:t>
            </w:r>
          </w:p>
        </w:tc>
      </w:tr>
      <w:tr>
        <w:tc>
          <w:tcPr>
            <w:tcW w:type="dxa" w:w="2835"/>
          </w:tcPr>
          <w:p>
            <w:pPr>
              <w:spacing w:before="20" w:after="20" w:line="276" w:lineRule="auto"/>
              <w:ind w:firstLine="0"/>
            </w:pPr>
            <w:r/>
            <w:r>
              <w:rPr>
                <w:rFonts w:ascii="Times New Roman" w:hAnsi="Times New Roman" w:eastAsia="宋体"/>
                <w:b w:val="0"/>
                <w:i w:val="0"/>
                <w:sz w:val="21"/>
              </w:rPr>
              <w:t>规则未配置预警模板</w:t>
            </w:r>
          </w:p>
        </w:tc>
        <w:tc>
          <w:tcPr>
            <w:tcW w:type="dxa" w:w="6236"/>
          </w:tcPr>
          <w:p>
            <w:pPr>
              <w:spacing w:before="20" w:after="20" w:line="276" w:lineRule="auto"/>
              <w:ind w:firstLine="0"/>
            </w:pPr>
            <w:r/>
            <w:r>
              <w:rPr>
                <w:rFonts w:ascii="Times New Roman" w:hAnsi="Times New Roman" w:eastAsia="宋体"/>
                <w:b w:val="0"/>
                <w:i w:val="0"/>
                <w:sz w:val="21"/>
              </w:rPr>
              <w:t>阻止信号生成并提示规则未配置预警模板，其余规则不受影响</w:t>
            </w:r>
          </w:p>
        </w:tc>
      </w:tr>
      <w:tr>
        <w:tc>
          <w:tcPr>
            <w:tcW w:type="dxa" w:w="2835"/>
          </w:tcPr>
          <w:p>
            <w:pPr>
              <w:spacing w:before="20" w:after="20" w:line="276" w:lineRule="auto"/>
              <w:ind w:firstLine="0"/>
            </w:pPr>
            <w:r/>
            <w:r>
              <w:rPr>
                <w:rFonts w:ascii="Times New Roman" w:hAnsi="Times New Roman" w:eastAsia="宋体"/>
                <w:b w:val="0"/>
                <w:i w:val="0"/>
                <w:sz w:val="21"/>
              </w:rPr>
              <w:t>触发值超出指标范围</w:t>
            </w:r>
          </w:p>
        </w:tc>
        <w:tc>
          <w:tcPr>
            <w:tcW w:type="dxa" w:w="6236"/>
          </w:tcPr>
          <w:p>
            <w:pPr>
              <w:spacing w:before="20" w:after="20" w:line="276" w:lineRule="auto"/>
              <w:ind w:firstLine="0"/>
            </w:pPr>
            <w:r/>
            <w:r>
              <w:rPr>
                <w:rFonts w:ascii="Times New Roman" w:hAnsi="Times New Roman" w:eastAsia="宋体"/>
                <w:b w:val="0"/>
                <w:i w:val="0"/>
                <w:sz w:val="21"/>
              </w:rPr>
              <w:t>以黄灯提醒提示触发值超出指标范围，不阻断业务浏览与后续操作</w:t>
            </w:r>
          </w:p>
        </w:tc>
      </w:tr>
      <w:tr>
        <w:tc>
          <w:tcPr>
            <w:tcW w:type="dxa" w:w="2835"/>
          </w:tcPr>
          <w:p>
            <w:pPr>
              <w:spacing w:before="20" w:after="20" w:line="276" w:lineRule="auto"/>
              <w:ind w:firstLine="0"/>
            </w:pPr>
            <w:r/>
            <w:r>
              <w:rPr>
                <w:rFonts w:ascii="Times New Roman" w:hAnsi="Times New Roman" w:eastAsia="宋体"/>
                <w:b w:val="0"/>
                <w:i w:val="0"/>
                <w:sz w:val="21"/>
              </w:rPr>
              <w:t>预警超过 7 日仍未处理</w:t>
            </w:r>
          </w:p>
        </w:tc>
        <w:tc>
          <w:tcPr>
            <w:tcW w:type="dxa" w:w="6236"/>
          </w:tcPr>
          <w:p>
            <w:pPr>
              <w:spacing w:before="20" w:after="20" w:line="276" w:lineRule="auto"/>
              <w:ind w:firstLine="0"/>
            </w:pPr>
            <w:r/>
            <w:r>
              <w:rPr>
                <w:rFonts w:ascii="Times New Roman" w:hAnsi="Times New Roman" w:eastAsia="宋体"/>
                <w:b w:val="0"/>
                <w:i w:val="0"/>
                <w:sz w:val="21"/>
              </w:rPr>
              <w:t>升级通知到上级并提示预警已超 7 日未处理，该信号仍可在列表与详情中继续处理直至转为已处理</w:t>
            </w:r>
          </w:p>
        </w:tc>
      </w:tr>
      <w:tr>
        <w:tc>
          <w:tcPr>
            <w:tcW w:type="dxa" w:w="2835"/>
          </w:tcPr>
          <w:p>
            <w:pPr>
              <w:spacing w:before="20" w:after="20" w:line="276" w:lineRule="auto"/>
              <w:ind w:firstLine="0"/>
            </w:pPr>
            <w:r/>
            <w:r>
              <w:rPr>
                <w:rFonts w:ascii="Times New Roman" w:hAnsi="Times New Roman" w:eastAsia="宋体"/>
                <w:b w:val="0"/>
                <w:i w:val="0"/>
                <w:sz w:val="21"/>
              </w:rPr>
              <w:t>同一规则 24 小时内重复触发</w:t>
            </w:r>
          </w:p>
        </w:tc>
        <w:tc>
          <w:tcPr>
            <w:tcW w:type="dxa" w:w="6236"/>
          </w:tcPr>
          <w:p>
            <w:pPr>
              <w:spacing w:before="20" w:after="20" w:line="276" w:lineRule="auto"/>
              <w:ind w:firstLine="0"/>
            </w:pPr>
            <w:r/>
            <w:r>
              <w:rPr>
                <w:rFonts w:ascii="Times New Roman" w:hAnsi="Times New Roman" w:eastAsia="宋体"/>
                <w:b w:val="0"/>
                <w:i w:val="0"/>
                <w:sz w:val="21"/>
              </w:rPr>
              <w:t>合并为 1 条信号并提示同规则 24 小时内已触发若干次，合并为 1 条</w:t>
            </w:r>
          </w:p>
        </w:tc>
      </w:tr>
      <w:tr>
        <w:tc>
          <w:tcPr>
            <w:tcW w:type="dxa" w:w="2835"/>
          </w:tcPr>
          <w:p>
            <w:pPr>
              <w:spacing w:before="20" w:after="20" w:line="276" w:lineRule="auto"/>
              <w:ind w:firstLine="0"/>
            </w:pPr>
            <w:r/>
            <w:r>
              <w:rPr>
                <w:rFonts w:ascii="Times New Roman" w:hAnsi="Times New Roman" w:eastAsia="宋体"/>
                <w:b w:val="0"/>
                <w:i w:val="0"/>
                <w:sz w:val="21"/>
              </w:rPr>
              <w:t>用户打开不属于本人的待办或无处置权限</w:t>
            </w:r>
          </w:p>
        </w:tc>
        <w:tc>
          <w:tcPr>
            <w:tcW w:type="dxa" w:w="6236"/>
          </w:tcPr>
          <w:p>
            <w:pPr>
              <w:spacing w:before="20" w:after="20" w:line="276" w:lineRule="auto"/>
              <w:ind w:firstLine="0"/>
            </w:pPr>
            <w:r/>
            <w:r>
              <w:rPr>
                <w:rFonts w:ascii="Times New Roman" w:hAnsi="Times New Roman" w:eastAsia="宋体"/>
                <w:b w:val="0"/>
                <w:i w:val="0"/>
                <w:sz w:val="21"/>
              </w:rPr>
              <w:t>相应操作按钮不可用并给出无权限提示，预警保持原状态不发生变更</w:t>
            </w:r>
          </w:p>
        </w:tc>
      </w:tr>
    </w:tbl>
    <w:p>
      <w:pPr>
        <w:spacing w:before="0" w:after="0" w:line="240" w:lineRule="auto"/>
      </w:pPr>
    </w:p>
    <w:p>
      <w:pPr>
        <w:spacing w:before="120" w:after="60"/>
        <w:ind w:firstLine="0"/>
        <w:jc w:val="center"/>
      </w:pPr>
      <w:r>
        <w:drawing>
          <wp:inline xmlns:a="http://schemas.openxmlformats.org/drawingml/2006/main" xmlns:pic="http://schemas.openxmlformats.org/drawingml/2006/picture">
            <wp:extent cx="5616000" cy="3334500"/>
            <wp:docPr id="57" name="Picture 57"/>
            <wp:cNvGraphicFramePr>
              <a:graphicFrameLocks noChangeAspect="1"/>
            </wp:cNvGraphicFramePr>
            <a:graphic>
              <a:graphicData uri="http://schemas.openxmlformats.org/drawingml/2006/picture">
                <pic:pic>
                  <pic:nvPicPr>
                    <pic:cNvPr id="0" name="warning-config.png"/>
                    <pic:cNvPicPr/>
                  </pic:nvPicPr>
                  <pic:blipFill>
                    <a:blip r:embed="rId67"/>
                    <a:stretch>
                      <a:fillRect/>
                    </a:stretch>
                  </pic:blipFill>
                  <pic:spPr>
                    <a:xfrm>
                      <a:off x="0" y="0"/>
                      <a:ext cx="5616000" cy="3334500"/>
                    </a:xfrm>
                    <a:prstGeom prst="rect"/>
                  </pic:spPr>
                </pic:pic>
              </a:graphicData>
            </a:graphic>
          </wp:inline>
        </w:drawing>
      </w:r>
    </w:p>
    <w:p>
      <w:pPr>
        <w:spacing w:before="0" w:after="200" w:line="240" w:lineRule="auto"/>
        <w:ind w:firstLine="0"/>
        <w:jc w:val="center"/>
      </w:pPr>
      <w:r>
        <w:rPr>
          <w:rFonts w:ascii="Times New Roman" w:hAnsi="Times New Roman" w:eastAsia="宋体"/>
          <w:b w:val="0"/>
          <w:i w:val="0"/>
          <w:sz w:val="21"/>
        </w:rPr>
        <w:t>图 4-27-2.1　预警管理（config）</w:t>
      </w:r>
    </w:p>
    <w:p>
      <w:pPr>
        <w:spacing w:before="80" w:after="60" w:line="360" w:lineRule="auto"/>
      </w:pPr>
      <w:r>
        <w:rPr>
          <w:rFonts w:ascii="Times New Roman" w:hAnsi="Times New Roman" w:eastAsia="宋体"/>
          <w:b/>
          <w:i w:val="0"/>
          <w:sz w:val="24"/>
        </w:rPr>
        <w:t>页面级说明：</w:t>
      </w: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tblGrid>
      <w:tr>
        <w:trPr>
          <w:tblHeader w:val="true"/>
        </w:trPr>
        <w:tc>
          <w:tcPr>
            <w:tcW w:type="dxa" w:w="1178"/>
            <w:shd w:val="clear" w:color="auto" w:fill="DCE6F1"/>
          </w:tcPr>
          <w:p>
            <w:pPr>
              <w:spacing w:before="40" w:after="40" w:line="276" w:lineRule="auto"/>
              <w:jc w:val="center"/>
            </w:pPr>
            <w:r/>
            <w:r>
              <w:rPr>
                <w:rFonts w:ascii="Times New Roman" w:hAnsi="Times New Roman" w:eastAsia="黑体"/>
                <w:b/>
                <w:i w:val="0"/>
                <w:sz w:val="19"/>
              </w:rPr>
              <w:t>页面</w:t>
            </w:r>
          </w:p>
        </w:tc>
        <w:tc>
          <w:tcPr>
            <w:tcW w:type="dxa" w:w="1531"/>
            <w:shd w:val="clear" w:color="auto" w:fill="DCE6F1"/>
          </w:tcPr>
          <w:p>
            <w:pPr>
              <w:spacing w:before="40" w:after="40" w:line="276" w:lineRule="auto"/>
              <w:jc w:val="center"/>
            </w:pPr>
            <w:r/>
            <w:r>
              <w:rPr>
                <w:rFonts w:ascii="Times New Roman" w:hAnsi="Times New Roman" w:eastAsia="黑体"/>
                <w:b/>
                <w:i w:val="0"/>
                <w:sz w:val="19"/>
              </w:rPr>
              <w:t>原型文件</w:t>
            </w:r>
          </w:p>
        </w:tc>
        <w:tc>
          <w:tcPr>
            <w:tcW w:type="dxa" w:w="1119"/>
            <w:shd w:val="clear" w:color="auto" w:fill="DCE6F1"/>
          </w:tcPr>
          <w:p>
            <w:pPr>
              <w:spacing w:before="40" w:after="40" w:line="276" w:lineRule="auto"/>
              <w:jc w:val="center"/>
            </w:pPr>
            <w:r/>
            <w:r>
              <w:rPr>
                <w:rFonts w:ascii="Times New Roman" w:hAnsi="Times New Roman" w:eastAsia="黑体"/>
                <w:b/>
                <w:i w:val="0"/>
                <w:sz w:val="19"/>
              </w:rPr>
              <w:t>进入方式</w:t>
            </w:r>
          </w:p>
        </w:tc>
        <w:tc>
          <w:tcPr>
            <w:tcW w:type="dxa" w:w="2062"/>
            <w:shd w:val="clear" w:color="auto" w:fill="DCE6F1"/>
          </w:tcPr>
          <w:p>
            <w:pPr>
              <w:spacing w:before="40" w:after="40" w:line="276" w:lineRule="auto"/>
              <w:jc w:val="center"/>
            </w:pPr>
            <w:r/>
            <w:r>
              <w:rPr>
                <w:rFonts w:ascii="Times New Roman" w:hAnsi="Times New Roman" w:eastAsia="黑体"/>
                <w:b/>
                <w:i w:val="0"/>
                <w:sz w:val="19"/>
              </w:rPr>
              <w:t>关键区块</w:t>
            </w:r>
          </w:p>
        </w:tc>
        <w:tc>
          <w:tcPr>
            <w:tcW w:type="dxa" w:w="1767"/>
            <w:shd w:val="clear" w:color="auto" w:fill="DCE6F1"/>
          </w:tcPr>
          <w:p>
            <w:pPr>
              <w:spacing w:before="40" w:after="40" w:line="276" w:lineRule="auto"/>
              <w:jc w:val="center"/>
            </w:pPr>
            <w:r/>
            <w:r>
              <w:rPr>
                <w:rFonts w:ascii="Times New Roman" w:hAnsi="Times New Roman" w:eastAsia="黑体"/>
                <w:b/>
                <w:i w:val="0"/>
                <w:sz w:val="19"/>
              </w:rPr>
              <w:t>主要按钮与行为</w:t>
            </w:r>
          </w:p>
        </w:tc>
        <w:tc>
          <w:tcPr>
            <w:tcW w:type="dxa" w:w="1414"/>
            <w:shd w:val="clear" w:color="auto" w:fill="DCE6F1"/>
          </w:tcPr>
          <w:p>
            <w:pPr>
              <w:spacing w:before="40" w:after="40" w:line="276" w:lineRule="auto"/>
              <w:jc w:val="center"/>
            </w:pPr>
            <w:r/>
            <w:r>
              <w:rPr>
                <w:rFonts w:ascii="Times New Roman" w:hAnsi="Times New Roman" w:eastAsia="黑体"/>
                <w:b/>
                <w:i w:val="0"/>
                <w:sz w:val="19"/>
              </w:rPr>
              <w:t>跳转去向</w:t>
            </w:r>
          </w:p>
        </w:tc>
      </w:tr>
      <w:tr>
        <w:tc>
          <w:tcPr>
            <w:tcW w:type="dxa" w:w="1178"/>
          </w:tcPr>
          <w:p>
            <w:pPr>
              <w:spacing w:before="20" w:after="20" w:line="276" w:lineRule="auto"/>
              <w:ind w:firstLine="0"/>
            </w:pPr>
            <w:r/>
            <w:r>
              <w:rPr>
                <w:rFonts w:ascii="Times New Roman" w:hAnsi="Times New Roman" w:eastAsia="宋体"/>
                <w:b w:val="0"/>
                <w:i w:val="0"/>
                <w:sz w:val="19"/>
              </w:rPr>
              <w:t>预警列表</w:t>
            </w:r>
          </w:p>
        </w:tc>
        <w:tc>
          <w:tcPr>
            <w:tcW w:type="dxa" w:w="1531"/>
          </w:tcPr>
          <w:p>
            <w:pPr>
              <w:spacing w:before="20" w:after="20" w:line="276" w:lineRule="auto"/>
              <w:ind w:firstLine="0"/>
            </w:pPr>
            <w:r/>
            <w:r>
              <w:rPr>
                <w:rFonts w:ascii="Times New Roman" w:hAnsi="Times New Roman" w:eastAsia="宋体"/>
                <w:b w:val="0"/>
                <w:i w:val="0"/>
                <w:sz w:val="19"/>
              </w:rPr>
              <w:t>warning-list.html</w:t>
            </w:r>
          </w:p>
        </w:tc>
        <w:tc>
          <w:tcPr>
            <w:tcW w:type="dxa" w:w="1119"/>
          </w:tcPr>
          <w:p>
            <w:pPr>
              <w:spacing w:before="20" w:after="20" w:line="276" w:lineRule="auto"/>
              <w:ind w:firstLine="0"/>
            </w:pPr>
            <w:r/>
            <w:r>
              <w:rPr>
                <w:rFonts w:ascii="Times New Roman" w:hAnsi="Times New Roman" w:eastAsia="宋体"/>
                <w:b w:val="0"/>
                <w:i w:val="0"/>
                <w:sz w:val="19"/>
              </w:rPr>
              <w:t>预警中心 / 预警管理 / 预警列表</w:t>
            </w:r>
          </w:p>
        </w:tc>
        <w:tc>
          <w:tcPr>
            <w:tcW w:type="dxa" w:w="2062"/>
          </w:tcPr>
          <w:p>
            <w:pPr>
              <w:spacing w:before="20" w:after="20" w:line="276" w:lineRule="auto"/>
              <w:ind w:firstLine="0"/>
            </w:pPr>
            <w:r/>
            <w:r>
              <w:rPr>
                <w:rFonts w:ascii="Times New Roman" w:hAnsi="Times New Roman" w:eastAsia="宋体"/>
                <w:b w:val="0"/>
                <w:i w:val="0"/>
                <w:sz w:val="19"/>
              </w:rPr>
              <w:t>区块一预警信息数据概览，3 张等宽卡片各含堆叠柱状图与 4 个图例；区块二预警数据，含 3 个页签（企业监控、交易监控、价格波动）、3 套筛选区、3 套状态页签、3 套表格与分页</w:t>
            </w:r>
          </w:p>
        </w:tc>
        <w:tc>
          <w:tcPr>
            <w:tcW w:type="dxa" w:w="1767"/>
          </w:tcPr>
          <w:p>
            <w:pPr>
              <w:spacing w:before="20" w:after="20" w:line="276" w:lineRule="auto"/>
              <w:ind w:firstLine="0"/>
            </w:pPr>
            <w:r/>
            <w:r>
              <w:rPr>
                <w:rFonts w:ascii="Times New Roman" w:hAnsi="Times New Roman" w:eastAsia="宋体"/>
                <w:b w:val="0"/>
                <w:i w:val="0"/>
                <w:sz w:val="19"/>
              </w:rPr>
              <w:t>页签切换、状态页签切换、查询、重置、导出、行内详情、认领、处置；筛选标签位于输入框上方且不带冒号</w:t>
            </w:r>
          </w:p>
        </w:tc>
        <w:tc>
          <w:tcPr>
            <w:tcW w:type="dxa" w:w="1414"/>
          </w:tcPr>
          <w:p>
            <w:pPr>
              <w:spacing w:before="20" w:after="20" w:line="276" w:lineRule="auto"/>
              <w:ind w:firstLine="0"/>
            </w:pPr>
            <w:r/>
            <w:r>
              <w:rPr>
                <w:rFonts w:ascii="Times New Roman" w:hAnsi="Times New Roman" w:eastAsia="宋体"/>
                <w:b w:val="0"/>
                <w:i w:val="0"/>
                <w:sz w:val="19"/>
              </w:rPr>
              <w:t>点击行内详情跳转预警详情页 warning-detail.html</w:t>
            </w:r>
          </w:p>
        </w:tc>
      </w:tr>
      <w:tr>
        <w:tc>
          <w:tcPr>
            <w:tcW w:type="dxa" w:w="1178"/>
          </w:tcPr>
          <w:p>
            <w:pPr>
              <w:spacing w:before="20" w:after="20" w:line="276" w:lineRule="auto"/>
              <w:ind w:firstLine="0"/>
            </w:pPr>
            <w:r/>
            <w:r>
              <w:rPr>
                <w:rFonts w:ascii="Times New Roman" w:hAnsi="Times New Roman" w:eastAsia="宋体"/>
                <w:b w:val="0"/>
                <w:i w:val="0"/>
                <w:sz w:val="19"/>
              </w:rPr>
              <w:t>预警详情</w:t>
            </w:r>
          </w:p>
        </w:tc>
        <w:tc>
          <w:tcPr>
            <w:tcW w:type="dxa" w:w="1531"/>
          </w:tcPr>
          <w:p>
            <w:pPr>
              <w:spacing w:before="20" w:after="20" w:line="276" w:lineRule="auto"/>
              <w:ind w:firstLine="0"/>
            </w:pPr>
            <w:r/>
            <w:r>
              <w:rPr>
                <w:rFonts w:ascii="Times New Roman" w:hAnsi="Times New Roman" w:eastAsia="宋体"/>
                <w:b w:val="0"/>
                <w:i w:val="0"/>
                <w:sz w:val="19"/>
              </w:rPr>
              <w:t>warning-detail.html</w:t>
            </w:r>
          </w:p>
        </w:tc>
        <w:tc>
          <w:tcPr>
            <w:tcW w:type="dxa" w:w="1119"/>
          </w:tcPr>
          <w:p>
            <w:pPr>
              <w:spacing w:before="20" w:after="20" w:line="276" w:lineRule="auto"/>
              <w:ind w:firstLine="0"/>
            </w:pPr>
            <w:r/>
            <w:r>
              <w:rPr>
                <w:rFonts w:ascii="Times New Roman" w:hAnsi="Times New Roman" w:eastAsia="宋体"/>
                <w:b w:val="0"/>
                <w:i w:val="0"/>
                <w:sz w:val="19"/>
              </w:rPr>
              <w:t>预警中心 / 预警管理 / 预警列表 / 行内详情</w:t>
            </w:r>
          </w:p>
        </w:tc>
        <w:tc>
          <w:tcPr>
            <w:tcW w:type="dxa" w:w="2062"/>
          </w:tcPr>
          <w:p>
            <w:pPr>
              <w:spacing w:before="20" w:after="20" w:line="276" w:lineRule="auto"/>
              <w:ind w:firstLine="0"/>
            </w:pPr>
            <w:r/>
            <w:r>
              <w:rPr>
                <w:rFonts w:ascii="Times New Roman" w:hAnsi="Times New Roman" w:eastAsia="宋体"/>
                <w:b w:val="0"/>
                <w:i w:val="0"/>
                <w:sz w:val="19"/>
              </w:rPr>
              <w:t>头部操作下拉；区块一基本信息 6 行 2 列共 12 个字段；区块二预警明细含描述与 9 列表格；区块三预警处理记录含 5 列表格；区块四预警解除含单选项与 6 列表格及取消与提交按钮；底部嵌入式按钮区</w:t>
            </w:r>
          </w:p>
        </w:tc>
        <w:tc>
          <w:tcPr>
            <w:tcW w:type="dxa" w:w="1767"/>
          </w:tcPr>
          <w:p>
            <w:pPr>
              <w:spacing w:before="20" w:after="20" w:line="276" w:lineRule="auto"/>
              <w:ind w:firstLine="0"/>
            </w:pPr>
            <w:r/>
            <w:r>
              <w:rPr>
                <w:rFonts w:ascii="Times New Roman" w:hAnsi="Times New Roman" w:eastAsia="宋体"/>
                <w:b w:val="0"/>
                <w:i w:val="0"/>
                <w:sz w:val="19"/>
              </w:rPr>
              <w:t>头部操作下拉、认领、处置、审批、预警解除提交、取消、解除时间与最新跟踪时间的只读展示；未解除时预警解除时间列留空</w:t>
            </w:r>
          </w:p>
        </w:tc>
        <w:tc>
          <w:tcPr>
            <w:tcW w:type="dxa" w:w="1414"/>
          </w:tcPr>
          <w:p>
            <w:pPr>
              <w:spacing w:before="20" w:after="20" w:line="276" w:lineRule="auto"/>
              <w:ind w:firstLine="0"/>
            </w:pPr>
            <w:r/>
            <w:r>
              <w:rPr>
                <w:rFonts w:ascii="Times New Roman" w:hAnsi="Times New Roman" w:eastAsia="宋体"/>
                <w:b w:val="0"/>
                <w:i w:val="0"/>
                <w:sz w:val="19"/>
              </w:rPr>
              <w:t>处置与解除提交后回到预警列表 warning-list.html 并刷新当前页签数据</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4.27.8　验收标准与待确认项</w:t>
      </w:r>
    </w:p>
    <w:tbl>
      <w:tblPr>
        <w:tblStyle w:val="TableGrid"/>
        <w:tblW w:type="auto" w:w="0"/>
        <w:jc w:val="center"/>
        <w:tblLayout w:type="fixed"/>
        <w:tblLook w:firstColumn="1" w:firstRow="1" w:lastColumn="0" w:lastRow="0" w:noHBand="0" w:noVBand="1" w:val="04A0"/>
      </w:tblPr>
      <w:tblGrid>
        <w:gridCol w:w="4479"/>
        <w:gridCol w:w="4479"/>
      </w:tblGrid>
      <w:tr>
        <w:trPr>
          <w:tblHeader w:val="true"/>
        </w:trPr>
        <w:tc>
          <w:tcPr>
            <w:tcW w:type="dxa" w:w="1701"/>
            <w:shd w:val="clear" w:color="auto" w:fill="DCE6F1"/>
          </w:tcPr>
          <w:p>
            <w:pPr>
              <w:spacing w:before="40" w:after="40" w:line="276" w:lineRule="auto"/>
              <w:jc w:val="center"/>
            </w:pPr>
            <w:r/>
            <w:r>
              <w:rPr>
                <w:rFonts w:ascii="Times New Roman" w:hAnsi="Times New Roman" w:eastAsia="黑体"/>
                <w:b/>
                <w:i w:val="0"/>
                <w:sz w:val="21"/>
              </w:rPr>
              <w:t>功能</w:t>
            </w:r>
          </w:p>
        </w:tc>
        <w:tc>
          <w:tcPr>
            <w:tcW w:type="dxa" w:w="7370"/>
            <w:shd w:val="clear" w:color="auto" w:fill="DCE6F1"/>
          </w:tcPr>
          <w:p>
            <w:pPr>
              <w:spacing w:before="40" w:after="40" w:line="276" w:lineRule="auto"/>
              <w:jc w:val="center"/>
            </w:pPr>
            <w:r/>
            <w:r>
              <w:rPr>
                <w:rFonts w:ascii="Times New Roman" w:hAnsi="Times New Roman" w:eastAsia="黑体"/>
                <w:b/>
                <w:i w:val="0"/>
                <w:sz w:val="21"/>
              </w:rPr>
              <w:t>验收要点（由关键规则转写）</w:t>
            </w:r>
          </w:p>
        </w:tc>
      </w:tr>
      <w:tr>
        <w:tc>
          <w:tcPr>
            <w:tcW w:type="dxa" w:w="1701"/>
          </w:tcPr>
          <w:p>
            <w:pPr>
              <w:spacing w:before="20" w:after="20" w:line="276" w:lineRule="auto"/>
              <w:ind w:firstLine="0"/>
            </w:pPr>
            <w:r/>
            <w:r>
              <w:rPr>
                <w:rFonts w:ascii="Times New Roman" w:hAnsi="Times New Roman" w:eastAsia="宋体"/>
                <w:b w:val="0"/>
                <w:i w:val="0"/>
                <w:sz w:val="21"/>
              </w:rPr>
              <w:t>预警数据概览</w:t>
            </w:r>
          </w:p>
        </w:tc>
        <w:tc>
          <w:tcPr>
            <w:tcW w:type="dxa" w:w="7370"/>
          </w:tcPr>
          <w:p>
            <w:pPr>
              <w:spacing w:before="20" w:after="20" w:line="276" w:lineRule="auto"/>
              <w:ind w:firstLine="0"/>
            </w:pPr>
            <w:r/>
            <w:r>
              <w:rPr>
                <w:rFonts w:ascii="Times New Roman" w:hAnsi="Times New Roman" w:eastAsia="宋体"/>
                <w:b w:val="0"/>
                <w:i w:val="0"/>
                <w:sz w:val="21"/>
              </w:rPr>
              <w:t>3 张卡片分别为预警总计、未处理预警、超 7 日未处理，其中未处理预警等于待处理加已跟进加已超 7 日未处理；预警总数等于已处理加未处理；每张卡片为 3 个维度（企业监控、交易监控、价格波动）的堆叠柱状图，含全部、高风险、中风险、低风险 4 个图例；3 张卡片在 3 个页签间共享同一份数据</w:t>
            </w:r>
          </w:p>
        </w:tc>
      </w:tr>
      <w:tr>
        <w:tc>
          <w:tcPr>
            <w:tcW w:type="dxa" w:w="1701"/>
          </w:tcPr>
          <w:p>
            <w:pPr>
              <w:spacing w:before="20" w:after="20" w:line="276" w:lineRule="auto"/>
              <w:ind w:firstLine="0"/>
            </w:pPr>
            <w:r/>
            <w:r>
              <w:rPr>
                <w:rFonts w:ascii="Times New Roman" w:hAnsi="Times New Roman" w:eastAsia="宋体"/>
                <w:b w:val="0"/>
                <w:i w:val="0"/>
                <w:sz w:val="21"/>
              </w:rPr>
              <w:t>分栏与状态页签筛选</w:t>
            </w:r>
          </w:p>
        </w:tc>
        <w:tc>
          <w:tcPr>
            <w:tcW w:type="dxa" w:w="7370"/>
          </w:tcPr>
          <w:p>
            <w:pPr>
              <w:spacing w:before="20" w:after="20" w:line="276" w:lineRule="auto"/>
              <w:ind w:firstLine="0"/>
            </w:pPr>
            <w:r/>
            <w:r>
              <w:rPr>
                <w:rFonts w:ascii="Times New Roman" w:hAnsi="Times New Roman" w:eastAsia="宋体"/>
                <w:b w:val="0"/>
                <w:i w:val="0"/>
                <w:sz w:val="21"/>
              </w:rPr>
              <w:t>列表页固定企业监控、交易监控、价格波动 3 个页签，进入默认停留在企业监控页签；3 个页签的筛选区、状态页签与表格各自独立，筛选条件不跨页签共享，切换页签后按该页签的业务实体重新渲染列表与状态页签计数；企业监控页签提供全部、待处理、已跟进、已处理、超 7 日未处理 5 个状态页签，交易监控与价格波动页签在此基础上扩展审批类与超期类状态；状态页签带计数，计数为 0 时仍保留该页签不隐藏；切换状态页签即过滤实例列表</w:t>
            </w:r>
          </w:p>
        </w:tc>
      </w:tr>
      <w:tr>
        <w:tc>
          <w:tcPr>
            <w:tcW w:type="dxa" w:w="1701"/>
          </w:tcPr>
          <w:p>
            <w:pPr>
              <w:spacing w:before="20" w:after="20" w:line="276" w:lineRule="auto"/>
              <w:ind w:firstLine="0"/>
            </w:pPr>
            <w:r/>
            <w:r>
              <w:rPr>
                <w:rFonts w:ascii="Times New Roman" w:hAnsi="Times New Roman" w:eastAsia="宋体"/>
                <w:b w:val="0"/>
                <w:i w:val="0"/>
                <w:sz w:val="21"/>
              </w:rPr>
              <w:t>多条件筛选与导出</w:t>
            </w:r>
          </w:p>
        </w:tc>
        <w:tc>
          <w:tcPr>
            <w:tcW w:type="dxa" w:w="7370"/>
          </w:tcPr>
          <w:p>
            <w:pPr>
              <w:spacing w:before="20" w:after="20" w:line="276" w:lineRule="auto"/>
              <w:ind w:firstLine="0"/>
            </w:pPr>
            <w:r/>
            <w:r>
              <w:rPr>
                <w:rFonts w:ascii="Times New Roman" w:hAnsi="Times New Roman" w:eastAsia="宋体"/>
                <w:b w:val="0"/>
                <w:i w:val="0"/>
                <w:sz w:val="21"/>
              </w:rPr>
              <w:t>企业监控页签 6 个筛选字段为预警日期、规则类型、规则名称、风险等级、企业名称、企业类型；交易监控页签 5 个字段为预警日期、规则名称、规则类型、触发预警指标、风险等级；价格波动页签 8 个字段为预警日期、规则类型、规则名称、风险等级、合同编号、下游实际负责人、业务线名称、业务品种；三个页签均提供查询、重置、导出 3 个按钮，重置清空当前页签全部筛选项，导出范围为当前筛选结果</w:t>
            </w:r>
          </w:p>
        </w:tc>
      </w:tr>
      <w:tr>
        <w:tc>
          <w:tcPr>
            <w:tcW w:type="dxa" w:w="1701"/>
          </w:tcPr>
          <w:p>
            <w:pPr>
              <w:spacing w:before="20" w:after="20" w:line="276" w:lineRule="auto"/>
              <w:ind w:firstLine="0"/>
            </w:pPr>
            <w:r/>
            <w:r>
              <w:rPr>
                <w:rFonts w:ascii="Times New Roman" w:hAnsi="Times New Roman" w:eastAsia="宋体"/>
                <w:b w:val="0"/>
                <w:i w:val="0"/>
                <w:sz w:val="21"/>
              </w:rPr>
              <w:t>预警认领与处置</w:t>
            </w:r>
          </w:p>
        </w:tc>
        <w:tc>
          <w:tcPr>
            <w:tcW w:type="dxa" w:w="7370"/>
          </w:tcPr>
          <w:p>
            <w:pPr>
              <w:spacing w:before="20" w:after="20" w:line="276" w:lineRule="auto"/>
              <w:ind w:firstLine="0"/>
            </w:pPr>
            <w:r/>
            <w:r>
              <w:rPr>
                <w:rFonts w:ascii="Times New Roman" w:hAnsi="Times New Roman" w:eastAsia="宋体"/>
                <w:b w:val="0"/>
                <w:i w:val="0"/>
                <w:sz w:val="21"/>
              </w:rPr>
              <w:t>待处理状态的预警由业务员认领后状态转为已跟进并记录处理人；提交处置意见后进入处置审批环节；处置意见与处理人、处理时间一并记录在预警处理记录中</w:t>
            </w:r>
          </w:p>
        </w:tc>
      </w:tr>
      <w:tr>
        <w:tc>
          <w:tcPr>
            <w:tcW w:type="dxa" w:w="1701"/>
          </w:tcPr>
          <w:p>
            <w:pPr>
              <w:spacing w:before="20" w:after="20" w:line="276" w:lineRule="auto"/>
              <w:ind w:firstLine="0"/>
            </w:pPr>
            <w:r/>
            <w:r>
              <w:rPr>
                <w:rFonts w:ascii="Times New Roman" w:hAnsi="Times New Roman" w:eastAsia="宋体"/>
                <w:b w:val="0"/>
                <w:i w:val="0"/>
                <w:sz w:val="21"/>
              </w:rPr>
              <w:t>处置审批</w:t>
            </w:r>
          </w:p>
        </w:tc>
        <w:tc>
          <w:tcPr>
            <w:tcW w:type="dxa" w:w="7370"/>
          </w:tcPr>
          <w:p>
            <w:pPr>
              <w:spacing w:before="20" w:after="20" w:line="276" w:lineRule="auto"/>
              <w:ind w:firstLine="0"/>
            </w:pPr>
            <w:r/>
            <w:r>
              <w:rPr>
                <w:rFonts w:ascii="Times New Roman" w:hAnsi="Times New Roman" w:eastAsia="宋体"/>
                <w:b w:val="0"/>
                <w:i w:val="0"/>
                <w:sz w:val="21"/>
              </w:rPr>
              <w:t>处置审批通过后状态转为已处理，已处理为终态；审批驳回时回到已跟进状态并要求补充处置意见；审批通过后按业务类型触发下游联动动作</w:t>
            </w:r>
          </w:p>
        </w:tc>
      </w:tr>
      <w:tr>
        <w:tc>
          <w:tcPr>
            <w:tcW w:type="dxa" w:w="1701"/>
          </w:tcPr>
          <w:p>
            <w:pPr>
              <w:spacing w:before="20" w:after="20" w:line="276" w:lineRule="auto"/>
              <w:ind w:firstLine="0"/>
            </w:pPr>
            <w:r/>
            <w:r>
              <w:rPr>
                <w:rFonts w:ascii="Times New Roman" w:hAnsi="Times New Roman" w:eastAsia="宋体"/>
                <w:b w:val="0"/>
                <w:i w:val="0"/>
                <w:sz w:val="21"/>
              </w:rPr>
              <w:t>超 7 日未处理升级</w:t>
            </w:r>
          </w:p>
        </w:tc>
        <w:tc>
          <w:tcPr>
            <w:tcW w:type="dxa" w:w="7370"/>
          </w:tcPr>
          <w:p>
            <w:pPr>
              <w:spacing w:before="20" w:after="20" w:line="276" w:lineRule="auto"/>
              <w:ind w:firstLine="0"/>
            </w:pPr>
            <w:r/>
            <w:r>
              <w:rPr>
                <w:rFonts w:ascii="Times New Roman" w:hAnsi="Times New Roman" w:eastAsia="宋体"/>
                <w:b w:val="0"/>
                <w:i w:val="0"/>
                <w:sz w:val="21"/>
              </w:rPr>
              <w:t>超期判定式为当前日期减预警日期大于 7 天，系统自动计算并置超期标记；判定为超期后升级通知到上级并提示预警已超 7 日未处理；超期信号可继续处理后转为已处理</w:t>
            </w:r>
          </w:p>
        </w:tc>
      </w:tr>
      <w:tr>
        <w:tc>
          <w:tcPr>
            <w:tcW w:type="dxa" w:w="1701"/>
          </w:tcPr>
          <w:p>
            <w:pPr>
              <w:spacing w:before="20" w:after="20" w:line="276" w:lineRule="auto"/>
              <w:ind w:firstLine="0"/>
            </w:pPr>
            <w:r/>
            <w:r>
              <w:rPr>
                <w:rFonts w:ascii="Times New Roman" w:hAnsi="Times New Roman" w:eastAsia="宋体"/>
                <w:b w:val="0"/>
                <w:i w:val="0"/>
                <w:sz w:val="21"/>
              </w:rPr>
              <w:t>重复触发合并</w:t>
            </w:r>
          </w:p>
        </w:tc>
        <w:tc>
          <w:tcPr>
            <w:tcW w:type="dxa" w:w="7370"/>
          </w:tcPr>
          <w:p>
            <w:pPr>
              <w:spacing w:before="20" w:after="20" w:line="276" w:lineRule="auto"/>
              <w:ind w:firstLine="0"/>
            </w:pPr>
            <w:r/>
            <w:r>
              <w:rPr>
                <w:rFonts w:ascii="Times New Roman" w:hAnsi="Times New Roman" w:eastAsia="宋体"/>
                <w:b w:val="0"/>
                <w:i w:val="0"/>
                <w:sz w:val="21"/>
              </w:rPr>
              <w:t>同一规则在 24 小时内重复触发时合并为 1 条信号并提示同规则 24 小时内已触发若干次，合并为 1 条；合并结果不阻断后续查询</w:t>
            </w:r>
          </w:p>
        </w:tc>
      </w:tr>
      <w:tr>
        <w:tc>
          <w:tcPr>
            <w:tcW w:type="dxa" w:w="1701"/>
          </w:tcPr>
          <w:p>
            <w:pPr>
              <w:spacing w:before="20" w:after="20" w:line="276" w:lineRule="auto"/>
              <w:ind w:firstLine="0"/>
            </w:pPr>
            <w:r/>
            <w:r>
              <w:rPr>
                <w:rFonts w:ascii="Times New Roman" w:hAnsi="Times New Roman" w:eastAsia="宋体"/>
                <w:b w:val="0"/>
                <w:i w:val="0"/>
                <w:sz w:val="21"/>
              </w:rPr>
              <w:t>预警解除与暂不处理</w:t>
            </w:r>
          </w:p>
        </w:tc>
        <w:tc>
          <w:tcPr>
            <w:tcW w:type="dxa" w:w="7370"/>
          </w:tcPr>
          <w:p>
            <w:pPr>
              <w:spacing w:before="20" w:after="20" w:line="276" w:lineRule="auto"/>
              <w:ind w:firstLine="0"/>
            </w:pPr>
            <w:r/>
            <w:r>
              <w:rPr>
                <w:rFonts w:ascii="Times New Roman" w:hAnsi="Times New Roman" w:eastAsia="宋体"/>
                <w:b w:val="0"/>
                <w:i w:val="0"/>
                <w:sz w:val="21"/>
              </w:rPr>
              <w:t>提供解除预警与暂不处理两种处理动作；解除预警后消除该条提醒已触发的通知消息；暂不处理后暂停该条提醒后续的通知消息，且该动作不是终态；两种动作的提交均需确认</w:t>
            </w:r>
          </w:p>
        </w:tc>
      </w:tr>
      <w:tr>
        <w:tc>
          <w:tcPr>
            <w:tcW w:type="dxa" w:w="1701"/>
          </w:tcPr>
          <w:p>
            <w:pPr>
              <w:spacing w:before="20" w:after="20" w:line="276" w:lineRule="auto"/>
              <w:ind w:firstLine="0"/>
            </w:pPr>
            <w:r/>
            <w:r>
              <w:rPr>
                <w:rFonts w:ascii="Times New Roman" w:hAnsi="Times New Roman" w:eastAsia="宋体"/>
                <w:b w:val="0"/>
                <w:i w:val="0"/>
                <w:sz w:val="21"/>
              </w:rPr>
              <w:t>下游联动</w:t>
            </w:r>
          </w:p>
        </w:tc>
        <w:tc>
          <w:tcPr>
            <w:tcW w:type="dxa" w:w="7370"/>
          </w:tcPr>
          <w:p>
            <w:pPr>
              <w:spacing w:before="20" w:after="20" w:line="276" w:lineRule="auto"/>
              <w:ind w:firstLine="0"/>
            </w:pPr>
            <w:r/>
            <w:r>
              <w:rPr>
                <w:rFonts w:ascii="Times New Roman" w:hAnsi="Times New Roman" w:eastAsia="宋体"/>
                <w:b w:val="0"/>
                <w:i w:val="0"/>
                <w:sz w:val="21"/>
              </w:rPr>
              <w:t>高风险预警已处理后更新客户风险等级；交易监控预警已处理后通知对应业务员；价格波动预警已处理后触发追保函</w:t>
            </w:r>
          </w:p>
        </w:tc>
      </w:tr>
    </w:tbl>
    <w:p>
      <w:pPr>
        <w:spacing w:before="0" w:after="0" w:line="240" w:lineRule="auto"/>
      </w:pPr>
    </w:p>
    <w:p>
      <w:pPr>
        <w:spacing w:before="120" w:after="60" w:line="360" w:lineRule="auto"/>
      </w:pPr>
      <w:r>
        <w:rPr>
          <w:rFonts w:ascii="Times New Roman" w:hAnsi="Times New Roman" w:eastAsia="宋体"/>
          <w:b/>
          <w:i w:val="0"/>
          <w:sz w:val="24"/>
        </w:rPr>
        <w:t>待业务方确认：</w:t>
      </w:r>
    </w:p>
    <w:p>
      <w:pPr>
        <w:spacing w:before="0" w:after="60" w:line="336" w:lineRule="auto"/>
        <w:ind w:left="340" w:firstLine="0"/>
      </w:pPr>
      <w:r>
        <w:rPr>
          <w:rFonts w:ascii="Times New Roman" w:hAnsi="Times New Roman" w:eastAsia="宋体"/>
          <w:b w:val="0"/>
          <w:i w:val="0"/>
          <w:sz w:val="24"/>
        </w:rPr>
        <w:t>· 待业务方确认：预警状态取值的最终集合，源文档中并存待处理、已跟进、已处理、已超 7 日仍未处理 4 态，以及待风险审批、审批驳回、已处理人工等仅出现在列表页签与标签中的取值，二者关系与落库枚举需统一</w:t>
      </w:r>
    </w:p>
    <w:p>
      <w:pPr>
        <w:spacing w:before="0" w:after="60" w:line="336" w:lineRule="auto"/>
        <w:ind w:left="340" w:firstLine="0"/>
      </w:pPr>
      <w:r>
        <w:rPr>
          <w:rFonts w:ascii="Times New Roman" w:hAnsi="Times New Roman" w:eastAsia="宋体"/>
          <w:b w:val="0"/>
          <w:i w:val="0"/>
          <w:sz w:val="24"/>
        </w:rPr>
        <w:t>· 待业务方确认：超 7 日未处理是独立状态还是保留原状态的派生标记，两种口径下的统计是否会重复计数</w:t>
      </w:r>
    </w:p>
    <w:p>
      <w:pPr>
        <w:spacing w:before="0" w:after="60" w:line="336" w:lineRule="auto"/>
        <w:ind w:left="340" w:firstLine="0"/>
      </w:pPr>
      <w:r>
        <w:rPr>
          <w:rFonts w:ascii="Times New Roman" w:hAnsi="Times New Roman" w:eastAsia="宋体"/>
          <w:b w:val="0"/>
          <w:i w:val="0"/>
          <w:sz w:val="24"/>
        </w:rPr>
        <w:t>· 待业务方确认：处置审批的审批人角色、是否与处置人互斥，以及驳回后允许修改的字段范围</w:t>
      </w:r>
    </w:p>
    <w:p>
      <w:pPr>
        <w:spacing w:before="0" w:after="60" w:line="336" w:lineRule="auto"/>
        <w:ind w:left="340" w:firstLine="0"/>
      </w:pPr>
      <w:r>
        <w:rPr>
          <w:rFonts w:ascii="Times New Roman" w:hAnsi="Times New Roman" w:eastAsia="宋体"/>
          <w:b w:val="0"/>
          <w:i w:val="0"/>
          <w:sz w:val="24"/>
        </w:rPr>
        <w:t>· 待业务方确认：升级通知到上级的通知对象与通知通道</w:t>
      </w:r>
    </w:p>
    <w:p>
      <w:pPr>
        <w:spacing w:before="0" w:after="60" w:line="336" w:lineRule="auto"/>
        <w:ind w:left="340" w:firstLine="0"/>
      </w:pPr>
      <w:r>
        <w:rPr>
          <w:rFonts w:ascii="Times New Roman" w:hAnsi="Times New Roman" w:eastAsia="宋体"/>
          <w:b w:val="0"/>
          <w:i w:val="0"/>
          <w:sz w:val="24"/>
        </w:rPr>
        <w:t>· 待业务方确认：预警解除与暂不处理分别落到哪个状态取值，暂不处理是否可恢复、是否有超时自动恢复</w:t>
      </w:r>
    </w:p>
    <w:p>
      <w:pPr>
        <w:spacing w:before="0" w:after="60" w:line="336" w:lineRule="auto"/>
        <w:ind w:left="340" w:firstLine="0"/>
      </w:pPr>
      <w:r>
        <w:rPr>
          <w:rFonts w:ascii="Times New Roman" w:hAnsi="Times New Roman" w:eastAsia="宋体"/>
          <w:b w:val="0"/>
          <w:i w:val="0"/>
          <w:sz w:val="24"/>
        </w:rPr>
        <w:t>· 待业务方确认：列表页与规则配置页的规则类型业务子类名与一级枚举之间的二级字典关系</w:t>
      </w:r>
    </w:p>
    <w:p>
      <w:pPr>
        <w:spacing w:before="0" w:after="60" w:line="336" w:lineRule="auto"/>
        <w:ind w:left="340" w:firstLine="0"/>
      </w:pPr>
      <w:r>
        <w:rPr>
          <w:rFonts w:ascii="Times New Roman" w:hAnsi="Times New Roman" w:eastAsia="宋体"/>
          <w:b w:val="0"/>
          <w:i w:val="0"/>
          <w:sz w:val="24"/>
        </w:rPr>
        <w:t>· 待业务方确认：同规则 24 小时内合并为 1 条的落库方式与触发次数字段的承载方式</w:t>
      </w:r>
    </w:p>
    <w:p>
      <w:pPr>
        <w:spacing w:before="0" w:after="60" w:line="336" w:lineRule="auto"/>
        <w:ind w:left="340" w:firstLine="0"/>
      </w:pPr>
      <w:r>
        <w:rPr>
          <w:rFonts w:ascii="Times New Roman" w:hAnsi="Times New Roman" w:eastAsia="宋体"/>
          <w:b w:val="0"/>
          <w:i w:val="0"/>
          <w:sz w:val="24"/>
        </w:rPr>
        <w:t>· 待业务方确认：预警详情页的字段清单、头部操作下拉的选项、预警解除单选项的取值与提交后的状态流转</w:t>
      </w:r>
    </w:p>
    <w:p>
      <w:r>
        <w:br w:type="page"/>
      </w:r>
    </w:p>
    <w:p>
      <w:pPr>
        <w:pStyle w:val="Heading2"/>
        <w:keepNext/>
        <w:spacing w:before="240" w:after="120" w:line="312" w:lineRule="auto"/>
        <w:ind w:firstLine="0"/>
      </w:pPr>
      <w:r>
        <w:rPr>
          <w:rFonts w:ascii="Times New Roman" w:hAnsi="Times New Roman" w:eastAsia="黑体"/>
          <w:b/>
          <w:i w:val="0"/>
          <w:sz w:val="28"/>
        </w:rPr>
        <w:t>4.28　预警规则配置</w:t>
      </w:r>
    </w:p>
    <w:p>
      <w:pPr>
        <w:spacing w:before="0" w:after="160" w:line="360" w:lineRule="auto"/>
      </w:pPr>
      <w:r>
        <w:rPr>
          <w:rFonts w:ascii="Times New Roman" w:hAnsi="Times New Roman" w:eastAsia="宋体"/>
          <w:b w:val="0"/>
          <w:i w:val="0"/>
          <w:color w:val="595959"/>
          <w:sz w:val="21"/>
        </w:rPr>
        <w:t>菜单路径：预警中心 / 预警规则配置</w:t>
      </w:r>
    </w:p>
    <w:p>
      <w:pPr>
        <w:pStyle w:val="Heading3"/>
        <w:keepNext/>
        <w:spacing w:before="160" w:after="80" w:line="312" w:lineRule="auto"/>
        <w:ind w:firstLine="0"/>
      </w:pPr>
      <w:r>
        <w:rPr>
          <w:rFonts w:ascii="Times New Roman" w:hAnsi="Times New Roman" w:eastAsia="黑体"/>
          <w:b/>
          <w:i w:val="0"/>
          <w:sz w:val="24"/>
        </w:rPr>
        <w:t>4.28.1　一页结论</w:t>
      </w:r>
    </w:p>
    <w:p>
      <w:pPr>
        <w:spacing w:before="0" w:after="120" w:line="360" w:lineRule="auto"/>
      </w:pPr>
      <w:r>
        <w:rPr>
          <w:rFonts w:ascii="Times New Roman" w:hAnsi="Times New Roman" w:eastAsia="宋体"/>
          <w:b w:val="0"/>
          <w:i w:val="0"/>
          <w:sz w:val="24"/>
        </w:rPr>
        <w:t>配置平台三类预警的监控规则，支持规则新增、编辑、启停与风险等级调整，并为价格波动规则绑定需要监控的合同。</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928"/>
            <w:shd w:val="clear" w:color="auto" w:fill="DCE6F1"/>
          </w:tcPr>
          <w:p>
            <w:pPr>
              <w:spacing w:before="40" w:after="40" w:line="276" w:lineRule="auto"/>
              <w:jc w:val="center"/>
            </w:pPr>
            <w:r/>
            <w:r>
              <w:rPr>
                <w:rFonts w:ascii="Times New Roman" w:hAnsi="Times New Roman" w:eastAsia="黑体"/>
                <w:b/>
                <w:i w:val="0"/>
                <w:sz w:val="21"/>
              </w:rPr>
              <w:t>问题</w:t>
            </w:r>
          </w:p>
        </w:tc>
        <w:tc>
          <w:tcPr>
            <w:tcW w:type="dxa" w:w="3572"/>
            <w:shd w:val="clear" w:color="auto" w:fill="DCE6F1"/>
          </w:tcPr>
          <w:p>
            <w:pPr>
              <w:spacing w:before="40" w:after="40" w:line="276" w:lineRule="auto"/>
              <w:jc w:val="center"/>
            </w:pPr>
            <w:r/>
            <w:r>
              <w:rPr>
                <w:rFonts w:ascii="Times New Roman" w:hAnsi="Times New Roman" w:eastAsia="黑体"/>
                <w:b/>
                <w:i w:val="0"/>
                <w:sz w:val="21"/>
              </w:rPr>
              <w:t>当前做法</w:t>
            </w:r>
          </w:p>
        </w:tc>
        <w:tc>
          <w:tcPr>
            <w:tcW w:type="dxa" w:w="3572"/>
            <w:shd w:val="clear" w:color="auto" w:fill="DCE6F1"/>
          </w:tcPr>
          <w:p>
            <w:pPr>
              <w:spacing w:before="40" w:after="40" w:line="276" w:lineRule="auto"/>
              <w:jc w:val="center"/>
            </w:pPr>
            <w:r/>
            <w:r>
              <w:rPr>
                <w:rFonts w:ascii="Times New Roman" w:hAnsi="Times New Roman" w:eastAsia="黑体"/>
                <w:b/>
                <w:i w:val="0"/>
                <w:sz w:val="21"/>
              </w:rPr>
              <w:t>本模块解法</w:t>
            </w:r>
          </w:p>
        </w:tc>
      </w:tr>
      <w:tr>
        <w:tc>
          <w:tcPr>
            <w:tcW w:type="dxa" w:w="1928"/>
          </w:tcPr>
          <w:p>
            <w:pPr>
              <w:spacing w:before="20" w:after="20" w:line="276" w:lineRule="auto"/>
              <w:ind w:firstLine="0"/>
            </w:pPr>
            <w:r/>
            <w:r>
              <w:rPr>
                <w:rFonts w:ascii="Times New Roman" w:hAnsi="Times New Roman" w:eastAsia="宋体"/>
                <w:b w:val="0"/>
                <w:i w:val="0"/>
                <w:sz w:val="21"/>
              </w:rPr>
              <w:t>预警阈值与风险等级靠口头约定，规则散落在各人手中</w:t>
            </w:r>
          </w:p>
        </w:tc>
        <w:tc>
          <w:tcPr>
            <w:tcW w:type="dxa" w:w="3572"/>
          </w:tcPr>
          <w:p>
            <w:pPr>
              <w:spacing w:before="20" w:after="20" w:line="276" w:lineRule="auto"/>
              <w:ind w:firstLine="0"/>
            </w:pPr>
            <w:r/>
            <w:r>
              <w:rPr>
                <w:rFonts w:ascii="Times New Roman" w:hAnsi="Times New Roman" w:eastAsia="宋体"/>
                <w:b w:val="0"/>
                <w:i w:val="0"/>
                <w:sz w:val="21"/>
              </w:rPr>
              <w:t>风控在邮件或会议中约定哪些情况要预警、什么算高风险，配置无法沉淀</w:t>
            </w:r>
          </w:p>
        </w:tc>
        <w:tc>
          <w:tcPr>
            <w:tcW w:type="dxa" w:w="3572"/>
          </w:tcPr>
          <w:p>
            <w:pPr>
              <w:spacing w:before="20" w:after="20" w:line="276" w:lineRule="auto"/>
              <w:ind w:firstLine="0"/>
            </w:pPr>
            <w:r/>
            <w:r>
              <w:rPr>
                <w:rFonts w:ascii="Times New Roman" w:hAnsi="Times New Roman" w:eastAsia="宋体"/>
                <w:b w:val="0"/>
                <w:i w:val="0"/>
                <w:sz w:val="21"/>
              </w:rPr>
              <w:t>三类预警的规则集中在规则配置页管理，每条规则固化规则类型、监控指标、比较符、阈值、频率与风险等级</w:t>
            </w:r>
          </w:p>
        </w:tc>
      </w:tr>
      <w:tr>
        <w:tc>
          <w:tcPr>
            <w:tcW w:type="dxa" w:w="1928"/>
          </w:tcPr>
          <w:p>
            <w:pPr>
              <w:spacing w:before="20" w:after="20" w:line="276" w:lineRule="auto"/>
              <w:ind w:firstLine="0"/>
            </w:pPr>
            <w:r/>
            <w:r>
              <w:rPr>
                <w:rFonts w:ascii="Times New Roman" w:hAnsi="Times New Roman" w:eastAsia="宋体"/>
                <w:b w:val="0"/>
                <w:i w:val="0"/>
                <w:sz w:val="21"/>
              </w:rPr>
              <w:t>规则启用与停用没有统一开关，失效规则仍在产生噪声</w:t>
            </w:r>
          </w:p>
        </w:tc>
        <w:tc>
          <w:tcPr>
            <w:tcW w:type="dxa" w:w="3572"/>
          </w:tcPr>
          <w:p>
            <w:pPr>
              <w:spacing w:before="20" w:after="20" w:line="276" w:lineRule="auto"/>
              <w:ind w:firstLine="0"/>
            </w:pPr>
            <w:r/>
            <w:r>
              <w:rPr>
                <w:rFonts w:ascii="Times New Roman" w:hAnsi="Times New Roman" w:eastAsia="宋体"/>
                <w:b w:val="0"/>
                <w:i w:val="0"/>
                <w:sz w:val="21"/>
              </w:rPr>
              <w:t>规则调整后靠通知各业务方停止关注，监控侧无法及时停止</w:t>
            </w:r>
          </w:p>
        </w:tc>
        <w:tc>
          <w:tcPr>
            <w:tcW w:type="dxa" w:w="3572"/>
          </w:tcPr>
          <w:p>
            <w:pPr>
              <w:spacing w:before="20" w:after="20" w:line="276" w:lineRule="auto"/>
              <w:ind w:firstLine="0"/>
            </w:pPr>
            <w:r/>
            <w:r>
              <w:rPr>
                <w:rFonts w:ascii="Times New Roman" w:hAnsi="Times New Roman" w:eastAsia="宋体"/>
                <w:b w:val="0"/>
                <w:i w:val="0"/>
                <w:sz w:val="21"/>
              </w:rPr>
              <w:t>规则列表的状态列提供启停开关，切换即生效，停用规则不再参与监控但历史信号仍可查看</w:t>
            </w:r>
          </w:p>
        </w:tc>
      </w:tr>
      <w:tr>
        <w:tc>
          <w:tcPr>
            <w:tcW w:type="dxa" w:w="1928"/>
          </w:tcPr>
          <w:p>
            <w:pPr>
              <w:spacing w:before="20" w:after="20" w:line="276" w:lineRule="auto"/>
              <w:ind w:firstLine="0"/>
            </w:pPr>
            <w:r/>
            <w:r>
              <w:rPr>
                <w:rFonts w:ascii="Times New Roman" w:hAnsi="Times New Roman" w:eastAsia="宋体"/>
                <w:b w:val="0"/>
                <w:i w:val="0"/>
                <w:sz w:val="21"/>
              </w:rPr>
              <w:t>价格波动规则需要绑定具体合同，配置动作散落在多步表单中</w:t>
            </w:r>
          </w:p>
        </w:tc>
        <w:tc>
          <w:tcPr>
            <w:tcW w:type="dxa" w:w="3572"/>
          </w:tcPr>
          <w:p>
            <w:pPr>
              <w:spacing w:before="20" w:after="20" w:line="276" w:lineRule="auto"/>
              <w:ind w:firstLine="0"/>
            </w:pPr>
            <w:r/>
            <w:r>
              <w:rPr>
                <w:rFonts w:ascii="Times New Roman" w:hAnsi="Times New Roman" w:eastAsia="宋体"/>
                <w:b w:val="0"/>
                <w:i w:val="0"/>
                <w:sz w:val="21"/>
              </w:rPr>
              <w:t>配置价格规则时要逐项填写十余步，再另行整理需要监控的合同清单</w:t>
            </w:r>
          </w:p>
        </w:tc>
        <w:tc>
          <w:tcPr>
            <w:tcW w:type="dxa" w:w="3572"/>
          </w:tcPr>
          <w:p>
            <w:pPr>
              <w:spacing w:before="20" w:after="20" w:line="276" w:lineRule="auto"/>
              <w:ind w:firstLine="0"/>
            </w:pPr>
            <w:r/>
            <w:r>
              <w:rPr>
                <w:rFonts w:ascii="Times New Roman" w:hAnsi="Times New Roman" w:eastAsia="宋体"/>
                <w:b w:val="0"/>
                <w:i w:val="0"/>
                <w:sz w:val="21"/>
              </w:rPr>
              <w:t>价格波动规则提供 11 步配置向导，第 8 步规则明细由系统自动生成只读，关联合同走独立的监控合同配置页完成合同多选</w:t>
            </w:r>
          </w:p>
        </w:tc>
      </w:tr>
      <w:tr>
        <w:tc>
          <w:tcPr>
            <w:tcW w:type="dxa" w:w="1928"/>
          </w:tcPr>
          <w:p>
            <w:pPr>
              <w:spacing w:before="20" w:after="20" w:line="276" w:lineRule="auto"/>
              <w:ind w:firstLine="0"/>
            </w:pPr>
            <w:r/>
            <w:r>
              <w:rPr>
                <w:rFonts w:ascii="Times New Roman" w:hAnsi="Times New Roman" w:eastAsia="宋体"/>
                <w:b w:val="0"/>
                <w:i w:val="0"/>
                <w:sz w:val="21"/>
              </w:rPr>
              <w:t>风险等级需要随业务情况调整，改一次要提需求</w:t>
            </w:r>
          </w:p>
        </w:tc>
        <w:tc>
          <w:tcPr>
            <w:tcW w:type="dxa" w:w="3572"/>
          </w:tcPr>
          <w:p>
            <w:pPr>
              <w:spacing w:before="20" w:after="20" w:line="276" w:lineRule="auto"/>
              <w:ind w:firstLine="0"/>
            </w:pPr>
            <w:r/>
            <w:r>
              <w:rPr>
                <w:rFonts w:ascii="Times New Roman" w:hAnsi="Times New Roman" w:eastAsia="宋体"/>
                <w:b w:val="0"/>
                <w:i w:val="0"/>
                <w:sz w:val="21"/>
              </w:rPr>
              <w:t>风险等级写死在规则里，调整需研发配合</w:t>
            </w:r>
          </w:p>
        </w:tc>
        <w:tc>
          <w:tcPr>
            <w:tcW w:type="dxa" w:w="3572"/>
          </w:tcPr>
          <w:p>
            <w:pPr>
              <w:spacing w:before="20" w:after="20" w:line="276" w:lineRule="auto"/>
              <w:ind w:firstLine="0"/>
            </w:pPr>
            <w:r/>
            <w:r>
              <w:rPr>
                <w:rFonts w:ascii="Times New Roman" w:hAnsi="Times New Roman" w:eastAsia="宋体"/>
                <w:b w:val="0"/>
                <w:i w:val="0"/>
                <w:sz w:val="21"/>
              </w:rPr>
              <w:t>规则列表的风险等级列以下拉方式直接调整，可在运行时修改该规则的风险等级</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4.28.2　背景与目标</w:t>
      </w:r>
    </w:p>
    <w:tbl>
      <w:tblPr>
        <w:tblStyle w:val="TableGrid"/>
        <w:tblW w:type="auto" w:w="0"/>
        <w:jc w:val="center"/>
        <w:tblLayout w:type="fixed"/>
        <w:tblLook w:firstColumn="1" w:firstRow="1" w:lastColumn="0" w:lastRow="0" w:noHBand="0" w:noVBand="1" w:val="04A0"/>
      </w:tblPr>
      <w:tblGrid>
        <w:gridCol w:w="8958"/>
      </w:tblGrid>
      <w:tr>
        <w:trPr>
          <w:tblHeader w:val="true"/>
        </w:trPr>
        <w:tc>
          <w:tcPr>
            <w:tcW w:type="dxa" w:w="9071"/>
            <w:shd w:val="clear" w:color="auto" w:fill="DCE6F1"/>
          </w:tcPr>
          <w:p>
            <w:pPr>
              <w:spacing w:before="40" w:after="40" w:line="276" w:lineRule="auto"/>
              <w:jc w:val="center"/>
            </w:pPr>
            <w:r/>
            <w:r>
              <w:rPr>
                <w:rFonts w:ascii="Times New Roman" w:hAnsi="Times New Roman" w:eastAsia="黑体"/>
                <w:b/>
                <w:i w:val="0"/>
                <w:sz w:val="21"/>
              </w:rPr>
              <w:t>目标 / 衡量口径</w:t>
            </w:r>
          </w:p>
        </w:tc>
      </w:tr>
      <w:tr>
        <w:tc>
          <w:tcPr>
            <w:tcW w:type="dxa" w:w="9071"/>
          </w:tcPr>
          <w:p>
            <w:pPr>
              <w:spacing w:before="20" w:after="20" w:line="276" w:lineRule="auto"/>
              <w:ind w:firstLine="0"/>
            </w:pPr>
            <w:r/>
            <w:r>
              <w:rPr>
                <w:rFonts w:ascii="Times New Roman" w:hAnsi="Times New Roman" w:eastAsia="宋体"/>
                <w:b w:val="0"/>
                <w:i w:val="0"/>
                <w:sz w:val="21"/>
              </w:rPr>
              <w:t>企业监控、交易监控、价格波动三类预警规则在同一配置页分区管理，3 个页签的筛选区与表格各自独立</w:t>
            </w:r>
          </w:p>
        </w:tc>
      </w:tr>
      <w:tr>
        <w:tc>
          <w:tcPr>
            <w:tcW w:type="dxa" w:w="9071"/>
          </w:tcPr>
          <w:p>
            <w:pPr>
              <w:spacing w:before="20" w:after="20" w:line="276" w:lineRule="auto"/>
              <w:ind w:firstLine="0"/>
            </w:pPr>
            <w:r/>
            <w:r>
              <w:rPr>
                <w:rFonts w:ascii="Times New Roman" w:hAnsi="Times New Roman" w:eastAsia="宋体"/>
                <w:b w:val="0"/>
                <w:i w:val="0"/>
                <w:sz w:val="21"/>
              </w:rPr>
              <w:t>每条规则的启停状态可通过列表内开关即时切换，切换后规则参与或退出监控，停用规则的历史预警仍可查看</w:t>
            </w:r>
          </w:p>
        </w:tc>
      </w:tr>
      <w:tr>
        <w:tc>
          <w:tcPr>
            <w:tcW w:type="dxa" w:w="9071"/>
          </w:tcPr>
          <w:p>
            <w:pPr>
              <w:spacing w:before="20" w:after="20" w:line="276" w:lineRule="auto"/>
              <w:ind w:firstLine="0"/>
            </w:pPr>
            <w:r/>
            <w:r>
              <w:rPr>
                <w:rFonts w:ascii="Times New Roman" w:hAnsi="Times New Roman" w:eastAsia="宋体"/>
                <w:b w:val="0"/>
                <w:i w:val="0"/>
                <w:sz w:val="21"/>
              </w:rPr>
              <w:t>价格波动规则支持 15 种对比价格基准、3 档风险等级，以及考核项与配置项同口径的双向约束校验</w:t>
            </w:r>
          </w:p>
        </w:tc>
      </w:tr>
      <w:tr>
        <w:tc>
          <w:tcPr>
            <w:tcW w:type="dxa" w:w="9071"/>
          </w:tcPr>
          <w:p>
            <w:pPr>
              <w:spacing w:before="20" w:after="20" w:line="276" w:lineRule="auto"/>
              <w:ind w:firstLine="0"/>
            </w:pPr>
            <w:r/>
            <w:r>
              <w:rPr>
                <w:rFonts w:ascii="Times New Roman" w:hAnsi="Times New Roman" w:eastAsia="宋体"/>
                <w:b w:val="0"/>
                <w:i w:val="0"/>
                <w:sz w:val="21"/>
              </w:rPr>
              <w:t>风险等级可在运行时按行调整；规则命中规模与调整频次以系统运行报表为准</w:t>
            </w:r>
          </w:p>
        </w:tc>
      </w:tr>
    </w:tbl>
    <w:p>
      <w:pPr>
        <w:spacing w:before="0" w:after="0" w:line="240" w:lineRule="auto"/>
      </w:pPr>
    </w:p>
    <w:p>
      <w:pPr>
        <w:spacing w:before="80" w:after="120" w:line="360" w:lineRule="auto"/>
      </w:pPr>
      <w:r>
        <w:rPr>
          <w:rFonts w:ascii="Times New Roman" w:hAnsi="Times New Roman" w:eastAsia="宋体"/>
          <w:b w:val="0"/>
          <w:i w:val="0"/>
          <w:color w:val="595959"/>
          <w:sz w:val="21"/>
        </w:rPr>
        <w:t>说明：文中口径以业务方已确认结论为准；未确认项集中列于本章末与第 5 章。</w:t>
      </w:r>
    </w:p>
    <w:p>
      <w:pPr>
        <w:pStyle w:val="Heading3"/>
        <w:keepNext/>
        <w:spacing w:before="160" w:after="80" w:line="312" w:lineRule="auto"/>
        <w:ind w:firstLine="0"/>
      </w:pPr>
      <w:r>
        <w:rPr>
          <w:rFonts w:ascii="Times New Roman" w:hAnsi="Times New Roman" w:eastAsia="黑体"/>
          <w:b/>
          <w:i w:val="0"/>
          <w:sz w:val="24"/>
        </w:rPr>
        <w:t>4.28.3　角色与用户需求</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361"/>
            <w:shd w:val="clear" w:color="auto" w:fill="DCE6F1"/>
          </w:tcPr>
          <w:p>
            <w:pPr>
              <w:spacing w:before="40" w:after="40" w:line="276" w:lineRule="auto"/>
              <w:jc w:val="center"/>
            </w:pPr>
            <w:r/>
            <w:r>
              <w:rPr>
                <w:rFonts w:ascii="Times New Roman" w:hAnsi="Times New Roman" w:eastAsia="黑体"/>
                <w:b/>
                <w:i w:val="0"/>
                <w:sz w:val="21"/>
              </w:rPr>
              <w:t>角色</w:t>
            </w:r>
          </w:p>
        </w:tc>
        <w:tc>
          <w:tcPr>
            <w:tcW w:type="dxa" w:w="1247"/>
            <w:shd w:val="clear" w:color="auto" w:fill="DCE6F1"/>
          </w:tcPr>
          <w:p>
            <w:pPr>
              <w:spacing w:before="40" w:after="40" w:line="276" w:lineRule="auto"/>
              <w:jc w:val="center"/>
            </w:pPr>
            <w:r/>
            <w:r>
              <w:rPr>
                <w:rFonts w:ascii="Times New Roman" w:hAnsi="Times New Roman" w:eastAsia="黑体"/>
                <w:b/>
                <w:i w:val="0"/>
                <w:sz w:val="21"/>
              </w:rPr>
              <w:t>所属部门</w:t>
            </w:r>
          </w:p>
        </w:tc>
        <w:tc>
          <w:tcPr>
            <w:tcW w:type="dxa" w:w="6463"/>
            <w:shd w:val="clear" w:color="auto" w:fill="DCE6F1"/>
          </w:tcPr>
          <w:p>
            <w:pPr>
              <w:spacing w:before="40" w:after="40" w:line="276" w:lineRule="auto"/>
              <w:jc w:val="center"/>
            </w:pPr>
            <w:r/>
            <w:r>
              <w:rPr>
                <w:rFonts w:ascii="Times New Roman" w:hAnsi="Times New Roman" w:eastAsia="黑体"/>
                <w:b/>
                <w:i w:val="0"/>
                <w:sz w:val="21"/>
              </w:rPr>
              <w:t>用户需求（我要…以便…）</w:t>
            </w:r>
          </w:p>
        </w:tc>
      </w:tr>
      <w:tr>
        <w:tc>
          <w:tcPr>
            <w:tcW w:type="dxa" w:w="1361"/>
          </w:tcPr>
          <w:p>
            <w:pPr>
              <w:spacing w:before="20" w:after="20" w:line="276" w:lineRule="auto"/>
              <w:ind w:firstLine="0"/>
            </w:pPr>
            <w:r/>
            <w:r>
              <w:rPr>
                <w:rFonts w:ascii="Times New Roman" w:hAnsi="Times New Roman" w:eastAsia="宋体"/>
                <w:b w:val="0"/>
                <w:i w:val="0"/>
                <w:sz w:val="21"/>
              </w:rPr>
              <w:t>风控规则管理员</w:t>
            </w:r>
          </w:p>
        </w:tc>
        <w:tc>
          <w:tcPr>
            <w:tcW w:type="dxa" w:w="1247"/>
          </w:tcPr>
          <w:p>
            <w:pPr>
              <w:spacing w:before="20" w:after="20" w:line="276" w:lineRule="auto"/>
              <w:ind w:firstLine="0"/>
            </w:pPr>
            <w:r/>
            <w:r>
              <w:rPr>
                <w:rFonts w:ascii="Times New Roman" w:hAnsi="Times New Roman" w:eastAsia="宋体"/>
                <w:b w:val="0"/>
                <w:i w:val="0"/>
                <w:sz w:val="21"/>
              </w:rPr>
              <w:t>风控部</w:t>
            </w:r>
          </w:p>
        </w:tc>
        <w:tc>
          <w:tcPr>
            <w:tcW w:type="dxa" w:w="6463"/>
          </w:tcPr>
          <w:p>
            <w:pPr>
              <w:spacing w:before="20" w:after="20" w:line="276" w:lineRule="auto"/>
              <w:ind w:firstLine="0"/>
            </w:pPr>
            <w:r/>
            <w:r>
              <w:rPr>
                <w:rFonts w:ascii="Times New Roman" w:hAnsi="Times New Roman" w:eastAsia="宋体"/>
                <w:b w:val="0"/>
                <w:i w:val="0"/>
                <w:sz w:val="21"/>
              </w:rPr>
              <w:t>我要新增并编辑三类预警规则，以便把监控口径固化为可执行配置</w:t>
            </w:r>
          </w:p>
        </w:tc>
      </w:tr>
      <w:tr>
        <w:tc>
          <w:tcPr>
            <w:tcW w:type="dxa" w:w="1361"/>
          </w:tcPr>
          <w:p>
            <w:pPr>
              <w:spacing w:before="20" w:after="20" w:line="276" w:lineRule="auto"/>
              <w:ind w:firstLine="0"/>
            </w:pPr>
            <w:r/>
            <w:r>
              <w:rPr>
                <w:rFonts w:ascii="Times New Roman" w:hAnsi="Times New Roman" w:eastAsia="宋体"/>
                <w:b w:val="0"/>
                <w:i w:val="0"/>
                <w:sz w:val="21"/>
              </w:rPr>
              <w:t>业务人员</w:t>
            </w:r>
          </w:p>
        </w:tc>
        <w:tc>
          <w:tcPr>
            <w:tcW w:type="dxa" w:w="1247"/>
          </w:tcPr>
          <w:p>
            <w:pPr>
              <w:spacing w:before="20" w:after="20" w:line="276" w:lineRule="auto"/>
              <w:ind w:firstLine="0"/>
            </w:pPr>
            <w:r/>
            <w:r>
              <w:rPr>
                <w:rFonts w:ascii="Times New Roman" w:hAnsi="Times New Roman" w:eastAsia="宋体"/>
                <w:b w:val="0"/>
                <w:i w:val="0"/>
                <w:sz w:val="21"/>
              </w:rPr>
              <w:t>业务部</w:t>
            </w:r>
          </w:p>
        </w:tc>
        <w:tc>
          <w:tcPr>
            <w:tcW w:type="dxa" w:w="6463"/>
          </w:tcPr>
          <w:p>
            <w:pPr>
              <w:spacing w:before="20" w:after="20" w:line="276" w:lineRule="auto"/>
              <w:ind w:firstLine="0"/>
            </w:pPr>
            <w:r/>
            <w:r>
              <w:rPr>
                <w:rFonts w:ascii="Times New Roman" w:hAnsi="Times New Roman" w:eastAsia="宋体"/>
                <w:b w:val="0"/>
                <w:i w:val="0"/>
                <w:sz w:val="21"/>
              </w:rPr>
              <w:t>我要为价格波动规则关联具体合同，以便行情异动能准确落到业务单据上</w:t>
            </w:r>
          </w:p>
        </w:tc>
      </w:tr>
      <w:tr>
        <w:tc>
          <w:tcPr>
            <w:tcW w:type="dxa" w:w="1361"/>
          </w:tcPr>
          <w:p>
            <w:pPr>
              <w:spacing w:before="20" w:after="20" w:line="276" w:lineRule="auto"/>
              <w:ind w:firstLine="0"/>
            </w:pPr>
            <w:r/>
            <w:r>
              <w:rPr>
                <w:rFonts w:ascii="Times New Roman" w:hAnsi="Times New Roman" w:eastAsia="宋体"/>
                <w:b w:val="0"/>
                <w:i w:val="0"/>
                <w:sz w:val="21"/>
              </w:rPr>
              <w:t>风控处置人员</w:t>
            </w:r>
          </w:p>
        </w:tc>
        <w:tc>
          <w:tcPr>
            <w:tcW w:type="dxa" w:w="1247"/>
          </w:tcPr>
          <w:p>
            <w:pPr>
              <w:spacing w:before="20" w:after="20" w:line="276" w:lineRule="auto"/>
              <w:ind w:firstLine="0"/>
            </w:pPr>
            <w:r/>
            <w:r>
              <w:rPr>
                <w:rFonts w:ascii="Times New Roman" w:hAnsi="Times New Roman" w:eastAsia="宋体"/>
                <w:b w:val="0"/>
                <w:i w:val="0"/>
                <w:sz w:val="21"/>
              </w:rPr>
              <w:t>风控部</w:t>
            </w:r>
          </w:p>
        </w:tc>
        <w:tc>
          <w:tcPr>
            <w:tcW w:type="dxa" w:w="6463"/>
          </w:tcPr>
          <w:p>
            <w:pPr>
              <w:spacing w:before="20" w:after="20" w:line="276" w:lineRule="auto"/>
              <w:ind w:firstLine="0"/>
            </w:pPr>
            <w:r/>
            <w:r>
              <w:rPr>
                <w:rFonts w:ascii="Times New Roman" w:hAnsi="Times New Roman" w:eastAsia="宋体"/>
                <w:b w:val="0"/>
                <w:i w:val="0"/>
                <w:sz w:val="21"/>
              </w:rPr>
              <w:t>我要在运行时调整规则的风险等级，以便同一批信号按最新风险偏好处置</w:t>
            </w:r>
          </w:p>
        </w:tc>
      </w:tr>
      <w:tr>
        <w:tc>
          <w:tcPr>
            <w:tcW w:type="dxa" w:w="1361"/>
          </w:tcPr>
          <w:p>
            <w:pPr>
              <w:spacing w:before="20" w:after="20" w:line="276" w:lineRule="auto"/>
              <w:ind w:firstLine="0"/>
            </w:pPr>
            <w:r/>
            <w:r>
              <w:rPr>
                <w:rFonts w:ascii="Times New Roman" w:hAnsi="Times New Roman" w:eastAsia="宋体"/>
                <w:b w:val="0"/>
                <w:i w:val="0"/>
                <w:sz w:val="21"/>
              </w:rPr>
              <w:t>平台运营</w:t>
            </w:r>
          </w:p>
        </w:tc>
        <w:tc>
          <w:tcPr>
            <w:tcW w:type="dxa" w:w="1247"/>
          </w:tcPr>
          <w:p>
            <w:pPr>
              <w:spacing w:before="20" w:after="20" w:line="276" w:lineRule="auto"/>
              <w:ind w:firstLine="0"/>
            </w:pPr>
            <w:r/>
            <w:r>
              <w:rPr>
                <w:rFonts w:ascii="Times New Roman" w:hAnsi="Times New Roman" w:eastAsia="宋体"/>
                <w:b w:val="0"/>
                <w:i w:val="0"/>
                <w:sz w:val="21"/>
              </w:rPr>
              <w:t>运营管理部</w:t>
            </w:r>
          </w:p>
        </w:tc>
        <w:tc>
          <w:tcPr>
            <w:tcW w:type="dxa" w:w="6463"/>
          </w:tcPr>
          <w:p>
            <w:pPr>
              <w:spacing w:before="20" w:after="20" w:line="276" w:lineRule="auto"/>
              <w:ind w:firstLine="0"/>
            </w:pPr>
            <w:r/>
            <w:r>
              <w:rPr>
                <w:rFonts w:ascii="Times New Roman" w:hAnsi="Times New Roman" w:eastAsia="宋体"/>
                <w:b w:val="0"/>
                <w:i w:val="0"/>
                <w:sz w:val="21"/>
              </w:rPr>
              <w:t>我要查看各页签的规则启停与最后操作信息，以便维护配置台账</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4.28.4　功能结构与范围</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474"/>
            <w:shd w:val="clear" w:color="auto" w:fill="DCE6F1"/>
          </w:tcPr>
          <w:p>
            <w:pPr>
              <w:spacing w:before="40" w:after="40" w:line="276" w:lineRule="auto"/>
              <w:jc w:val="center"/>
            </w:pPr>
            <w:r/>
            <w:r>
              <w:rPr>
                <w:rFonts w:ascii="Times New Roman" w:hAnsi="Times New Roman" w:eastAsia="黑体"/>
                <w:b/>
                <w:i w:val="0"/>
                <w:sz w:val="21"/>
              </w:rPr>
              <w:t>功能</w:t>
            </w:r>
          </w:p>
        </w:tc>
        <w:tc>
          <w:tcPr>
            <w:tcW w:type="dxa" w:w="3175"/>
            <w:shd w:val="clear" w:color="auto" w:fill="DCE6F1"/>
          </w:tcPr>
          <w:p>
            <w:pPr>
              <w:spacing w:before="40" w:after="40" w:line="276" w:lineRule="auto"/>
              <w:jc w:val="center"/>
            </w:pPr>
            <w:r/>
            <w:r>
              <w:rPr>
                <w:rFonts w:ascii="Times New Roman" w:hAnsi="Times New Roman" w:eastAsia="黑体"/>
                <w:b/>
                <w:i w:val="0"/>
                <w:sz w:val="21"/>
              </w:rPr>
              <w:t>功能说明</w:t>
            </w:r>
          </w:p>
        </w:tc>
        <w:tc>
          <w:tcPr>
            <w:tcW w:type="dxa" w:w="4422"/>
            <w:shd w:val="clear" w:color="auto" w:fill="DCE6F1"/>
          </w:tcPr>
          <w:p>
            <w:pPr>
              <w:spacing w:before="40" w:after="40" w:line="276" w:lineRule="auto"/>
              <w:jc w:val="center"/>
            </w:pPr>
            <w:r/>
            <w:r>
              <w:rPr>
                <w:rFonts w:ascii="Times New Roman" w:hAnsi="Times New Roman" w:eastAsia="黑体"/>
                <w:b/>
                <w:i w:val="0"/>
                <w:sz w:val="21"/>
              </w:rPr>
              <w:t>关键规则</w:t>
            </w:r>
          </w:p>
        </w:tc>
      </w:tr>
      <w:tr>
        <w:tc>
          <w:tcPr>
            <w:tcW w:type="dxa" w:w="1474"/>
          </w:tcPr>
          <w:p>
            <w:pPr>
              <w:spacing w:before="20" w:after="20" w:line="276" w:lineRule="auto"/>
              <w:ind w:firstLine="0"/>
            </w:pPr>
            <w:r/>
            <w:r>
              <w:rPr>
                <w:rFonts w:ascii="Times New Roman" w:hAnsi="Times New Roman" w:eastAsia="宋体"/>
                <w:b w:val="0"/>
                <w:i w:val="0"/>
                <w:sz w:val="21"/>
              </w:rPr>
              <w:t>三类规则分区管理</w:t>
            </w:r>
          </w:p>
        </w:tc>
        <w:tc>
          <w:tcPr>
            <w:tcW w:type="dxa" w:w="3175"/>
          </w:tcPr>
          <w:p>
            <w:pPr>
              <w:spacing w:before="20" w:after="20" w:line="276" w:lineRule="auto"/>
              <w:ind w:firstLine="0"/>
            </w:pPr>
            <w:r/>
            <w:r>
              <w:rPr>
                <w:rFonts w:ascii="Times New Roman" w:hAnsi="Times New Roman" w:eastAsia="宋体"/>
                <w:b w:val="0"/>
                <w:i w:val="0"/>
                <w:sz w:val="21"/>
              </w:rPr>
              <w:t>规则配置页按企业监控、交易监控、价格波动 3 个页签分别管理规则</w:t>
            </w:r>
          </w:p>
        </w:tc>
        <w:tc>
          <w:tcPr>
            <w:tcW w:type="dxa" w:w="4422"/>
          </w:tcPr>
          <w:p>
            <w:pPr>
              <w:spacing w:before="20" w:after="20" w:line="276" w:lineRule="auto"/>
              <w:ind w:firstLine="0"/>
            </w:pPr>
            <w:r/>
            <w:r>
              <w:rPr>
                <w:rFonts w:ascii="Times New Roman" w:hAnsi="Times New Roman" w:eastAsia="宋体"/>
                <w:b w:val="0"/>
                <w:i w:val="0"/>
                <w:sz w:val="21"/>
              </w:rPr>
              <w:t>固定 3 个页签，进入默认停留在企业监控页签；3 个页签的筛选区与表格各自独立，筛选条件不跨页签共享；企业监控页签不提供添加规则入口，交易监控与价格波动页签提供添加规则入口；每个页签提供查询与重置按钮，重置清空当前页签全部筛选项</w:t>
            </w:r>
          </w:p>
        </w:tc>
      </w:tr>
      <w:tr>
        <w:tc>
          <w:tcPr>
            <w:tcW w:type="dxa" w:w="1474"/>
          </w:tcPr>
          <w:p>
            <w:pPr>
              <w:spacing w:before="20" w:after="20" w:line="276" w:lineRule="auto"/>
              <w:ind w:firstLine="0"/>
            </w:pPr>
            <w:r/>
            <w:r>
              <w:rPr>
                <w:rFonts w:ascii="Times New Roman" w:hAnsi="Times New Roman" w:eastAsia="宋体"/>
                <w:b w:val="0"/>
                <w:i w:val="0"/>
                <w:sz w:val="21"/>
              </w:rPr>
              <w:t>规则筛选</w:t>
            </w:r>
          </w:p>
        </w:tc>
        <w:tc>
          <w:tcPr>
            <w:tcW w:type="dxa" w:w="3175"/>
          </w:tcPr>
          <w:p>
            <w:pPr>
              <w:spacing w:before="20" w:after="20" w:line="276" w:lineRule="auto"/>
              <w:ind w:firstLine="0"/>
            </w:pPr>
            <w:r/>
            <w:r>
              <w:rPr>
                <w:rFonts w:ascii="Times New Roman" w:hAnsi="Times New Roman" w:eastAsia="宋体"/>
                <w:b w:val="0"/>
                <w:i w:val="0"/>
                <w:sz w:val="21"/>
              </w:rPr>
              <w:t>按规则的业务维度组合筛选规则清单</w:t>
            </w:r>
          </w:p>
        </w:tc>
        <w:tc>
          <w:tcPr>
            <w:tcW w:type="dxa" w:w="4422"/>
          </w:tcPr>
          <w:p>
            <w:pPr>
              <w:spacing w:before="20" w:after="20" w:line="276" w:lineRule="auto"/>
              <w:ind w:firstLine="0"/>
            </w:pPr>
            <w:r/>
            <w:r>
              <w:rPr>
                <w:rFonts w:ascii="Times New Roman" w:hAnsi="Times New Roman" w:eastAsia="宋体"/>
                <w:b w:val="0"/>
                <w:i w:val="0"/>
                <w:sz w:val="21"/>
              </w:rPr>
              <w:t>企业监控页签 4 个筛选字段为规则类型、规则名称、状态、风险等级；交易监控页签 7 个字段为规则类型、规则名称、状态、风险等级、业务品种、业务类型、资金类型；价格波动页签 6 个字段为规则名称、规则类型、状态、风险等级、业务品种、是否关联合同；筛选标签位于输入框上方且不带冒号</w:t>
            </w:r>
          </w:p>
        </w:tc>
      </w:tr>
      <w:tr>
        <w:tc>
          <w:tcPr>
            <w:tcW w:type="dxa" w:w="1474"/>
          </w:tcPr>
          <w:p>
            <w:pPr>
              <w:spacing w:before="20" w:after="20" w:line="276" w:lineRule="auto"/>
              <w:ind w:firstLine="0"/>
            </w:pPr>
            <w:r/>
            <w:r>
              <w:rPr>
                <w:rFonts w:ascii="Times New Roman" w:hAnsi="Times New Roman" w:eastAsia="宋体"/>
                <w:b w:val="0"/>
                <w:i w:val="0"/>
                <w:sz w:val="21"/>
              </w:rPr>
              <w:t>规则启停</w:t>
            </w:r>
          </w:p>
        </w:tc>
        <w:tc>
          <w:tcPr>
            <w:tcW w:type="dxa" w:w="3175"/>
          </w:tcPr>
          <w:p>
            <w:pPr>
              <w:spacing w:before="20" w:after="20" w:line="276" w:lineRule="auto"/>
              <w:ind w:firstLine="0"/>
            </w:pPr>
            <w:r/>
            <w:r>
              <w:rPr>
                <w:rFonts w:ascii="Times New Roman" w:hAnsi="Times New Roman" w:eastAsia="宋体"/>
                <w:b w:val="0"/>
                <w:i w:val="0"/>
                <w:sz w:val="21"/>
              </w:rPr>
              <w:t>以列表内开关控制单条规则是否参与监控</w:t>
            </w:r>
          </w:p>
        </w:tc>
        <w:tc>
          <w:tcPr>
            <w:tcW w:type="dxa" w:w="4422"/>
          </w:tcPr>
          <w:p>
            <w:pPr>
              <w:spacing w:before="20" w:after="20" w:line="276" w:lineRule="auto"/>
              <w:ind w:firstLine="0"/>
            </w:pPr>
            <w:r/>
            <w:r>
              <w:rPr>
                <w:rFonts w:ascii="Times New Roman" w:hAnsi="Times New Roman" w:eastAsia="宋体"/>
                <w:b w:val="0"/>
                <w:i w:val="0"/>
                <w:sz w:val="21"/>
              </w:rPr>
              <w:t>状态列使用开关控件，取值为启用与停用两种；开关切换即时生效，无需额外提交；启用状态的规则参与监控并可生成预警信号；停用状态的规则不再参与监控，但其历史预警信号仍可查看</w:t>
            </w:r>
          </w:p>
        </w:tc>
      </w:tr>
      <w:tr>
        <w:tc>
          <w:tcPr>
            <w:tcW w:type="dxa" w:w="1474"/>
          </w:tcPr>
          <w:p>
            <w:pPr>
              <w:spacing w:before="20" w:after="20" w:line="276" w:lineRule="auto"/>
              <w:ind w:firstLine="0"/>
            </w:pPr>
            <w:r/>
            <w:r>
              <w:rPr>
                <w:rFonts w:ascii="Times New Roman" w:hAnsi="Times New Roman" w:eastAsia="宋体"/>
                <w:b w:val="0"/>
                <w:i w:val="0"/>
                <w:sz w:val="21"/>
              </w:rPr>
              <w:t>风险等级运行时调整</w:t>
            </w:r>
          </w:p>
        </w:tc>
        <w:tc>
          <w:tcPr>
            <w:tcW w:type="dxa" w:w="3175"/>
          </w:tcPr>
          <w:p>
            <w:pPr>
              <w:spacing w:before="20" w:after="20" w:line="276" w:lineRule="auto"/>
              <w:ind w:firstLine="0"/>
            </w:pPr>
            <w:r/>
            <w:r>
              <w:rPr>
                <w:rFonts w:ascii="Times New Roman" w:hAnsi="Times New Roman" w:eastAsia="宋体"/>
                <w:b w:val="0"/>
                <w:i w:val="0"/>
                <w:sz w:val="21"/>
              </w:rPr>
              <w:t>在规则行内以下拉方式调整该规则的风险等级</w:t>
            </w:r>
          </w:p>
        </w:tc>
        <w:tc>
          <w:tcPr>
            <w:tcW w:type="dxa" w:w="4422"/>
          </w:tcPr>
          <w:p>
            <w:pPr>
              <w:spacing w:before="20" w:after="20" w:line="276" w:lineRule="auto"/>
              <w:ind w:firstLine="0"/>
            </w:pPr>
            <w:r/>
            <w:r>
              <w:rPr>
                <w:rFonts w:ascii="Times New Roman" w:hAnsi="Times New Roman" w:eastAsia="宋体"/>
                <w:b w:val="0"/>
                <w:i w:val="0"/>
                <w:sz w:val="21"/>
              </w:rPr>
              <w:t>风险等级取值为高、中、低 3 档，在规则行内以下拉控件选择而非纯文字；调整后该规则的运行时风险等级随之改变；调整是否需要二次确认、是否回算历史已生成信号的行为待业务方确认</w:t>
            </w:r>
          </w:p>
        </w:tc>
      </w:tr>
      <w:tr>
        <w:tc>
          <w:tcPr>
            <w:tcW w:type="dxa" w:w="1474"/>
          </w:tcPr>
          <w:p>
            <w:pPr>
              <w:spacing w:before="20" w:after="20" w:line="276" w:lineRule="auto"/>
              <w:ind w:firstLine="0"/>
            </w:pPr>
            <w:r/>
            <w:r>
              <w:rPr>
                <w:rFonts w:ascii="Times New Roman" w:hAnsi="Times New Roman" w:eastAsia="宋体"/>
                <w:b w:val="0"/>
                <w:i w:val="0"/>
                <w:sz w:val="21"/>
              </w:rPr>
              <w:t>价格波动规则配置向导</w:t>
            </w:r>
          </w:p>
        </w:tc>
        <w:tc>
          <w:tcPr>
            <w:tcW w:type="dxa" w:w="3175"/>
          </w:tcPr>
          <w:p>
            <w:pPr>
              <w:spacing w:before="20" w:after="20" w:line="276" w:lineRule="auto"/>
              <w:ind w:firstLine="0"/>
            </w:pPr>
            <w:r/>
            <w:r>
              <w:rPr>
                <w:rFonts w:ascii="Times New Roman" w:hAnsi="Times New Roman" w:eastAsia="宋体"/>
                <w:b w:val="0"/>
                <w:i w:val="0"/>
                <w:sz w:val="21"/>
              </w:rPr>
              <w:t>按 11 步完成一条价格波动规则的配置</w:t>
            </w:r>
          </w:p>
        </w:tc>
        <w:tc>
          <w:tcPr>
            <w:tcW w:type="dxa" w:w="4422"/>
          </w:tcPr>
          <w:p>
            <w:pPr>
              <w:spacing w:before="20" w:after="20" w:line="276" w:lineRule="auto"/>
              <w:ind w:firstLine="0"/>
            </w:pPr>
            <w:r/>
            <w:r>
              <w:rPr>
                <w:rFonts w:ascii="Times New Roman" w:hAnsi="Times New Roman" w:eastAsia="宋体"/>
                <w:b w:val="0"/>
                <w:i w:val="0"/>
                <w:sz w:val="21"/>
              </w:rPr>
              <w:t>11 个步骤依次为是否关联合同、业务类型、规则类型、规则名称、风险等级、考核项、配置项、查看规则明细、通用指标、消息类型、备注；业务类型当前仅存货业务可选；规则名称长度上限 99 位且全局唯一，重复时提示规则名称已存在并阻止保存；考核项与配置项必须同属百分比口径或金额口径，不一致时提示配置项必须与考核项匹配并阻止保存；第 8 步规则明细由系统自动生成且只读，业务人员无需手动填写</w:t>
            </w:r>
          </w:p>
        </w:tc>
      </w:tr>
      <w:tr>
        <w:tc>
          <w:tcPr>
            <w:tcW w:type="dxa" w:w="1474"/>
          </w:tcPr>
          <w:p>
            <w:pPr>
              <w:spacing w:before="20" w:after="20" w:line="276" w:lineRule="auto"/>
              <w:ind w:firstLine="0"/>
            </w:pPr>
            <w:r/>
            <w:r>
              <w:rPr>
                <w:rFonts w:ascii="Times New Roman" w:hAnsi="Times New Roman" w:eastAsia="宋体"/>
                <w:b w:val="0"/>
                <w:i w:val="0"/>
                <w:sz w:val="21"/>
              </w:rPr>
              <w:t>价格波动对比价格基准</w:t>
            </w:r>
          </w:p>
        </w:tc>
        <w:tc>
          <w:tcPr>
            <w:tcW w:type="dxa" w:w="3175"/>
          </w:tcPr>
          <w:p>
            <w:pPr>
              <w:spacing w:before="20" w:after="20" w:line="276" w:lineRule="auto"/>
              <w:ind w:firstLine="0"/>
            </w:pPr>
            <w:r/>
            <w:r>
              <w:rPr>
                <w:rFonts w:ascii="Times New Roman" w:hAnsi="Times New Roman" w:eastAsia="宋体"/>
                <w:b w:val="0"/>
                <w:i w:val="0"/>
                <w:sz w:val="21"/>
              </w:rPr>
              <w:t>确定价格波动规则的对比口径与命中判定方式</w:t>
            </w:r>
          </w:p>
        </w:tc>
        <w:tc>
          <w:tcPr>
            <w:tcW w:type="dxa" w:w="4422"/>
          </w:tcPr>
          <w:p>
            <w:pPr>
              <w:spacing w:before="20" w:after="20" w:line="276" w:lineRule="auto"/>
              <w:ind w:firstLine="0"/>
            </w:pPr>
            <w:r/>
            <w:r>
              <w:rPr>
                <w:rFonts w:ascii="Times New Roman" w:hAnsi="Times New Roman" w:eastAsia="宋体"/>
                <w:b w:val="0"/>
                <w:i w:val="0"/>
                <w:sz w:val="21"/>
              </w:rPr>
              <w:t>规则类型支持 15 种对比价格基准，含最新有效报价与当月月初、上月同期、上上月同期、本年年初、去年同期、当月平均、当月最高、当月最低、当年平均、当年最高、当年最低、最近若干自然日内平均价、最近若干自然日内最高价、各地现货交易最高限价；命中判定先按考核项计算波动幅度或波动金额，再按配置项阈值判定；高风险规则触发时优先推送预警</w:t>
            </w:r>
          </w:p>
        </w:tc>
      </w:tr>
      <w:tr>
        <w:tc>
          <w:tcPr>
            <w:tcW w:type="dxa" w:w="1474"/>
          </w:tcPr>
          <w:p>
            <w:pPr>
              <w:spacing w:before="20" w:after="20" w:line="276" w:lineRule="auto"/>
              <w:ind w:firstLine="0"/>
            </w:pPr>
            <w:r/>
            <w:r>
              <w:rPr>
                <w:rFonts w:ascii="Times New Roman" w:hAnsi="Times New Roman" w:eastAsia="宋体"/>
                <w:b w:val="0"/>
                <w:i w:val="0"/>
                <w:sz w:val="21"/>
              </w:rPr>
              <w:t>监控合同绑定</w:t>
            </w:r>
          </w:p>
        </w:tc>
        <w:tc>
          <w:tcPr>
            <w:tcW w:type="dxa" w:w="3175"/>
          </w:tcPr>
          <w:p>
            <w:pPr>
              <w:spacing w:before="20" w:after="20" w:line="276" w:lineRule="auto"/>
              <w:ind w:firstLine="0"/>
            </w:pPr>
            <w:r/>
            <w:r>
              <w:rPr>
                <w:rFonts w:ascii="Times New Roman" w:hAnsi="Times New Roman" w:eastAsia="宋体"/>
                <w:b w:val="0"/>
                <w:i w:val="0"/>
                <w:sz w:val="21"/>
              </w:rPr>
              <w:t>为价格波动规则绑定需要监控的业务合同</w:t>
            </w:r>
          </w:p>
        </w:tc>
        <w:tc>
          <w:tcPr>
            <w:tcW w:type="dxa" w:w="4422"/>
          </w:tcPr>
          <w:p>
            <w:pPr>
              <w:spacing w:before="20" w:after="20" w:line="276" w:lineRule="auto"/>
              <w:ind w:firstLine="0"/>
            </w:pPr>
            <w:r/>
            <w:r>
              <w:rPr>
                <w:rFonts w:ascii="Times New Roman" w:hAnsi="Times New Roman" w:eastAsia="宋体"/>
                <w:b w:val="0"/>
                <w:i w:val="0"/>
                <w:sz w:val="21"/>
              </w:rPr>
              <w:t>可选合同范围仅包含状态为执行中或待上传双签合同的合同；已作废合同提示该合同已作废，无法监控并阻止保存；状态不符时提示请选择执行中或待上传双签合同并阻止保存；一个规则可绑定多个合同；页面顶部回显当前合同编号，单选显示编号、多选显示加若干个</w:t>
            </w:r>
          </w:p>
        </w:tc>
      </w:tr>
      <w:tr>
        <w:tc>
          <w:tcPr>
            <w:tcW w:type="dxa" w:w="1474"/>
          </w:tcPr>
          <w:p>
            <w:pPr>
              <w:spacing w:before="20" w:after="20" w:line="276" w:lineRule="auto"/>
              <w:ind w:firstLine="0"/>
            </w:pPr>
            <w:r/>
            <w:r>
              <w:rPr>
                <w:rFonts w:ascii="Times New Roman" w:hAnsi="Times New Roman" w:eastAsia="宋体"/>
                <w:b w:val="0"/>
                <w:i w:val="0"/>
                <w:sz w:val="21"/>
              </w:rPr>
              <w:t>交易监控规则类型</w:t>
            </w:r>
          </w:p>
        </w:tc>
        <w:tc>
          <w:tcPr>
            <w:tcW w:type="dxa" w:w="3175"/>
          </w:tcPr>
          <w:p>
            <w:pPr>
              <w:spacing w:before="20" w:after="20" w:line="276" w:lineRule="auto"/>
              <w:ind w:firstLine="0"/>
            </w:pPr>
            <w:r/>
            <w:r>
              <w:rPr>
                <w:rFonts w:ascii="Times New Roman" w:hAnsi="Times New Roman" w:eastAsia="宋体"/>
                <w:b w:val="0"/>
                <w:i w:val="0"/>
                <w:sz w:val="21"/>
              </w:rPr>
              <w:t>按交易监控的四个子类型组织规则</w:t>
            </w:r>
          </w:p>
        </w:tc>
        <w:tc>
          <w:tcPr>
            <w:tcW w:type="dxa" w:w="4422"/>
          </w:tcPr>
          <w:p>
            <w:pPr>
              <w:spacing w:before="20" w:after="20" w:line="276" w:lineRule="auto"/>
              <w:ind w:firstLine="0"/>
            </w:pPr>
            <w:r/>
            <w:r>
              <w:rPr>
                <w:rFonts w:ascii="Times New Roman" w:hAnsi="Times New Roman" w:eastAsia="宋体"/>
                <w:b w:val="0"/>
                <w:i w:val="0"/>
                <w:sz w:val="21"/>
              </w:rPr>
              <w:t>交易监控规则类型分 4 类：合同监控、货物监控、发票监控、结算监控；每类按配置的天数上限或单据缺失情况判定命中；业务类型当前仅存货业务，业务品类取值为谷物、淀粉、糖粉</w:t>
            </w:r>
          </w:p>
        </w:tc>
      </w:tr>
      <w:tr>
        <w:tc>
          <w:tcPr>
            <w:tcW w:type="dxa" w:w="1474"/>
          </w:tcPr>
          <w:p>
            <w:pPr>
              <w:spacing w:before="20" w:after="20" w:line="276" w:lineRule="auto"/>
              <w:ind w:firstLine="0"/>
            </w:pPr>
            <w:r/>
            <w:r>
              <w:rPr>
                <w:rFonts w:ascii="Times New Roman" w:hAnsi="Times New Roman" w:eastAsia="宋体"/>
                <w:b w:val="0"/>
                <w:i w:val="0"/>
                <w:sz w:val="21"/>
              </w:rPr>
              <w:t>规则编号与操作留痕</w:t>
            </w:r>
          </w:p>
        </w:tc>
        <w:tc>
          <w:tcPr>
            <w:tcW w:type="dxa" w:w="3175"/>
          </w:tcPr>
          <w:p>
            <w:pPr>
              <w:spacing w:before="20" w:after="20" w:line="276" w:lineRule="auto"/>
              <w:ind w:firstLine="0"/>
            </w:pPr>
            <w:r/>
            <w:r>
              <w:rPr>
                <w:rFonts w:ascii="Times New Roman" w:hAnsi="Times New Roman" w:eastAsia="宋体"/>
                <w:b w:val="0"/>
                <w:i w:val="0"/>
                <w:sz w:val="21"/>
              </w:rPr>
              <w:t>为规则提供可识别的编号并记录最后操作信息</w:t>
            </w:r>
          </w:p>
        </w:tc>
        <w:tc>
          <w:tcPr>
            <w:tcW w:type="dxa" w:w="4422"/>
          </w:tcPr>
          <w:p>
            <w:pPr>
              <w:spacing w:before="20" w:after="20" w:line="276" w:lineRule="auto"/>
              <w:ind w:firstLine="0"/>
            </w:pPr>
            <w:r/>
            <w:r>
              <w:rPr>
                <w:rFonts w:ascii="Times New Roman" w:hAnsi="Times New Roman" w:eastAsia="宋体"/>
                <w:b w:val="0"/>
                <w:i w:val="0"/>
                <w:sz w:val="21"/>
              </w:rPr>
              <w:t>规则编号按业务前缀加数字构成，企业监控前缀为 YJGS、交易监控前缀为 YJSS、价格波动前缀为 DSYJGZ；表格展示最后操作人员与最后操作时间；价格波动页签的操作列提供编辑与合同配置两个链接，链接列宽需完整显示不被截断</w:t>
            </w:r>
          </w:p>
        </w:tc>
      </w:tr>
    </w:tbl>
    <w:p>
      <w:pPr>
        <w:spacing w:before="0" w:after="0" w:line="240" w:lineRule="auto"/>
      </w:pP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tblGrid>
      <w:tr>
        <w:trPr>
          <w:tblHeader w:val="true"/>
        </w:trPr>
        <w:tc>
          <w:tcPr>
            <w:tcW w:type="dxa" w:w="1247"/>
            <w:shd w:val="clear" w:color="auto" w:fill="DCE6F1"/>
          </w:tcPr>
          <w:p>
            <w:pPr>
              <w:spacing w:before="40" w:after="40" w:line="276" w:lineRule="auto"/>
              <w:jc w:val="center"/>
            </w:pPr>
            <w:r/>
            <w:r>
              <w:rPr>
                <w:rFonts w:ascii="Times New Roman" w:hAnsi="Times New Roman" w:eastAsia="黑体"/>
                <w:b/>
                <w:i w:val="0"/>
                <w:sz w:val="19"/>
              </w:rPr>
              <w:t>页面</w:t>
            </w:r>
          </w:p>
        </w:tc>
        <w:tc>
          <w:tcPr>
            <w:tcW w:type="dxa" w:w="1474"/>
            <w:shd w:val="clear" w:color="auto" w:fill="DCE6F1"/>
          </w:tcPr>
          <w:p>
            <w:pPr>
              <w:spacing w:before="40" w:after="40" w:line="276" w:lineRule="auto"/>
              <w:jc w:val="center"/>
            </w:pPr>
            <w:r/>
            <w:r>
              <w:rPr>
                <w:rFonts w:ascii="Times New Roman" w:hAnsi="Times New Roman" w:eastAsia="黑体"/>
                <w:b/>
                <w:i w:val="0"/>
                <w:sz w:val="19"/>
              </w:rPr>
              <w:t>文件</w:t>
            </w:r>
          </w:p>
        </w:tc>
        <w:tc>
          <w:tcPr>
            <w:tcW w:type="dxa" w:w="1134"/>
            <w:shd w:val="clear" w:color="auto" w:fill="DCE6F1"/>
          </w:tcPr>
          <w:p>
            <w:pPr>
              <w:spacing w:before="40" w:after="40" w:line="276" w:lineRule="auto"/>
              <w:jc w:val="center"/>
            </w:pPr>
            <w:r/>
            <w:r>
              <w:rPr>
                <w:rFonts w:ascii="Times New Roman" w:hAnsi="Times New Roman" w:eastAsia="黑体"/>
                <w:b/>
                <w:i w:val="0"/>
                <w:sz w:val="19"/>
              </w:rPr>
              <w:t>入口</w:t>
            </w:r>
          </w:p>
        </w:tc>
        <w:tc>
          <w:tcPr>
            <w:tcW w:type="dxa" w:w="2041"/>
            <w:shd w:val="clear" w:color="auto" w:fill="DCE6F1"/>
          </w:tcPr>
          <w:p>
            <w:pPr>
              <w:spacing w:before="40" w:after="40" w:line="276" w:lineRule="auto"/>
              <w:jc w:val="center"/>
            </w:pPr>
            <w:r/>
            <w:r>
              <w:rPr>
                <w:rFonts w:ascii="Times New Roman" w:hAnsi="Times New Roman" w:eastAsia="黑体"/>
                <w:b/>
                <w:i w:val="0"/>
                <w:sz w:val="19"/>
              </w:rPr>
              <w:t>主要区块</w:t>
            </w:r>
          </w:p>
        </w:tc>
        <w:tc>
          <w:tcPr>
            <w:tcW w:type="dxa" w:w="1701"/>
            <w:shd w:val="clear" w:color="auto" w:fill="DCE6F1"/>
          </w:tcPr>
          <w:p>
            <w:pPr>
              <w:spacing w:before="40" w:after="40" w:line="276" w:lineRule="auto"/>
              <w:jc w:val="center"/>
            </w:pPr>
            <w:r/>
            <w:r>
              <w:rPr>
                <w:rFonts w:ascii="Times New Roman" w:hAnsi="Times New Roman" w:eastAsia="黑体"/>
                <w:b/>
                <w:i w:val="0"/>
                <w:sz w:val="19"/>
              </w:rPr>
              <w:t>主要操作</w:t>
            </w:r>
          </w:p>
        </w:tc>
        <w:tc>
          <w:tcPr>
            <w:tcW w:type="dxa" w:w="1474"/>
            <w:shd w:val="clear" w:color="auto" w:fill="DCE6F1"/>
          </w:tcPr>
          <w:p>
            <w:pPr>
              <w:spacing w:before="40" w:after="40" w:line="276" w:lineRule="auto"/>
              <w:jc w:val="center"/>
            </w:pPr>
            <w:r/>
            <w:r>
              <w:rPr>
                <w:rFonts w:ascii="Times New Roman" w:hAnsi="Times New Roman" w:eastAsia="黑体"/>
                <w:b/>
                <w:i w:val="0"/>
                <w:sz w:val="19"/>
              </w:rPr>
              <w:t>跳转</w:t>
            </w:r>
          </w:p>
        </w:tc>
      </w:tr>
      <w:tr>
        <w:tc>
          <w:tcPr>
            <w:tcW w:type="dxa" w:w="1247"/>
          </w:tcPr>
          <w:p>
            <w:pPr>
              <w:spacing w:before="20" w:after="20" w:line="276" w:lineRule="auto"/>
              <w:ind w:firstLine="0"/>
            </w:pPr>
            <w:r/>
            <w:r>
              <w:rPr>
                <w:rFonts w:ascii="Times New Roman" w:hAnsi="Times New Roman" w:eastAsia="宋体"/>
                <w:b w:val="0"/>
                <w:i w:val="0"/>
                <w:sz w:val="19"/>
              </w:rPr>
              <w:t>预警规则配置</w:t>
            </w:r>
          </w:p>
        </w:tc>
        <w:tc>
          <w:tcPr>
            <w:tcW w:type="dxa" w:w="1474"/>
          </w:tcPr>
          <w:p>
            <w:pPr>
              <w:spacing w:before="20" w:after="20" w:line="276" w:lineRule="auto"/>
              <w:ind w:firstLine="0"/>
            </w:pPr>
            <w:r/>
            <w:r>
              <w:rPr>
                <w:rFonts w:ascii="Times New Roman" w:hAnsi="Times New Roman" w:eastAsia="宋体"/>
                <w:b w:val="0"/>
                <w:i w:val="0"/>
                <w:sz w:val="19"/>
              </w:rPr>
              <w:t>warning-config.html</w:t>
            </w:r>
          </w:p>
        </w:tc>
        <w:tc>
          <w:tcPr>
            <w:tcW w:type="dxa" w:w="1134"/>
          </w:tcPr>
          <w:p>
            <w:pPr>
              <w:spacing w:before="20" w:after="20" w:line="276" w:lineRule="auto"/>
              <w:ind w:firstLine="0"/>
            </w:pPr>
            <w:r/>
            <w:r>
              <w:rPr>
                <w:rFonts w:ascii="Times New Roman" w:hAnsi="Times New Roman" w:eastAsia="宋体"/>
                <w:b w:val="0"/>
                <w:i w:val="0"/>
                <w:sz w:val="19"/>
              </w:rPr>
              <w:t>预警中心 / 预警规则配置 / 预警规则配置</w:t>
            </w:r>
          </w:p>
        </w:tc>
        <w:tc>
          <w:tcPr>
            <w:tcW w:type="dxa" w:w="2041"/>
          </w:tcPr>
          <w:p>
            <w:pPr>
              <w:spacing w:before="20" w:after="20" w:line="276" w:lineRule="auto"/>
              <w:ind w:firstLine="0"/>
            </w:pPr>
            <w:r/>
            <w:r>
              <w:rPr>
                <w:rFonts w:ascii="Times New Roman" w:hAnsi="Times New Roman" w:eastAsia="宋体"/>
                <w:b w:val="0"/>
                <w:i w:val="0"/>
                <w:sz w:val="19"/>
              </w:rPr>
              <w:t>3 个页签（企业监控、交易监控、价格波动）；3 套筛选区，字段数分别为 4、7、6；3 套规则表格，列数分别为 8、13、14；价格波动页签另有合同选择弹窗表格含合同编号、品类、品名、对方企业、合同期限、类型与数量、状态</w:t>
            </w:r>
          </w:p>
        </w:tc>
        <w:tc>
          <w:tcPr>
            <w:tcW w:type="dxa" w:w="1701"/>
          </w:tcPr>
          <w:p>
            <w:pPr>
              <w:spacing w:before="20" w:after="20" w:line="276" w:lineRule="auto"/>
              <w:ind w:firstLine="0"/>
            </w:pPr>
            <w:r/>
            <w:r>
              <w:rPr>
                <w:rFonts w:ascii="Times New Roman" w:hAnsi="Times New Roman" w:eastAsia="宋体"/>
                <w:b w:val="0"/>
                <w:i w:val="0"/>
                <w:sz w:val="19"/>
              </w:rPr>
              <w:t>查询、重置、添加规则（仅交易监控与价格波动页签）、状态启停开关、风险等级下拉、编辑、合同配置（仅价格波动页签）；企业监控页签无操作列</w:t>
            </w:r>
          </w:p>
        </w:tc>
        <w:tc>
          <w:tcPr>
            <w:tcW w:type="dxa" w:w="1474"/>
          </w:tcPr>
          <w:p>
            <w:pPr>
              <w:spacing w:before="20" w:after="20" w:line="276" w:lineRule="auto"/>
              <w:ind w:firstLine="0"/>
            </w:pPr>
            <w:r/>
            <w:r>
              <w:rPr>
                <w:rFonts w:ascii="Times New Roman" w:hAnsi="Times New Roman" w:eastAsia="宋体"/>
                <w:b w:val="0"/>
                <w:i w:val="0"/>
                <w:sz w:val="19"/>
              </w:rPr>
              <w:t>点击价格波动页签的合同配置进入监控合同配置页 warning-price-contract-config.html</w:t>
            </w:r>
          </w:p>
        </w:tc>
      </w:tr>
      <w:tr>
        <w:tc>
          <w:tcPr>
            <w:tcW w:type="dxa" w:w="1247"/>
          </w:tcPr>
          <w:p>
            <w:pPr>
              <w:spacing w:before="20" w:after="20" w:line="276" w:lineRule="auto"/>
              <w:ind w:firstLine="0"/>
            </w:pPr>
            <w:r/>
            <w:r>
              <w:rPr>
                <w:rFonts w:ascii="Times New Roman" w:hAnsi="Times New Roman" w:eastAsia="宋体"/>
                <w:b w:val="0"/>
                <w:i w:val="0"/>
                <w:sz w:val="19"/>
              </w:rPr>
              <w:t>监控合同配置</w:t>
            </w:r>
          </w:p>
        </w:tc>
        <w:tc>
          <w:tcPr>
            <w:tcW w:type="dxa" w:w="1474"/>
          </w:tcPr>
          <w:p>
            <w:pPr>
              <w:spacing w:before="20" w:after="20" w:line="276" w:lineRule="auto"/>
              <w:ind w:firstLine="0"/>
            </w:pPr>
            <w:r/>
            <w:r>
              <w:rPr>
                <w:rFonts w:ascii="Times New Roman" w:hAnsi="Times New Roman" w:eastAsia="宋体"/>
                <w:b w:val="0"/>
                <w:i w:val="0"/>
                <w:sz w:val="19"/>
              </w:rPr>
              <w:t>warning-price-contract-config.html</w:t>
            </w:r>
          </w:p>
        </w:tc>
        <w:tc>
          <w:tcPr>
            <w:tcW w:type="dxa" w:w="1134"/>
          </w:tcPr>
          <w:p>
            <w:pPr>
              <w:spacing w:before="20" w:after="20" w:line="276" w:lineRule="auto"/>
              <w:ind w:firstLine="0"/>
            </w:pPr>
            <w:r/>
            <w:r>
              <w:rPr>
                <w:rFonts w:ascii="Times New Roman" w:hAnsi="Times New Roman" w:eastAsia="宋体"/>
                <w:b w:val="0"/>
                <w:i w:val="0"/>
                <w:sz w:val="19"/>
              </w:rPr>
              <w:t>预警中心 / 预警规则配置 / 价格波动页签 / 合同配置</w:t>
            </w:r>
          </w:p>
        </w:tc>
        <w:tc>
          <w:tcPr>
            <w:tcW w:type="dxa" w:w="2041"/>
          </w:tcPr>
          <w:p>
            <w:pPr>
              <w:spacing w:before="20" w:after="20" w:line="276" w:lineRule="auto"/>
              <w:ind w:firstLine="0"/>
            </w:pPr>
            <w:r/>
            <w:r>
              <w:rPr>
                <w:rFonts w:ascii="Times New Roman" w:hAnsi="Times New Roman" w:eastAsia="宋体"/>
                <w:b w:val="0"/>
                <w:i w:val="0"/>
                <w:sz w:val="19"/>
              </w:rPr>
              <w:t>顶部当前合同编号指示器；合同选择弹窗含合同编号、销售方与采购方、业务类型、签订日期、合同类型、合同状态等筛选项与多选框；底部保存与取消按钮区</w:t>
            </w:r>
          </w:p>
        </w:tc>
        <w:tc>
          <w:tcPr>
            <w:tcW w:type="dxa" w:w="1701"/>
          </w:tcPr>
          <w:p>
            <w:pPr>
              <w:spacing w:before="20" w:after="20" w:line="276" w:lineRule="auto"/>
              <w:ind w:firstLine="0"/>
            </w:pPr>
            <w:r/>
            <w:r>
              <w:rPr>
                <w:rFonts w:ascii="Times New Roman" w:hAnsi="Times New Roman" w:eastAsia="宋体"/>
                <w:b w:val="0"/>
                <w:i w:val="0"/>
                <w:sz w:val="19"/>
              </w:rPr>
              <w:t>选择合同、清除选择、单个合同删除、保存、取消；取消时保留当前选择，下次进入可继续</w:t>
            </w:r>
          </w:p>
        </w:tc>
        <w:tc>
          <w:tcPr>
            <w:tcW w:type="dxa" w:w="1474"/>
          </w:tcPr>
          <w:p>
            <w:pPr>
              <w:spacing w:before="20" w:after="20" w:line="276" w:lineRule="auto"/>
              <w:ind w:firstLine="0"/>
            </w:pPr>
            <w:r/>
            <w:r>
              <w:rPr>
                <w:rFonts w:ascii="Times New Roman" w:hAnsi="Times New Roman" w:eastAsia="宋体"/>
                <w:b w:val="0"/>
                <w:i w:val="0"/>
                <w:sz w:val="19"/>
              </w:rPr>
              <w:t>保存成功后回到预警规则配置页并展示已选合同列表</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4.28.5　数据关系</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474"/>
            <w:shd w:val="clear" w:color="auto" w:fill="DCE6F1"/>
          </w:tcPr>
          <w:p>
            <w:pPr>
              <w:spacing w:before="40" w:after="40" w:line="276" w:lineRule="auto"/>
              <w:jc w:val="center"/>
            </w:pPr>
            <w:r/>
            <w:r>
              <w:rPr>
                <w:rFonts w:ascii="Times New Roman" w:hAnsi="Times New Roman" w:eastAsia="黑体"/>
                <w:b/>
                <w:i w:val="0"/>
                <w:sz w:val="21"/>
              </w:rPr>
              <w:t>业务对象</w:t>
            </w:r>
          </w:p>
        </w:tc>
        <w:tc>
          <w:tcPr>
            <w:tcW w:type="dxa" w:w="4195"/>
            <w:shd w:val="clear" w:color="auto" w:fill="DCE6F1"/>
          </w:tcPr>
          <w:p>
            <w:pPr>
              <w:spacing w:before="40" w:after="40" w:line="276" w:lineRule="auto"/>
              <w:jc w:val="center"/>
            </w:pPr>
            <w:r/>
            <w:r>
              <w:rPr>
                <w:rFonts w:ascii="Times New Roman" w:hAnsi="Times New Roman" w:eastAsia="黑体"/>
                <w:b/>
                <w:i w:val="0"/>
                <w:sz w:val="21"/>
              </w:rPr>
              <w:t>关键字段与口径</w:t>
            </w:r>
          </w:p>
        </w:tc>
        <w:tc>
          <w:tcPr>
            <w:tcW w:type="dxa" w:w="3402"/>
            <w:shd w:val="clear" w:color="auto" w:fill="DCE6F1"/>
          </w:tcPr>
          <w:p>
            <w:pPr>
              <w:spacing w:before="40" w:after="40" w:line="276" w:lineRule="auto"/>
              <w:jc w:val="center"/>
            </w:pPr>
            <w:r/>
            <w:r>
              <w:rPr>
                <w:rFonts w:ascii="Times New Roman" w:hAnsi="Times New Roman" w:eastAsia="黑体"/>
                <w:b/>
                <w:i w:val="0"/>
                <w:sz w:val="21"/>
              </w:rPr>
              <w:t>与其他对象的关系</w:t>
            </w:r>
          </w:p>
        </w:tc>
      </w:tr>
      <w:tr>
        <w:tc>
          <w:tcPr>
            <w:tcW w:type="dxa" w:w="1474"/>
          </w:tcPr>
          <w:p>
            <w:pPr>
              <w:spacing w:before="20" w:after="20" w:line="276" w:lineRule="auto"/>
              <w:ind w:firstLine="0"/>
            </w:pPr>
            <w:r/>
            <w:r>
              <w:rPr>
                <w:rFonts w:ascii="Times New Roman" w:hAnsi="Times New Roman" w:eastAsia="宋体"/>
                <w:b w:val="0"/>
                <w:i w:val="0"/>
                <w:sz w:val="21"/>
              </w:rPr>
              <w:t>预警规则</w:t>
            </w:r>
          </w:p>
        </w:tc>
        <w:tc>
          <w:tcPr>
            <w:tcW w:type="dxa" w:w="4195"/>
          </w:tcPr>
          <w:p>
            <w:pPr>
              <w:spacing w:before="20" w:after="20" w:line="276" w:lineRule="auto"/>
              <w:ind w:firstLine="0"/>
            </w:pPr>
            <w:r/>
            <w:r>
              <w:rPr>
                <w:rFonts w:ascii="Times New Roman" w:hAnsi="Times New Roman" w:eastAsia="宋体"/>
                <w:b w:val="0"/>
                <w:i w:val="0"/>
                <w:sz w:val="21"/>
              </w:rPr>
              <w:t>规则名称：必填</w:t>
            </w:r>
            <w:r>
              <w:br/>
            </w:r>
            <w:r>
              <w:rPr>
                <w:rFonts w:ascii="Times New Roman" w:hAnsi="Times New Roman" w:eastAsia="宋体"/>
                <w:b w:val="0"/>
                <w:i w:val="0"/>
                <w:sz w:val="21"/>
              </w:rPr>
              <w:t>规则类型：企业监控、交易监控、价格波动三值之一</w:t>
            </w:r>
            <w:r>
              <w:br/>
            </w:r>
            <w:r>
              <w:rPr>
                <w:rFonts w:ascii="Times New Roman" w:hAnsi="Times New Roman" w:eastAsia="宋体"/>
                <w:b w:val="0"/>
                <w:i w:val="0"/>
                <w:sz w:val="21"/>
              </w:rPr>
              <w:t>监控对象：客户、合同或指数</w:t>
            </w:r>
            <w:r>
              <w:br/>
            </w:r>
            <w:r>
              <w:rPr>
                <w:rFonts w:ascii="Times New Roman" w:hAnsi="Times New Roman" w:eastAsia="宋体"/>
                <w:b w:val="0"/>
                <w:i w:val="0"/>
                <w:sz w:val="21"/>
              </w:rPr>
              <w:t>监控指标：如黑名单、逾期、跌破预警线</w:t>
            </w:r>
            <w:r>
              <w:br/>
            </w:r>
            <w:r>
              <w:rPr>
                <w:rFonts w:ascii="Times New Roman" w:hAnsi="Times New Roman" w:eastAsia="宋体"/>
                <w:b w:val="0"/>
                <w:i w:val="0"/>
                <w:sz w:val="21"/>
              </w:rPr>
              <w:t>阈值：触发判定的数值</w:t>
            </w:r>
            <w:r>
              <w:br/>
            </w:r>
            <w:r>
              <w:rPr>
                <w:rFonts w:ascii="Times New Roman" w:hAnsi="Times New Roman" w:eastAsia="宋体"/>
                <w:b w:val="0"/>
                <w:i w:val="0"/>
                <w:sz w:val="21"/>
              </w:rPr>
              <w:t>比较符：大于、小于、等于、大于等于、小于等于</w:t>
            </w:r>
            <w:r>
              <w:br/>
            </w:r>
            <w:r>
              <w:rPr>
                <w:rFonts w:ascii="Times New Roman" w:hAnsi="Times New Roman" w:eastAsia="宋体"/>
                <w:b w:val="0"/>
                <w:i w:val="0"/>
                <w:sz w:val="21"/>
              </w:rPr>
              <w:t>监控频率：实时、日、周</w:t>
            </w:r>
            <w:r>
              <w:br/>
            </w:r>
            <w:r>
              <w:rPr>
                <w:rFonts w:ascii="Times New Roman" w:hAnsi="Times New Roman" w:eastAsia="宋体"/>
                <w:b w:val="0"/>
                <w:i w:val="0"/>
                <w:sz w:val="21"/>
              </w:rPr>
              <w:t>风险等级：高、中、低三值</w:t>
            </w:r>
            <w:r>
              <w:br/>
            </w:r>
            <w:r>
              <w:rPr>
                <w:rFonts w:ascii="Times New Roman" w:hAnsi="Times New Roman" w:eastAsia="宋体"/>
                <w:b w:val="0"/>
                <w:i w:val="0"/>
                <w:sz w:val="21"/>
              </w:rPr>
              <w:t>关联预警模板：指向预警模板</w:t>
            </w:r>
            <w:r>
              <w:br/>
            </w:r>
            <w:r>
              <w:rPr>
                <w:rFonts w:ascii="Times New Roman" w:hAnsi="Times New Roman" w:eastAsia="宋体"/>
                <w:b w:val="0"/>
                <w:i w:val="0"/>
                <w:sz w:val="21"/>
              </w:rPr>
              <w:t>启停状态：0 停用，1 启用</w:t>
            </w:r>
            <w:r>
              <w:br/>
            </w:r>
            <w:r>
              <w:rPr>
                <w:rFonts w:ascii="Times New Roman" w:hAnsi="Times New Roman" w:eastAsia="宋体"/>
                <w:b w:val="0"/>
                <w:i w:val="0"/>
                <w:sz w:val="21"/>
              </w:rPr>
              <w:t>创建人与创建时间</w:t>
            </w:r>
            <w:r>
              <w:br/>
            </w:r>
            <w:r>
              <w:rPr>
                <w:rFonts w:ascii="Times New Roman" w:hAnsi="Times New Roman" w:eastAsia="宋体"/>
                <w:b w:val="0"/>
                <w:i w:val="0"/>
                <w:sz w:val="21"/>
              </w:rPr>
              <w:t>更新时间</w:t>
            </w:r>
          </w:p>
        </w:tc>
        <w:tc>
          <w:tcPr>
            <w:tcW w:type="dxa" w:w="3402"/>
          </w:tcPr>
          <w:p>
            <w:pPr>
              <w:spacing w:before="20" w:after="20" w:line="276" w:lineRule="auto"/>
              <w:ind w:firstLine="0"/>
            </w:pPr>
            <w:r/>
            <w:r>
              <w:rPr>
                <w:rFonts w:ascii="Times New Roman" w:hAnsi="Times New Roman" w:eastAsia="宋体"/>
                <w:b w:val="0"/>
                <w:i w:val="0"/>
                <w:sz w:val="21"/>
              </w:rPr>
              <w:t>一条规则命中后生成预警信号；规则可引用预警模板；价格波动规则额外关联监控合同</w:t>
            </w:r>
          </w:p>
        </w:tc>
      </w:tr>
      <w:tr>
        <w:tc>
          <w:tcPr>
            <w:tcW w:type="dxa" w:w="1474"/>
          </w:tcPr>
          <w:p>
            <w:pPr>
              <w:spacing w:before="20" w:after="20" w:line="276" w:lineRule="auto"/>
              <w:ind w:firstLine="0"/>
            </w:pPr>
            <w:r/>
            <w:r>
              <w:rPr>
                <w:rFonts w:ascii="Times New Roman" w:hAnsi="Times New Roman" w:eastAsia="宋体"/>
                <w:b w:val="0"/>
                <w:i w:val="0"/>
                <w:sz w:val="21"/>
              </w:rPr>
              <w:t>预警模板</w:t>
            </w:r>
          </w:p>
        </w:tc>
        <w:tc>
          <w:tcPr>
            <w:tcW w:type="dxa" w:w="4195"/>
          </w:tcPr>
          <w:p>
            <w:pPr>
              <w:spacing w:before="20" w:after="20" w:line="276" w:lineRule="auto"/>
              <w:ind w:firstLine="0"/>
            </w:pPr>
            <w:r/>
            <w:r>
              <w:rPr>
                <w:rFonts w:ascii="Times New Roman" w:hAnsi="Times New Roman" w:eastAsia="宋体"/>
                <w:b w:val="0"/>
                <w:i w:val="0"/>
                <w:sz w:val="21"/>
              </w:rPr>
              <w:t>模板名称</w:t>
            </w:r>
            <w:r>
              <w:br/>
            </w:r>
            <w:r>
              <w:rPr>
                <w:rFonts w:ascii="Times New Roman" w:hAnsi="Times New Roman" w:eastAsia="宋体"/>
                <w:b w:val="0"/>
                <w:i w:val="0"/>
                <w:sz w:val="21"/>
              </w:rPr>
              <w:t>模板类型：企业监控、交易监控、价格波动三值之一</w:t>
            </w:r>
            <w:r>
              <w:br/>
            </w:r>
            <w:r>
              <w:rPr>
                <w:rFonts w:ascii="Times New Roman" w:hAnsi="Times New Roman" w:eastAsia="宋体"/>
                <w:b w:val="0"/>
                <w:i w:val="0"/>
                <w:sz w:val="21"/>
              </w:rPr>
              <w:t>模板内容：带变量占位符的文本</w:t>
            </w:r>
            <w:r>
              <w:br/>
            </w:r>
            <w:r>
              <w:rPr>
                <w:rFonts w:ascii="Times New Roman" w:hAnsi="Times New Roman" w:eastAsia="宋体"/>
                <w:b w:val="0"/>
                <w:i w:val="0"/>
                <w:sz w:val="21"/>
              </w:rPr>
              <w:t>变量定义：模板渲染所需的变量集合</w:t>
            </w:r>
            <w:r>
              <w:br/>
            </w:r>
            <w:r>
              <w:rPr>
                <w:rFonts w:ascii="Times New Roman" w:hAnsi="Times New Roman" w:eastAsia="宋体"/>
                <w:b w:val="0"/>
                <w:i w:val="0"/>
                <w:sz w:val="21"/>
              </w:rPr>
              <w:t>启停状态：0 停用，1 启用</w:t>
            </w:r>
          </w:p>
        </w:tc>
        <w:tc>
          <w:tcPr>
            <w:tcW w:type="dxa" w:w="3402"/>
          </w:tcPr>
          <w:p>
            <w:pPr>
              <w:spacing w:before="20" w:after="20" w:line="276" w:lineRule="auto"/>
              <w:ind w:firstLine="0"/>
            </w:pPr>
            <w:r/>
            <w:r>
              <w:rPr>
                <w:rFonts w:ascii="Times New Roman" w:hAnsi="Times New Roman" w:eastAsia="宋体"/>
                <w:b w:val="0"/>
                <w:i w:val="0"/>
                <w:sz w:val="21"/>
              </w:rPr>
              <w:t>被预警规则引用，用于渲染预警内容；未配置模板的规则不生成预警信号</w:t>
            </w:r>
          </w:p>
        </w:tc>
      </w:tr>
      <w:tr>
        <w:tc>
          <w:tcPr>
            <w:tcW w:type="dxa" w:w="1474"/>
          </w:tcPr>
          <w:p>
            <w:pPr>
              <w:spacing w:before="20" w:after="20" w:line="276" w:lineRule="auto"/>
              <w:ind w:firstLine="0"/>
            </w:pPr>
            <w:r/>
            <w:r>
              <w:rPr>
                <w:rFonts w:ascii="Times New Roman" w:hAnsi="Times New Roman" w:eastAsia="宋体"/>
                <w:b w:val="0"/>
                <w:i w:val="0"/>
                <w:sz w:val="21"/>
              </w:rPr>
              <w:t>价格波动规则明细</w:t>
            </w:r>
          </w:p>
        </w:tc>
        <w:tc>
          <w:tcPr>
            <w:tcW w:type="dxa" w:w="4195"/>
          </w:tcPr>
          <w:p>
            <w:pPr>
              <w:spacing w:before="20" w:after="20" w:line="276" w:lineRule="auto"/>
              <w:ind w:firstLine="0"/>
            </w:pPr>
            <w:r/>
            <w:r>
              <w:rPr>
                <w:rFonts w:ascii="Times New Roman" w:hAnsi="Times New Roman" w:eastAsia="宋体"/>
                <w:b w:val="0"/>
                <w:i w:val="0"/>
                <w:sz w:val="21"/>
              </w:rPr>
              <w:t>本期价格：最新一次有效报价</w:t>
            </w:r>
            <w:r>
              <w:br/>
            </w:r>
            <w:r>
              <w:rPr>
                <w:rFonts w:ascii="Times New Roman" w:hAnsi="Times New Roman" w:eastAsia="宋体"/>
                <w:b w:val="0"/>
                <w:i w:val="0"/>
                <w:sz w:val="21"/>
              </w:rPr>
              <w:t>对比价格：按 15 种对比基准中的一种取值</w:t>
            </w:r>
            <w:r>
              <w:br/>
            </w:r>
            <w:r>
              <w:rPr>
                <w:rFonts w:ascii="Times New Roman" w:hAnsi="Times New Roman" w:eastAsia="宋体"/>
                <w:b w:val="0"/>
                <w:i w:val="0"/>
                <w:sz w:val="21"/>
              </w:rPr>
              <w:t>考核项：最大波动幅度或最大波动金额</w:t>
            </w:r>
            <w:r>
              <w:br/>
            </w:r>
            <w:r>
              <w:rPr>
                <w:rFonts w:ascii="Times New Roman" w:hAnsi="Times New Roman" w:eastAsia="宋体"/>
                <w:b w:val="0"/>
                <w:i w:val="0"/>
                <w:sz w:val="21"/>
              </w:rPr>
              <w:t>配置项：涨跌幅百分比或涨跌幅金额，与考核项口径一致</w:t>
            </w:r>
            <w:r>
              <w:br/>
            </w:r>
            <w:r>
              <w:rPr>
                <w:rFonts w:ascii="Times New Roman" w:hAnsi="Times New Roman" w:eastAsia="宋体"/>
                <w:b w:val="0"/>
                <w:i w:val="0"/>
                <w:sz w:val="21"/>
              </w:rPr>
              <w:t>风险等级：高、中、低</w:t>
            </w:r>
            <w:r>
              <w:br/>
            </w:r>
            <w:r>
              <w:rPr>
                <w:rFonts w:ascii="Times New Roman" w:hAnsi="Times New Roman" w:eastAsia="宋体"/>
                <w:b w:val="0"/>
                <w:i w:val="0"/>
                <w:sz w:val="21"/>
              </w:rPr>
              <w:t>关联合同：可多选框架合同与单批次合同</w:t>
            </w:r>
          </w:p>
        </w:tc>
        <w:tc>
          <w:tcPr>
            <w:tcW w:type="dxa" w:w="3402"/>
          </w:tcPr>
          <w:p>
            <w:pPr>
              <w:spacing w:before="20" w:after="20" w:line="276" w:lineRule="auto"/>
              <w:ind w:firstLine="0"/>
            </w:pPr>
            <w:r/>
            <w:r>
              <w:rPr>
                <w:rFonts w:ascii="Times New Roman" w:hAnsi="Times New Roman" w:eastAsia="宋体"/>
                <w:b w:val="0"/>
                <w:i w:val="0"/>
                <w:sz w:val="21"/>
              </w:rPr>
              <w:t>从属于价格波动规则，由系统在配置第 8 步自动生成且只读；关联合同指向销售与采购合同</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4.28.6　角色权限与数据权限</w:t>
      </w:r>
    </w:p>
    <w:p>
      <w:pPr>
        <w:spacing w:before="0" w:after="120" w:line="360" w:lineRule="auto"/>
      </w:pPr>
      <w:r>
        <w:rPr>
          <w:rFonts w:ascii="Times New Roman" w:hAnsi="Times New Roman" w:eastAsia="宋体"/>
          <w:b w:val="0"/>
          <w:i w:val="0"/>
          <w:sz w:val="24"/>
        </w:rPr>
        <w:t>本期为系统全量权限（业务方裁决 D17）；下表角色为典型使用角色，非权限分级。模块内存在明确的按钮可见性差异：企业监控页签不渲染添加规则按钮与操作列，交易监控页签仅渲染编辑链接，价格波动页签渲染编辑与合同配置两个链接；停用状态的规则不参与监控但历史预警仍可查看。规则启停与风险等级调整的操作角色待业务方确认。</w:t>
      </w:r>
    </w:p>
    <w:p>
      <w:pPr>
        <w:spacing w:before="0" w:after="80" w:line="360" w:lineRule="auto"/>
      </w:pPr>
      <w:r>
        <w:rPr>
          <w:rFonts w:ascii="Times New Roman" w:hAnsi="Times New Roman" w:eastAsia="宋体"/>
          <w:b w:val="0"/>
          <w:i w:val="0"/>
          <w:sz w:val="24"/>
        </w:rPr>
        <w:t>数据可见性：按单据归属与业务筛选查看；手机号、统一社会信用代码等敏感字段默认打码，手动点击查看完整值且查看行为留痕。</w:t>
      </w:r>
    </w:p>
    <w:p>
      <w:pPr>
        <w:pStyle w:val="Heading3"/>
        <w:keepNext/>
        <w:spacing w:before="160" w:after="80" w:line="312" w:lineRule="auto"/>
        <w:ind w:firstLine="0"/>
      </w:pPr>
      <w:r>
        <w:rPr>
          <w:rFonts w:ascii="Times New Roman" w:hAnsi="Times New Roman" w:eastAsia="黑体"/>
          <w:b/>
          <w:i w:val="0"/>
          <w:sz w:val="24"/>
        </w:rPr>
        <w:t>4.28.7　业务流程与页面</w:t>
      </w:r>
    </w:p>
    <w:p>
      <w:pPr>
        <w:spacing w:before="0" w:after="60" w:line="360" w:lineRule="auto"/>
      </w:pPr>
      <w:r>
        <w:rPr>
          <w:rFonts w:ascii="Times New Roman" w:hAnsi="Times New Roman" w:eastAsia="宋体"/>
          <w:b/>
          <w:i w:val="0"/>
          <w:sz w:val="24"/>
        </w:rPr>
        <w:t>主流程步骤：</w:t>
      </w:r>
    </w:p>
    <w:p>
      <w:pPr>
        <w:spacing w:before="0" w:after="60" w:line="336" w:lineRule="auto"/>
        <w:ind w:left="510" w:hanging="510"/>
      </w:pPr>
      <w:r>
        <w:rPr>
          <w:rFonts w:ascii="Times New Roman" w:hAnsi="Times New Roman" w:eastAsia="宋体"/>
          <w:b w:val="0"/>
          <w:i w:val="0"/>
          <w:sz w:val="24"/>
        </w:rPr>
        <w:t>1. 风控规则管理员进入预警规则配置页，选择企业监控、交易监控或价格波动页签</w:t>
      </w:r>
    </w:p>
    <w:p>
      <w:pPr>
        <w:spacing w:before="0" w:after="60" w:line="336" w:lineRule="auto"/>
        <w:ind w:left="510" w:hanging="510"/>
      </w:pPr>
      <w:r>
        <w:rPr>
          <w:rFonts w:ascii="Times New Roman" w:hAnsi="Times New Roman" w:eastAsia="宋体"/>
          <w:b w:val="0"/>
          <w:i w:val="0"/>
          <w:sz w:val="24"/>
        </w:rPr>
        <w:t>2. 在对应页签按规则类型、规则名称、状态与风险等级等条件筛选出目标规则</w:t>
      </w:r>
    </w:p>
    <w:p>
      <w:pPr>
        <w:spacing w:before="0" w:after="60" w:line="336" w:lineRule="auto"/>
        <w:ind w:left="510" w:hanging="510"/>
      </w:pPr>
      <w:r>
        <w:rPr>
          <w:rFonts w:ascii="Times New Roman" w:hAnsi="Times New Roman" w:eastAsia="宋体"/>
          <w:b w:val="0"/>
          <w:i w:val="0"/>
          <w:sz w:val="24"/>
        </w:rPr>
        <w:t>3. 交易监控与价格波动页签点击添加规则进入配置；企业监控页签不提供该入口</w:t>
      </w:r>
    </w:p>
    <w:p>
      <w:pPr>
        <w:spacing w:before="0" w:after="60" w:line="336" w:lineRule="auto"/>
        <w:ind w:left="510" w:hanging="510"/>
      </w:pPr>
      <w:r>
        <w:rPr>
          <w:rFonts w:ascii="Times New Roman" w:hAnsi="Times New Roman" w:eastAsia="宋体"/>
          <w:b w:val="0"/>
          <w:i w:val="0"/>
          <w:sz w:val="24"/>
        </w:rPr>
        <w:t>4. 价格波动规则按 11 步依次设置是否关联合同、业务类型、规则类型、规则名称、风险等级、考核项与配置项</w:t>
      </w:r>
    </w:p>
    <w:p>
      <w:pPr>
        <w:spacing w:before="0" w:after="60" w:line="336" w:lineRule="auto"/>
        <w:ind w:left="510" w:hanging="510"/>
      </w:pPr>
      <w:r>
        <w:rPr>
          <w:rFonts w:ascii="Times New Roman" w:hAnsi="Times New Roman" w:eastAsia="宋体"/>
          <w:b w:val="0"/>
          <w:i w:val="0"/>
          <w:sz w:val="24"/>
        </w:rPr>
        <w:t>5. 第 8 步系统自动生成规则明细，业务人员只读确认</w:t>
      </w:r>
    </w:p>
    <w:p>
      <w:pPr>
        <w:spacing w:before="0" w:after="60" w:line="336" w:lineRule="auto"/>
        <w:ind w:left="510" w:hanging="510"/>
      </w:pPr>
      <w:r>
        <w:rPr>
          <w:rFonts w:ascii="Times New Roman" w:hAnsi="Times New Roman" w:eastAsia="宋体"/>
          <w:b w:val="0"/>
          <w:i w:val="0"/>
          <w:sz w:val="24"/>
        </w:rPr>
        <w:t>6. 第 9 至 11 步设置通用指标、消息类型与备注后保存</w:t>
      </w:r>
    </w:p>
    <w:p>
      <w:pPr>
        <w:spacing w:before="0" w:after="60" w:line="336" w:lineRule="auto"/>
        <w:ind w:left="510" w:hanging="510"/>
      </w:pPr>
      <w:r>
        <w:rPr>
          <w:rFonts w:ascii="Times New Roman" w:hAnsi="Times New Roman" w:eastAsia="宋体"/>
          <w:b w:val="0"/>
          <w:i w:val="0"/>
          <w:sz w:val="24"/>
        </w:rPr>
        <w:t>7. 选择关联合同时进入监控合同配置页，绑定执行中或待上传双签合同的合同后保存返回</w:t>
      </w:r>
    </w:p>
    <w:p>
      <w:pPr>
        <w:spacing w:before="0" w:after="60" w:line="336" w:lineRule="auto"/>
        <w:ind w:left="510" w:hanging="510"/>
      </w:pPr>
      <w:r>
        <w:rPr>
          <w:rFonts w:ascii="Times New Roman" w:hAnsi="Times New Roman" w:eastAsia="宋体"/>
          <w:b w:val="0"/>
          <w:i w:val="0"/>
          <w:sz w:val="24"/>
        </w:rPr>
        <w:t>8. 规则保存后通过状态开关启用，规则进入监控并开始参与数据判定</w:t>
      </w:r>
    </w:p>
    <w:p>
      <w:pPr>
        <w:spacing w:before="0" w:after="60" w:line="336" w:lineRule="auto"/>
        <w:ind w:left="510" w:hanging="510"/>
      </w:pPr>
      <w:r>
        <w:rPr>
          <w:rFonts w:ascii="Times New Roman" w:hAnsi="Times New Roman" w:eastAsia="宋体"/>
          <w:b w:val="0"/>
          <w:i w:val="0"/>
          <w:sz w:val="24"/>
        </w:rPr>
        <w:t>9. 规则命中后按风险等级生成预警信号进入预警管理列表；业务运行时可在规则行内调整风险等级</w:t>
      </w:r>
    </w:p>
    <w:p>
      <w:pPr>
        <w:spacing w:before="120" w:after="60" w:line="360" w:lineRule="auto"/>
      </w:pPr>
      <w:r>
        <w:rPr>
          <w:rFonts w:ascii="Times New Roman" w:hAnsi="Times New Roman" w:eastAsia="宋体"/>
          <w:b/>
          <w:i w:val="0"/>
          <w:sz w:val="24"/>
        </w:rPr>
        <w:t>异常分支：</w:t>
      </w:r>
    </w:p>
    <w:tbl>
      <w:tblPr>
        <w:tblStyle w:val="TableGrid"/>
        <w:tblW w:type="auto" w:w="0"/>
        <w:jc w:val="center"/>
        <w:tblLayout w:type="fixed"/>
        <w:tblLook w:firstColumn="1" w:firstRow="1" w:lastColumn="0" w:lastRow="0" w:noHBand="0" w:noVBand="1" w:val="04A0"/>
      </w:tblPr>
      <w:tblGrid>
        <w:gridCol w:w="4479"/>
        <w:gridCol w:w="4479"/>
      </w:tblGrid>
      <w:tr>
        <w:trPr>
          <w:tblHeader w:val="true"/>
        </w:trPr>
        <w:tc>
          <w:tcPr>
            <w:tcW w:type="dxa" w:w="2835"/>
            <w:shd w:val="clear" w:color="auto" w:fill="DCE6F1"/>
          </w:tcPr>
          <w:p>
            <w:pPr>
              <w:spacing w:before="40" w:after="40" w:line="276" w:lineRule="auto"/>
              <w:jc w:val="center"/>
            </w:pPr>
            <w:r/>
            <w:r>
              <w:rPr>
                <w:rFonts w:ascii="Times New Roman" w:hAnsi="Times New Roman" w:eastAsia="黑体"/>
                <w:b/>
                <w:i w:val="0"/>
                <w:sz w:val="21"/>
              </w:rPr>
              <w:t>异常场景</w:t>
            </w:r>
          </w:p>
        </w:tc>
        <w:tc>
          <w:tcPr>
            <w:tcW w:type="dxa" w:w="6236"/>
            <w:shd w:val="clear" w:color="auto" w:fill="DCE6F1"/>
          </w:tcPr>
          <w:p>
            <w:pPr>
              <w:spacing w:before="40" w:after="40" w:line="276" w:lineRule="auto"/>
              <w:jc w:val="center"/>
            </w:pPr>
            <w:r/>
            <w:r>
              <w:rPr>
                <w:rFonts w:ascii="Times New Roman" w:hAnsi="Times New Roman" w:eastAsia="黑体"/>
                <w:b/>
                <w:i w:val="0"/>
                <w:sz w:val="21"/>
              </w:rPr>
              <w:t>系统处理</w:t>
            </w:r>
          </w:p>
        </w:tc>
      </w:tr>
      <w:tr>
        <w:tc>
          <w:tcPr>
            <w:tcW w:type="dxa" w:w="2835"/>
          </w:tcPr>
          <w:p>
            <w:pPr>
              <w:spacing w:before="20" w:after="20" w:line="276" w:lineRule="auto"/>
              <w:ind w:firstLine="0"/>
            </w:pPr>
            <w:r/>
            <w:r>
              <w:rPr>
                <w:rFonts w:ascii="Times New Roman" w:hAnsi="Times New Roman" w:eastAsia="宋体"/>
                <w:b w:val="0"/>
                <w:i w:val="0"/>
                <w:sz w:val="21"/>
              </w:rPr>
              <w:t>规则名称超过 99 位或与已有规则重名</w:t>
            </w:r>
          </w:p>
        </w:tc>
        <w:tc>
          <w:tcPr>
            <w:tcW w:type="dxa" w:w="6236"/>
          </w:tcPr>
          <w:p>
            <w:pPr>
              <w:spacing w:before="20" w:after="20" w:line="276" w:lineRule="auto"/>
              <w:ind w:firstLine="0"/>
            </w:pPr>
            <w:r/>
            <w:r>
              <w:rPr>
                <w:rFonts w:ascii="Times New Roman" w:hAnsi="Times New Roman" w:eastAsia="宋体"/>
                <w:b w:val="0"/>
                <w:i w:val="0"/>
                <w:sz w:val="21"/>
              </w:rPr>
              <w:t>在规则名称字段红字提示规则名称不能超过 99 位或规则名称已存在，请修改，并阻止保存</w:t>
            </w:r>
          </w:p>
        </w:tc>
      </w:tr>
      <w:tr>
        <w:tc>
          <w:tcPr>
            <w:tcW w:type="dxa" w:w="2835"/>
          </w:tcPr>
          <w:p>
            <w:pPr>
              <w:spacing w:before="20" w:after="20" w:line="276" w:lineRule="auto"/>
              <w:ind w:firstLine="0"/>
            </w:pPr>
            <w:r/>
            <w:r>
              <w:rPr>
                <w:rFonts w:ascii="Times New Roman" w:hAnsi="Times New Roman" w:eastAsia="宋体"/>
                <w:b w:val="0"/>
                <w:i w:val="0"/>
                <w:sz w:val="21"/>
              </w:rPr>
              <w:t>配置项与考核项口径不一致</w:t>
            </w:r>
          </w:p>
        </w:tc>
        <w:tc>
          <w:tcPr>
            <w:tcW w:type="dxa" w:w="6236"/>
          </w:tcPr>
          <w:p>
            <w:pPr>
              <w:spacing w:before="20" w:after="20" w:line="276" w:lineRule="auto"/>
              <w:ind w:firstLine="0"/>
            </w:pPr>
            <w:r/>
            <w:r>
              <w:rPr>
                <w:rFonts w:ascii="Times New Roman" w:hAnsi="Times New Roman" w:eastAsia="宋体"/>
                <w:b w:val="0"/>
                <w:i w:val="0"/>
                <w:sz w:val="21"/>
              </w:rPr>
              <w:t>红字提示配置项必须与考核项匹配，提示同时高亮考核项与配置项两个字段并阻止保存；配置项的输入类型随考核项在百分比与金额之间联动切换</w:t>
            </w:r>
          </w:p>
        </w:tc>
      </w:tr>
      <w:tr>
        <w:tc>
          <w:tcPr>
            <w:tcW w:type="dxa" w:w="2835"/>
          </w:tcPr>
          <w:p>
            <w:pPr>
              <w:spacing w:before="20" w:after="20" w:line="276" w:lineRule="auto"/>
              <w:ind w:firstLine="0"/>
            </w:pPr>
            <w:r/>
            <w:r>
              <w:rPr>
                <w:rFonts w:ascii="Times New Roman" w:hAnsi="Times New Roman" w:eastAsia="宋体"/>
                <w:b w:val="0"/>
                <w:i w:val="0"/>
                <w:sz w:val="21"/>
              </w:rPr>
              <w:t>监控合同已作废或状态不符合要求</w:t>
            </w:r>
          </w:p>
        </w:tc>
        <w:tc>
          <w:tcPr>
            <w:tcW w:type="dxa" w:w="6236"/>
          </w:tcPr>
          <w:p>
            <w:pPr>
              <w:spacing w:before="20" w:after="20" w:line="276" w:lineRule="auto"/>
              <w:ind w:firstLine="0"/>
            </w:pPr>
            <w:r/>
            <w:r>
              <w:rPr>
                <w:rFonts w:ascii="Times New Roman" w:hAnsi="Times New Roman" w:eastAsia="宋体"/>
                <w:b w:val="0"/>
                <w:i w:val="0"/>
                <w:sz w:val="21"/>
              </w:rPr>
              <w:t>已作废合同提示该合同已作废，无法监控；状态不符合时提示请选择执行中或待上传双签合同；两种情况均阻止保存</w:t>
            </w:r>
          </w:p>
        </w:tc>
      </w:tr>
      <w:tr>
        <w:tc>
          <w:tcPr>
            <w:tcW w:type="dxa" w:w="2835"/>
          </w:tcPr>
          <w:p>
            <w:pPr>
              <w:spacing w:before="20" w:after="20" w:line="276" w:lineRule="auto"/>
              <w:ind w:firstLine="0"/>
            </w:pPr>
            <w:r/>
            <w:r>
              <w:rPr>
                <w:rFonts w:ascii="Times New Roman" w:hAnsi="Times New Roman" w:eastAsia="宋体"/>
                <w:b w:val="0"/>
                <w:i w:val="0"/>
                <w:sz w:val="21"/>
              </w:rPr>
              <w:t>规则启停开关或风险等级调整提交失败</w:t>
            </w:r>
          </w:p>
        </w:tc>
        <w:tc>
          <w:tcPr>
            <w:tcW w:type="dxa" w:w="6236"/>
          </w:tcPr>
          <w:p>
            <w:pPr>
              <w:spacing w:before="20" w:after="20" w:line="276" w:lineRule="auto"/>
              <w:ind w:firstLine="0"/>
            </w:pPr>
            <w:r/>
            <w:r>
              <w:rPr>
                <w:rFonts w:ascii="Times New Roman" w:hAnsi="Times New Roman" w:eastAsia="宋体"/>
                <w:b w:val="0"/>
                <w:i w:val="0"/>
                <w:sz w:val="21"/>
              </w:rPr>
              <w:t>开关回弹到原状态并以错误提示告知用户，按钮恢复可点，规则状态保持不变</w:t>
            </w:r>
          </w:p>
        </w:tc>
      </w:tr>
      <w:tr>
        <w:tc>
          <w:tcPr>
            <w:tcW w:type="dxa" w:w="2835"/>
          </w:tcPr>
          <w:p>
            <w:pPr>
              <w:spacing w:before="20" w:after="20" w:line="276" w:lineRule="auto"/>
              <w:ind w:firstLine="0"/>
            </w:pPr>
            <w:r/>
            <w:r>
              <w:rPr>
                <w:rFonts w:ascii="Times New Roman" w:hAnsi="Times New Roman" w:eastAsia="宋体"/>
                <w:b w:val="0"/>
                <w:i w:val="0"/>
                <w:sz w:val="21"/>
              </w:rPr>
              <w:t>业务类型选择非存货业务</w:t>
            </w:r>
          </w:p>
        </w:tc>
        <w:tc>
          <w:tcPr>
            <w:tcW w:type="dxa" w:w="6236"/>
          </w:tcPr>
          <w:p>
            <w:pPr>
              <w:spacing w:before="20" w:after="20" w:line="276" w:lineRule="auto"/>
              <w:ind w:firstLine="0"/>
            </w:pPr>
            <w:r/>
            <w:r>
              <w:rPr>
                <w:rFonts w:ascii="Times New Roman" w:hAnsi="Times New Roman" w:eastAsia="宋体"/>
                <w:b w:val="0"/>
                <w:i w:val="0"/>
                <w:sz w:val="21"/>
              </w:rPr>
              <w:t>当前仅存货业务可选，其余业务类型不可选，不提供放开入口</w:t>
            </w:r>
          </w:p>
        </w:tc>
      </w:tr>
    </w:tbl>
    <w:p>
      <w:pPr>
        <w:spacing w:before="0" w:after="0" w:line="240" w:lineRule="auto"/>
      </w:pPr>
    </w:p>
    <w:p>
      <w:pPr>
        <w:spacing w:before="120" w:after="60"/>
        <w:ind w:firstLine="0"/>
        <w:jc w:val="center"/>
      </w:pPr>
      <w:r>
        <w:drawing>
          <wp:inline xmlns:a="http://schemas.openxmlformats.org/drawingml/2006/main" xmlns:pic="http://schemas.openxmlformats.org/drawingml/2006/picture">
            <wp:extent cx="5616000" cy="3334500"/>
            <wp:docPr id="58" name="Picture 58"/>
            <wp:cNvGraphicFramePr>
              <a:graphicFrameLocks noChangeAspect="1"/>
            </wp:cNvGraphicFramePr>
            <a:graphic>
              <a:graphicData uri="http://schemas.openxmlformats.org/drawingml/2006/picture">
                <pic:pic>
                  <pic:nvPicPr>
                    <pic:cNvPr id="0" name="warning-config.png"/>
                    <pic:cNvPicPr/>
                  </pic:nvPicPr>
                  <pic:blipFill>
                    <a:blip r:embed="rId67"/>
                    <a:stretch>
                      <a:fillRect/>
                    </a:stretch>
                  </pic:blipFill>
                  <pic:spPr>
                    <a:xfrm>
                      <a:off x="0" y="0"/>
                      <a:ext cx="5616000" cy="3334500"/>
                    </a:xfrm>
                    <a:prstGeom prst="rect"/>
                  </pic:spPr>
                </pic:pic>
              </a:graphicData>
            </a:graphic>
          </wp:inline>
        </w:drawing>
      </w:r>
    </w:p>
    <w:p>
      <w:pPr>
        <w:spacing w:before="0" w:after="200" w:line="240" w:lineRule="auto"/>
        <w:ind w:firstLine="0"/>
        <w:jc w:val="center"/>
      </w:pPr>
      <w:r>
        <w:rPr>
          <w:rFonts w:ascii="Times New Roman" w:hAnsi="Times New Roman" w:eastAsia="宋体"/>
          <w:b w:val="0"/>
          <w:i w:val="0"/>
          <w:sz w:val="21"/>
        </w:rPr>
        <w:t>图 4-28-2　预警规则配置 原型页面</w:t>
      </w:r>
    </w:p>
    <w:p>
      <w:pPr>
        <w:spacing w:before="80" w:after="60" w:line="360" w:lineRule="auto"/>
      </w:pPr>
      <w:r>
        <w:rPr>
          <w:rFonts w:ascii="Times New Roman" w:hAnsi="Times New Roman" w:eastAsia="宋体"/>
          <w:b/>
          <w:i w:val="0"/>
          <w:sz w:val="24"/>
        </w:rPr>
        <w:t>页面级说明：</w:t>
      </w: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tblGrid>
      <w:tr>
        <w:trPr>
          <w:tblHeader w:val="true"/>
        </w:trPr>
        <w:tc>
          <w:tcPr>
            <w:tcW w:type="dxa" w:w="1178"/>
            <w:shd w:val="clear" w:color="auto" w:fill="DCE6F1"/>
          </w:tcPr>
          <w:p>
            <w:pPr>
              <w:spacing w:before="40" w:after="40" w:line="276" w:lineRule="auto"/>
              <w:jc w:val="center"/>
            </w:pPr>
            <w:r/>
            <w:r>
              <w:rPr>
                <w:rFonts w:ascii="Times New Roman" w:hAnsi="Times New Roman" w:eastAsia="黑体"/>
                <w:b/>
                <w:i w:val="0"/>
                <w:sz w:val="19"/>
              </w:rPr>
              <w:t>页面</w:t>
            </w:r>
          </w:p>
        </w:tc>
        <w:tc>
          <w:tcPr>
            <w:tcW w:type="dxa" w:w="1531"/>
            <w:shd w:val="clear" w:color="auto" w:fill="DCE6F1"/>
          </w:tcPr>
          <w:p>
            <w:pPr>
              <w:spacing w:before="40" w:after="40" w:line="276" w:lineRule="auto"/>
              <w:jc w:val="center"/>
            </w:pPr>
            <w:r/>
            <w:r>
              <w:rPr>
                <w:rFonts w:ascii="Times New Roman" w:hAnsi="Times New Roman" w:eastAsia="黑体"/>
                <w:b/>
                <w:i w:val="0"/>
                <w:sz w:val="19"/>
              </w:rPr>
              <w:t>原型文件</w:t>
            </w:r>
          </w:p>
        </w:tc>
        <w:tc>
          <w:tcPr>
            <w:tcW w:type="dxa" w:w="1119"/>
            <w:shd w:val="clear" w:color="auto" w:fill="DCE6F1"/>
          </w:tcPr>
          <w:p>
            <w:pPr>
              <w:spacing w:before="40" w:after="40" w:line="276" w:lineRule="auto"/>
              <w:jc w:val="center"/>
            </w:pPr>
            <w:r/>
            <w:r>
              <w:rPr>
                <w:rFonts w:ascii="Times New Roman" w:hAnsi="Times New Roman" w:eastAsia="黑体"/>
                <w:b/>
                <w:i w:val="0"/>
                <w:sz w:val="19"/>
              </w:rPr>
              <w:t>进入方式</w:t>
            </w:r>
          </w:p>
        </w:tc>
        <w:tc>
          <w:tcPr>
            <w:tcW w:type="dxa" w:w="2062"/>
            <w:shd w:val="clear" w:color="auto" w:fill="DCE6F1"/>
          </w:tcPr>
          <w:p>
            <w:pPr>
              <w:spacing w:before="40" w:after="40" w:line="276" w:lineRule="auto"/>
              <w:jc w:val="center"/>
            </w:pPr>
            <w:r/>
            <w:r>
              <w:rPr>
                <w:rFonts w:ascii="Times New Roman" w:hAnsi="Times New Roman" w:eastAsia="黑体"/>
                <w:b/>
                <w:i w:val="0"/>
                <w:sz w:val="19"/>
              </w:rPr>
              <w:t>关键区块</w:t>
            </w:r>
          </w:p>
        </w:tc>
        <w:tc>
          <w:tcPr>
            <w:tcW w:type="dxa" w:w="1767"/>
            <w:shd w:val="clear" w:color="auto" w:fill="DCE6F1"/>
          </w:tcPr>
          <w:p>
            <w:pPr>
              <w:spacing w:before="40" w:after="40" w:line="276" w:lineRule="auto"/>
              <w:jc w:val="center"/>
            </w:pPr>
            <w:r/>
            <w:r>
              <w:rPr>
                <w:rFonts w:ascii="Times New Roman" w:hAnsi="Times New Roman" w:eastAsia="黑体"/>
                <w:b/>
                <w:i w:val="0"/>
                <w:sz w:val="19"/>
              </w:rPr>
              <w:t>主要按钮与行为</w:t>
            </w:r>
          </w:p>
        </w:tc>
        <w:tc>
          <w:tcPr>
            <w:tcW w:type="dxa" w:w="1414"/>
            <w:shd w:val="clear" w:color="auto" w:fill="DCE6F1"/>
          </w:tcPr>
          <w:p>
            <w:pPr>
              <w:spacing w:before="40" w:after="40" w:line="276" w:lineRule="auto"/>
              <w:jc w:val="center"/>
            </w:pPr>
            <w:r/>
            <w:r>
              <w:rPr>
                <w:rFonts w:ascii="Times New Roman" w:hAnsi="Times New Roman" w:eastAsia="黑体"/>
                <w:b/>
                <w:i w:val="0"/>
                <w:sz w:val="19"/>
              </w:rPr>
              <w:t>跳转去向</w:t>
            </w:r>
          </w:p>
        </w:tc>
      </w:tr>
      <w:tr>
        <w:tc>
          <w:tcPr>
            <w:tcW w:type="dxa" w:w="1178"/>
          </w:tcPr>
          <w:p>
            <w:pPr>
              <w:spacing w:before="20" w:after="20" w:line="276" w:lineRule="auto"/>
              <w:ind w:firstLine="0"/>
            </w:pPr>
            <w:r/>
            <w:r>
              <w:rPr>
                <w:rFonts w:ascii="Times New Roman" w:hAnsi="Times New Roman" w:eastAsia="宋体"/>
                <w:b w:val="0"/>
                <w:i w:val="0"/>
                <w:sz w:val="19"/>
              </w:rPr>
              <w:t>预警规则配置</w:t>
            </w:r>
          </w:p>
        </w:tc>
        <w:tc>
          <w:tcPr>
            <w:tcW w:type="dxa" w:w="1531"/>
          </w:tcPr>
          <w:p>
            <w:pPr>
              <w:spacing w:before="20" w:after="20" w:line="276" w:lineRule="auto"/>
              <w:ind w:firstLine="0"/>
            </w:pPr>
            <w:r/>
            <w:r>
              <w:rPr>
                <w:rFonts w:ascii="Times New Roman" w:hAnsi="Times New Roman" w:eastAsia="宋体"/>
                <w:b w:val="0"/>
                <w:i w:val="0"/>
                <w:sz w:val="19"/>
              </w:rPr>
              <w:t>warning-config.html</w:t>
            </w:r>
          </w:p>
        </w:tc>
        <w:tc>
          <w:tcPr>
            <w:tcW w:type="dxa" w:w="1119"/>
          </w:tcPr>
          <w:p>
            <w:pPr>
              <w:spacing w:before="20" w:after="20" w:line="276" w:lineRule="auto"/>
              <w:ind w:firstLine="0"/>
            </w:pPr>
            <w:r/>
            <w:r>
              <w:rPr>
                <w:rFonts w:ascii="Times New Roman" w:hAnsi="Times New Roman" w:eastAsia="宋体"/>
                <w:b w:val="0"/>
                <w:i w:val="0"/>
                <w:sz w:val="19"/>
              </w:rPr>
              <w:t>预警中心 / 预警规则配置 / 预警规则配置</w:t>
            </w:r>
          </w:p>
        </w:tc>
        <w:tc>
          <w:tcPr>
            <w:tcW w:type="dxa" w:w="2062"/>
          </w:tcPr>
          <w:p>
            <w:pPr>
              <w:spacing w:before="20" w:after="20" w:line="276" w:lineRule="auto"/>
              <w:ind w:firstLine="0"/>
            </w:pPr>
            <w:r/>
            <w:r>
              <w:rPr>
                <w:rFonts w:ascii="Times New Roman" w:hAnsi="Times New Roman" w:eastAsia="宋体"/>
                <w:b w:val="0"/>
                <w:i w:val="0"/>
                <w:sz w:val="19"/>
              </w:rPr>
              <w:t>3 个页签（企业监控、交易监控、价格波动）；3 套筛选区，字段数分别为 4、7、6；3 套规则表格，列数分别为 8、13、14；价格波动页签另有合同选择弹窗表格含合同编号、品类、品名、对方企业、合同期限、类型与数量、状态</w:t>
            </w:r>
          </w:p>
        </w:tc>
        <w:tc>
          <w:tcPr>
            <w:tcW w:type="dxa" w:w="1767"/>
          </w:tcPr>
          <w:p>
            <w:pPr>
              <w:spacing w:before="20" w:after="20" w:line="276" w:lineRule="auto"/>
              <w:ind w:firstLine="0"/>
            </w:pPr>
            <w:r/>
            <w:r>
              <w:rPr>
                <w:rFonts w:ascii="Times New Roman" w:hAnsi="Times New Roman" w:eastAsia="宋体"/>
                <w:b w:val="0"/>
                <w:i w:val="0"/>
                <w:sz w:val="19"/>
              </w:rPr>
              <w:t>查询、重置、添加规则（仅交易监控与价格波动页签）、状态启停开关、风险等级下拉、编辑、合同配置（仅价格波动页签）；企业监控页签无操作列</w:t>
            </w:r>
          </w:p>
        </w:tc>
        <w:tc>
          <w:tcPr>
            <w:tcW w:type="dxa" w:w="1414"/>
          </w:tcPr>
          <w:p>
            <w:pPr>
              <w:spacing w:before="20" w:after="20" w:line="276" w:lineRule="auto"/>
              <w:ind w:firstLine="0"/>
            </w:pPr>
            <w:r/>
            <w:r>
              <w:rPr>
                <w:rFonts w:ascii="Times New Roman" w:hAnsi="Times New Roman" w:eastAsia="宋体"/>
                <w:b w:val="0"/>
                <w:i w:val="0"/>
                <w:sz w:val="19"/>
              </w:rPr>
              <w:t>点击价格波动页签的合同配置进入监控合同配置页 warning-price-contract-config.html</w:t>
            </w:r>
          </w:p>
        </w:tc>
      </w:tr>
      <w:tr>
        <w:tc>
          <w:tcPr>
            <w:tcW w:type="dxa" w:w="1178"/>
          </w:tcPr>
          <w:p>
            <w:pPr>
              <w:spacing w:before="20" w:after="20" w:line="276" w:lineRule="auto"/>
              <w:ind w:firstLine="0"/>
            </w:pPr>
            <w:r/>
            <w:r>
              <w:rPr>
                <w:rFonts w:ascii="Times New Roman" w:hAnsi="Times New Roman" w:eastAsia="宋体"/>
                <w:b w:val="0"/>
                <w:i w:val="0"/>
                <w:sz w:val="19"/>
              </w:rPr>
              <w:t>监控合同配置</w:t>
            </w:r>
          </w:p>
        </w:tc>
        <w:tc>
          <w:tcPr>
            <w:tcW w:type="dxa" w:w="1531"/>
          </w:tcPr>
          <w:p>
            <w:pPr>
              <w:spacing w:before="20" w:after="20" w:line="276" w:lineRule="auto"/>
              <w:ind w:firstLine="0"/>
            </w:pPr>
            <w:r/>
            <w:r>
              <w:rPr>
                <w:rFonts w:ascii="Times New Roman" w:hAnsi="Times New Roman" w:eastAsia="宋体"/>
                <w:b w:val="0"/>
                <w:i w:val="0"/>
                <w:sz w:val="19"/>
              </w:rPr>
              <w:t>warning-price-contract-config.html</w:t>
            </w:r>
          </w:p>
        </w:tc>
        <w:tc>
          <w:tcPr>
            <w:tcW w:type="dxa" w:w="1119"/>
          </w:tcPr>
          <w:p>
            <w:pPr>
              <w:spacing w:before="20" w:after="20" w:line="276" w:lineRule="auto"/>
              <w:ind w:firstLine="0"/>
            </w:pPr>
            <w:r/>
            <w:r>
              <w:rPr>
                <w:rFonts w:ascii="Times New Roman" w:hAnsi="Times New Roman" w:eastAsia="宋体"/>
                <w:b w:val="0"/>
                <w:i w:val="0"/>
                <w:sz w:val="19"/>
              </w:rPr>
              <w:t>预警中心 / 预警规则配置 / 价格波动页签 / 合同配置</w:t>
            </w:r>
          </w:p>
        </w:tc>
        <w:tc>
          <w:tcPr>
            <w:tcW w:type="dxa" w:w="2062"/>
          </w:tcPr>
          <w:p>
            <w:pPr>
              <w:spacing w:before="20" w:after="20" w:line="276" w:lineRule="auto"/>
              <w:ind w:firstLine="0"/>
            </w:pPr>
            <w:r/>
            <w:r>
              <w:rPr>
                <w:rFonts w:ascii="Times New Roman" w:hAnsi="Times New Roman" w:eastAsia="宋体"/>
                <w:b w:val="0"/>
                <w:i w:val="0"/>
                <w:sz w:val="19"/>
              </w:rPr>
              <w:t>顶部当前合同编号指示器；合同选择弹窗含合同编号、销售方与采购方、业务类型、签订日期、合同类型、合同状态等筛选项与多选框；底部保存与取消按钮区</w:t>
            </w:r>
          </w:p>
        </w:tc>
        <w:tc>
          <w:tcPr>
            <w:tcW w:type="dxa" w:w="1767"/>
          </w:tcPr>
          <w:p>
            <w:pPr>
              <w:spacing w:before="20" w:after="20" w:line="276" w:lineRule="auto"/>
              <w:ind w:firstLine="0"/>
            </w:pPr>
            <w:r/>
            <w:r>
              <w:rPr>
                <w:rFonts w:ascii="Times New Roman" w:hAnsi="Times New Roman" w:eastAsia="宋体"/>
                <w:b w:val="0"/>
                <w:i w:val="0"/>
                <w:sz w:val="19"/>
              </w:rPr>
              <w:t>选择合同、清除选择、单个合同删除、保存、取消；取消时保留当前选择，下次进入可继续</w:t>
            </w:r>
          </w:p>
        </w:tc>
        <w:tc>
          <w:tcPr>
            <w:tcW w:type="dxa" w:w="1414"/>
          </w:tcPr>
          <w:p>
            <w:pPr>
              <w:spacing w:before="20" w:after="20" w:line="276" w:lineRule="auto"/>
              <w:ind w:firstLine="0"/>
            </w:pPr>
            <w:r/>
            <w:r>
              <w:rPr>
                <w:rFonts w:ascii="Times New Roman" w:hAnsi="Times New Roman" w:eastAsia="宋体"/>
                <w:b w:val="0"/>
                <w:i w:val="0"/>
                <w:sz w:val="19"/>
              </w:rPr>
              <w:t>保存成功后回到预警规则配置页并展示已选合同列表</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4.28.8　验收标准与待确认项</w:t>
      </w:r>
    </w:p>
    <w:tbl>
      <w:tblPr>
        <w:tblStyle w:val="TableGrid"/>
        <w:tblW w:type="auto" w:w="0"/>
        <w:jc w:val="center"/>
        <w:tblLayout w:type="fixed"/>
        <w:tblLook w:firstColumn="1" w:firstRow="1" w:lastColumn="0" w:lastRow="0" w:noHBand="0" w:noVBand="1" w:val="04A0"/>
      </w:tblPr>
      <w:tblGrid>
        <w:gridCol w:w="4479"/>
        <w:gridCol w:w="4479"/>
      </w:tblGrid>
      <w:tr>
        <w:trPr>
          <w:tblHeader w:val="true"/>
        </w:trPr>
        <w:tc>
          <w:tcPr>
            <w:tcW w:type="dxa" w:w="1701"/>
            <w:shd w:val="clear" w:color="auto" w:fill="DCE6F1"/>
          </w:tcPr>
          <w:p>
            <w:pPr>
              <w:spacing w:before="40" w:after="40" w:line="276" w:lineRule="auto"/>
              <w:jc w:val="center"/>
            </w:pPr>
            <w:r/>
            <w:r>
              <w:rPr>
                <w:rFonts w:ascii="Times New Roman" w:hAnsi="Times New Roman" w:eastAsia="黑体"/>
                <w:b/>
                <w:i w:val="0"/>
                <w:sz w:val="21"/>
              </w:rPr>
              <w:t>功能</w:t>
            </w:r>
          </w:p>
        </w:tc>
        <w:tc>
          <w:tcPr>
            <w:tcW w:type="dxa" w:w="7370"/>
            <w:shd w:val="clear" w:color="auto" w:fill="DCE6F1"/>
          </w:tcPr>
          <w:p>
            <w:pPr>
              <w:spacing w:before="40" w:after="40" w:line="276" w:lineRule="auto"/>
              <w:jc w:val="center"/>
            </w:pPr>
            <w:r/>
            <w:r>
              <w:rPr>
                <w:rFonts w:ascii="Times New Roman" w:hAnsi="Times New Roman" w:eastAsia="黑体"/>
                <w:b/>
                <w:i w:val="0"/>
                <w:sz w:val="21"/>
              </w:rPr>
              <w:t>验收要点（由关键规则转写）</w:t>
            </w:r>
          </w:p>
        </w:tc>
      </w:tr>
      <w:tr>
        <w:tc>
          <w:tcPr>
            <w:tcW w:type="dxa" w:w="1701"/>
          </w:tcPr>
          <w:p>
            <w:pPr>
              <w:spacing w:before="20" w:after="20" w:line="276" w:lineRule="auto"/>
              <w:ind w:firstLine="0"/>
            </w:pPr>
            <w:r/>
            <w:r>
              <w:rPr>
                <w:rFonts w:ascii="Times New Roman" w:hAnsi="Times New Roman" w:eastAsia="宋体"/>
                <w:b w:val="0"/>
                <w:i w:val="0"/>
                <w:sz w:val="21"/>
              </w:rPr>
              <w:t>三类规则分区管理</w:t>
            </w:r>
          </w:p>
        </w:tc>
        <w:tc>
          <w:tcPr>
            <w:tcW w:type="dxa" w:w="7370"/>
          </w:tcPr>
          <w:p>
            <w:pPr>
              <w:spacing w:before="20" w:after="20" w:line="276" w:lineRule="auto"/>
              <w:ind w:firstLine="0"/>
            </w:pPr>
            <w:r/>
            <w:r>
              <w:rPr>
                <w:rFonts w:ascii="Times New Roman" w:hAnsi="Times New Roman" w:eastAsia="宋体"/>
                <w:b w:val="0"/>
                <w:i w:val="0"/>
                <w:sz w:val="21"/>
              </w:rPr>
              <w:t>固定 3 个页签，进入默认停留在企业监控页签；3 个页签的筛选区与表格各自独立，筛选条件不跨页签共享；企业监控页签不提供添加规则入口，交易监控与价格波动页签提供添加规则入口；每个页签提供查询与重置按钮，重置清空当前页签全部筛选项</w:t>
            </w:r>
          </w:p>
        </w:tc>
      </w:tr>
      <w:tr>
        <w:tc>
          <w:tcPr>
            <w:tcW w:type="dxa" w:w="1701"/>
          </w:tcPr>
          <w:p>
            <w:pPr>
              <w:spacing w:before="20" w:after="20" w:line="276" w:lineRule="auto"/>
              <w:ind w:firstLine="0"/>
            </w:pPr>
            <w:r/>
            <w:r>
              <w:rPr>
                <w:rFonts w:ascii="Times New Roman" w:hAnsi="Times New Roman" w:eastAsia="宋体"/>
                <w:b w:val="0"/>
                <w:i w:val="0"/>
                <w:sz w:val="21"/>
              </w:rPr>
              <w:t>规则筛选</w:t>
            </w:r>
          </w:p>
        </w:tc>
        <w:tc>
          <w:tcPr>
            <w:tcW w:type="dxa" w:w="7370"/>
          </w:tcPr>
          <w:p>
            <w:pPr>
              <w:spacing w:before="20" w:after="20" w:line="276" w:lineRule="auto"/>
              <w:ind w:firstLine="0"/>
            </w:pPr>
            <w:r/>
            <w:r>
              <w:rPr>
                <w:rFonts w:ascii="Times New Roman" w:hAnsi="Times New Roman" w:eastAsia="宋体"/>
                <w:b w:val="0"/>
                <w:i w:val="0"/>
                <w:sz w:val="21"/>
              </w:rPr>
              <w:t>企业监控页签 4 个筛选字段为规则类型、规则名称、状态、风险等级；交易监控页签 7 个字段为规则类型、规则名称、状态、风险等级、业务品种、业务类型、资金类型；价格波动页签 6 个字段为规则名称、规则类型、状态、风险等级、业务品种、是否关联合同；筛选标签位于输入框上方且不带冒号</w:t>
            </w:r>
          </w:p>
        </w:tc>
      </w:tr>
      <w:tr>
        <w:tc>
          <w:tcPr>
            <w:tcW w:type="dxa" w:w="1701"/>
          </w:tcPr>
          <w:p>
            <w:pPr>
              <w:spacing w:before="20" w:after="20" w:line="276" w:lineRule="auto"/>
              <w:ind w:firstLine="0"/>
            </w:pPr>
            <w:r/>
            <w:r>
              <w:rPr>
                <w:rFonts w:ascii="Times New Roman" w:hAnsi="Times New Roman" w:eastAsia="宋体"/>
                <w:b w:val="0"/>
                <w:i w:val="0"/>
                <w:sz w:val="21"/>
              </w:rPr>
              <w:t>规则启停</w:t>
            </w:r>
          </w:p>
        </w:tc>
        <w:tc>
          <w:tcPr>
            <w:tcW w:type="dxa" w:w="7370"/>
          </w:tcPr>
          <w:p>
            <w:pPr>
              <w:spacing w:before="20" w:after="20" w:line="276" w:lineRule="auto"/>
              <w:ind w:firstLine="0"/>
            </w:pPr>
            <w:r/>
            <w:r>
              <w:rPr>
                <w:rFonts w:ascii="Times New Roman" w:hAnsi="Times New Roman" w:eastAsia="宋体"/>
                <w:b w:val="0"/>
                <w:i w:val="0"/>
                <w:sz w:val="21"/>
              </w:rPr>
              <w:t>状态列使用开关控件，取值为启用与停用两种；开关切换即时生效，无需额外提交；启用状态的规则参与监控并可生成预警信号；停用状态的规则不再参与监控，但其历史预警信号仍可查看</w:t>
            </w:r>
          </w:p>
        </w:tc>
      </w:tr>
      <w:tr>
        <w:tc>
          <w:tcPr>
            <w:tcW w:type="dxa" w:w="1701"/>
          </w:tcPr>
          <w:p>
            <w:pPr>
              <w:spacing w:before="20" w:after="20" w:line="276" w:lineRule="auto"/>
              <w:ind w:firstLine="0"/>
            </w:pPr>
            <w:r/>
            <w:r>
              <w:rPr>
                <w:rFonts w:ascii="Times New Roman" w:hAnsi="Times New Roman" w:eastAsia="宋体"/>
                <w:b w:val="0"/>
                <w:i w:val="0"/>
                <w:sz w:val="21"/>
              </w:rPr>
              <w:t>风险等级运行时调整</w:t>
            </w:r>
          </w:p>
        </w:tc>
        <w:tc>
          <w:tcPr>
            <w:tcW w:type="dxa" w:w="7370"/>
          </w:tcPr>
          <w:p>
            <w:pPr>
              <w:spacing w:before="20" w:after="20" w:line="276" w:lineRule="auto"/>
              <w:ind w:firstLine="0"/>
            </w:pPr>
            <w:r/>
            <w:r>
              <w:rPr>
                <w:rFonts w:ascii="Times New Roman" w:hAnsi="Times New Roman" w:eastAsia="宋体"/>
                <w:b w:val="0"/>
                <w:i w:val="0"/>
                <w:sz w:val="21"/>
              </w:rPr>
              <w:t>风险等级取值为高、中、低 3 档，在规则行内以下拉控件选择而非纯文字；调整后该规则的运行时风险等级随之改变；调整是否需要二次确认、是否回算历史已生成信号的行为待业务方确认</w:t>
            </w:r>
          </w:p>
        </w:tc>
      </w:tr>
      <w:tr>
        <w:tc>
          <w:tcPr>
            <w:tcW w:type="dxa" w:w="1701"/>
          </w:tcPr>
          <w:p>
            <w:pPr>
              <w:spacing w:before="20" w:after="20" w:line="276" w:lineRule="auto"/>
              <w:ind w:firstLine="0"/>
            </w:pPr>
            <w:r/>
            <w:r>
              <w:rPr>
                <w:rFonts w:ascii="Times New Roman" w:hAnsi="Times New Roman" w:eastAsia="宋体"/>
                <w:b w:val="0"/>
                <w:i w:val="0"/>
                <w:sz w:val="21"/>
              </w:rPr>
              <w:t>价格波动规则配置向导</w:t>
            </w:r>
          </w:p>
        </w:tc>
        <w:tc>
          <w:tcPr>
            <w:tcW w:type="dxa" w:w="7370"/>
          </w:tcPr>
          <w:p>
            <w:pPr>
              <w:spacing w:before="20" w:after="20" w:line="276" w:lineRule="auto"/>
              <w:ind w:firstLine="0"/>
            </w:pPr>
            <w:r/>
            <w:r>
              <w:rPr>
                <w:rFonts w:ascii="Times New Roman" w:hAnsi="Times New Roman" w:eastAsia="宋体"/>
                <w:b w:val="0"/>
                <w:i w:val="0"/>
                <w:sz w:val="21"/>
              </w:rPr>
              <w:t>11 个步骤依次为是否关联合同、业务类型、规则类型、规则名称、风险等级、考核项、配置项、查看规则明细、通用指标、消息类型、备注；业务类型当前仅存货业务可选；规则名称长度上限 99 位且全局唯一，重复时提示规则名称已存在并阻止保存；考核项与配置项必须同属百分比口径或金额口径，不一致时提示配置项必须与考核项匹配并阻止保存；第 8 步规则明细由系统自动生成且只读，业务人员无需手动填写</w:t>
            </w:r>
          </w:p>
        </w:tc>
      </w:tr>
      <w:tr>
        <w:tc>
          <w:tcPr>
            <w:tcW w:type="dxa" w:w="1701"/>
          </w:tcPr>
          <w:p>
            <w:pPr>
              <w:spacing w:before="20" w:after="20" w:line="276" w:lineRule="auto"/>
              <w:ind w:firstLine="0"/>
            </w:pPr>
            <w:r/>
            <w:r>
              <w:rPr>
                <w:rFonts w:ascii="Times New Roman" w:hAnsi="Times New Roman" w:eastAsia="宋体"/>
                <w:b w:val="0"/>
                <w:i w:val="0"/>
                <w:sz w:val="21"/>
              </w:rPr>
              <w:t>价格波动对比价格基准</w:t>
            </w:r>
          </w:p>
        </w:tc>
        <w:tc>
          <w:tcPr>
            <w:tcW w:type="dxa" w:w="7370"/>
          </w:tcPr>
          <w:p>
            <w:pPr>
              <w:spacing w:before="20" w:after="20" w:line="276" w:lineRule="auto"/>
              <w:ind w:firstLine="0"/>
            </w:pPr>
            <w:r/>
            <w:r>
              <w:rPr>
                <w:rFonts w:ascii="Times New Roman" w:hAnsi="Times New Roman" w:eastAsia="宋体"/>
                <w:b w:val="0"/>
                <w:i w:val="0"/>
                <w:sz w:val="21"/>
              </w:rPr>
              <w:t>规则类型支持 15 种对比价格基准，含最新有效报价与当月月初、上月同期、上上月同期、本年年初、去年同期、当月平均、当月最高、当月最低、当年平均、当年最高、当年最低、最近若干自然日内平均价、最近若干自然日内最高价、各地现货交易最高限价；命中判定先按考核项计算波动幅度或波动金额，再按配置项阈值判定；高风险规则触发时优先推送预警</w:t>
            </w:r>
          </w:p>
        </w:tc>
      </w:tr>
      <w:tr>
        <w:tc>
          <w:tcPr>
            <w:tcW w:type="dxa" w:w="1701"/>
          </w:tcPr>
          <w:p>
            <w:pPr>
              <w:spacing w:before="20" w:after="20" w:line="276" w:lineRule="auto"/>
              <w:ind w:firstLine="0"/>
            </w:pPr>
            <w:r/>
            <w:r>
              <w:rPr>
                <w:rFonts w:ascii="Times New Roman" w:hAnsi="Times New Roman" w:eastAsia="宋体"/>
                <w:b w:val="0"/>
                <w:i w:val="0"/>
                <w:sz w:val="21"/>
              </w:rPr>
              <w:t>监控合同绑定</w:t>
            </w:r>
          </w:p>
        </w:tc>
        <w:tc>
          <w:tcPr>
            <w:tcW w:type="dxa" w:w="7370"/>
          </w:tcPr>
          <w:p>
            <w:pPr>
              <w:spacing w:before="20" w:after="20" w:line="276" w:lineRule="auto"/>
              <w:ind w:firstLine="0"/>
            </w:pPr>
            <w:r/>
            <w:r>
              <w:rPr>
                <w:rFonts w:ascii="Times New Roman" w:hAnsi="Times New Roman" w:eastAsia="宋体"/>
                <w:b w:val="0"/>
                <w:i w:val="0"/>
                <w:sz w:val="21"/>
              </w:rPr>
              <w:t>可选合同范围仅包含状态为执行中或待上传双签合同的合同；已作废合同提示该合同已作废，无法监控并阻止保存；状态不符时提示请选择执行中或待上传双签合同并阻止保存；一个规则可绑定多个合同；页面顶部回显当前合同编号，单选显示编号、多选显示加若干个</w:t>
            </w:r>
          </w:p>
        </w:tc>
      </w:tr>
      <w:tr>
        <w:tc>
          <w:tcPr>
            <w:tcW w:type="dxa" w:w="1701"/>
          </w:tcPr>
          <w:p>
            <w:pPr>
              <w:spacing w:before="20" w:after="20" w:line="276" w:lineRule="auto"/>
              <w:ind w:firstLine="0"/>
            </w:pPr>
            <w:r/>
            <w:r>
              <w:rPr>
                <w:rFonts w:ascii="Times New Roman" w:hAnsi="Times New Roman" w:eastAsia="宋体"/>
                <w:b w:val="0"/>
                <w:i w:val="0"/>
                <w:sz w:val="21"/>
              </w:rPr>
              <w:t>交易监控规则类型</w:t>
            </w:r>
          </w:p>
        </w:tc>
        <w:tc>
          <w:tcPr>
            <w:tcW w:type="dxa" w:w="7370"/>
          </w:tcPr>
          <w:p>
            <w:pPr>
              <w:spacing w:before="20" w:after="20" w:line="276" w:lineRule="auto"/>
              <w:ind w:firstLine="0"/>
            </w:pPr>
            <w:r/>
            <w:r>
              <w:rPr>
                <w:rFonts w:ascii="Times New Roman" w:hAnsi="Times New Roman" w:eastAsia="宋体"/>
                <w:b w:val="0"/>
                <w:i w:val="0"/>
                <w:sz w:val="21"/>
              </w:rPr>
              <w:t>交易监控规则类型分 4 类：合同监控、货物监控、发票监控、结算监控；每类按配置的天数上限或单据缺失情况判定命中；业务类型当前仅存货业务，业务品类取值为谷物、淀粉、糖粉</w:t>
            </w:r>
          </w:p>
        </w:tc>
      </w:tr>
      <w:tr>
        <w:tc>
          <w:tcPr>
            <w:tcW w:type="dxa" w:w="1701"/>
          </w:tcPr>
          <w:p>
            <w:pPr>
              <w:spacing w:before="20" w:after="20" w:line="276" w:lineRule="auto"/>
              <w:ind w:firstLine="0"/>
            </w:pPr>
            <w:r/>
            <w:r>
              <w:rPr>
                <w:rFonts w:ascii="Times New Roman" w:hAnsi="Times New Roman" w:eastAsia="宋体"/>
                <w:b w:val="0"/>
                <w:i w:val="0"/>
                <w:sz w:val="21"/>
              </w:rPr>
              <w:t>规则编号与操作留痕</w:t>
            </w:r>
          </w:p>
        </w:tc>
        <w:tc>
          <w:tcPr>
            <w:tcW w:type="dxa" w:w="7370"/>
          </w:tcPr>
          <w:p>
            <w:pPr>
              <w:spacing w:before="20" w:after="20" w:line="276" w:lineRule="auto"/>
              <w:ind w:firstLine="0"/>
            </w:pPr>
            <w:r/>
            <w:r>
              <w:rPr>
                <w:rFonts w:ascii="Times New Roman" w:hAnsi="Times New Roman" w:eastAsia="宋体"/>
                <w:b w:val="0"/>
                <w:i w:val="0"/>
                <w:sz w:val="21"/>
              </w:rPr>
              <w:t>规则编号按业务前缀加数字构成，企业监控前缀为 YJGS、交易监控前缀为 YJSS、价格波动前缀为 DSYJGZ；表格展示最后操作人员与最后操作时间；价格波动页签的操作列提供编辑与合同配置两个链接，链接列宽需完整显示不被截断</w:t>
            </w:r>
          </w:p>
        </w:tc>
      </w:tr>
    </w:tbl>
    <w:p>
      <w:pPr>
        <w:spacing w:before="0" w:after="0" w:line="240" w:lineRule="auto"/>
      </w:pPr>
    </w:p>
    <w:p>
      <w:pPr>
        <w:spacing w:before="120" w:after="60" w:line="360" w:lineRule="auto"/>
      </w:pPr>
      <w:r>
        <w:rPr>
          <w:rFonts w:ascii="Times New Roman" w:hAnsi="Times New Roman" w:eastAsia="宋体"/>
          <w:b/>
          <w:i w:val="0"/>
          <w:sz w:val="24"/>
        </w:rPr>
        <w:t>待业务方确认：</w:t>
      </w:r>
    </w:p>
    <w:p>
      <w:pPr>
        <w:spacing w:before="0" w:after="60" w:line="336" w:lineRule="auto"/>
        <w:ind w:left="340" w:firstLine="0"/>
      </w:pPr>
      <w:r>
        <w:rPr>
          <w:rFonts w:ascii="Times New Roman" w:hAnsi="Times New Roman" w:eastAsia="宋体"/>
          <w:b w:val="0"/>
          <w:i w:val="0"/>
          <w:sz w:val="24"/>
        </w:rPr>
        <w:t>· 待业务方确认：规则编号前缀 YJGS、YJSS、DSYJGZ 的业务含义与各自的编号分段规则，以及规则编号在数据表中的落库位置</w:t>
      </w:r>
    </w:p>
    <w:p>
      <w:pPr>
        <w:spacing w:before="0" w:after="60" w:line="336" w:lineRule="auto"/>
        <w:ind w:left="340" w:firstLine="0"/>
      </w:pPr>
      <w:r>
        <w:rPr>
          <w:rFonts w:ascii="Times New Roman" w:hAnsi="Times New Roman" w:eastAsia="宋体"/>
          <w:b w:val="0"/>
          <w:i w:val="0"/>
          <w:sz w:val="24"/>
        </w:rPr>
        <w:t>· 待业务方确认：规则配置页展示的规则明细、业务品类、业务类型、资金类型、关联指标、是否关联合同、备注等字段目前没有对应的数据字段承载，需确认落库方式</w:t>
      </w:r>
    </w:p>
    <w:p>
      <w:pPr>
        <w:spacing w:before="0" w:after="60" w:line="336" w:lineRule="auto"/>
        <w:ind w:left="340" w:firstLine="0"/>
      </w:pPr>
      <w:r>
        <w:rPr>
          <w:rFonts w:ascii="Times New Roman" w:hAnsi="Times New Roman" w:eastAsia="宋体"/>
          <w:b w:val="0"/>
          <w:i w:val="0"/>
          <w:sz w:val="24"/>
        </w:rPr>
        <w:t>· 待业务方确认：风险等级运行时调整是否需要二次确认、是否回算历史已生成信号与已生成未处理信号的风险等级</w:t>
      </w:r>
    </w:p>
    <w:p>
      <w:pPr>
        <w:spacing w:before="0" w:after="60" w:line="336" w:lineRule="auto"/>
        <w:ind w:left="340" w:firstLine="0"/>
      </w:pPr>
      <w:r>
        <w:rPr>
          <w:rFonts w:ascii="Times New Roman" w:hAnsi="Times New Roman" w:eastAsia="宋体"/>
          <w:b w:val="0"/>
          <w:i w:val="0"/>
          <w:sz w:val="24"/>
        </w:rPr>
        <w:t>· 待业务方确认：交易监控的合同监控、货物监控、发票监控、结算监控 4 个子类型与规则类型 3 值一级枚举的二级字典关系</w:t>
      </w:r>
    </w:p>
    <w:p>
      <w:pPr>
        <w:spacing w:before="0" w:after="60" w:line="336" w:lineRule="auto"/>
        <w:ind w:left="340" w:firstLine="0"/>
      </w:pPr>
      <w:r>
        <w:rPr>
          <w:rFonts w:ascii="Times New Roman" w:hAnsi="Times New Roman" w:eastAsia="宋体"/>
          <w:b w:val="0"/>
          <w:i w:val="0"/>
          <w:sz w:val="24"/>
        </w:rPr>
        <w:t>· 待业务方确认：规则新增与编辑的落地形态、字段清单、校验规则与是否具备草稿态</w:t>
      </w:r>
    </w:p>
    <w:p>
      <w:pPr>
        <w:spacing w:before="0" w:after="60" w:line="336" w:lineRule="auto"/>
        <w:ind w:left="340" w:firstLine="0"/>
      </w:pPr>
      <w:r>
        <w:rPr>
          <w:rFonts w:ascii="Times New Roman" w:hAnsi="Times New Roman" w:eastAsia="宋体"/>
          <w:b w:val="0"/>
          <w:i w:val="0"/>
          <w:sz w:val="24"/>
        </w:rPr>
        <w:t>· 待业务方确认：价格波动规则类型中最近若干自然日的参数取值范围与是否必填，以及各地现货交易最高限价的数据来源与维护方</w:t>
      </w:r>
    </w:p>
    <w:p>
      <w:pPr>
        <w:spacing w:before="0" w:after="60" w:line="336" w:lineRule="auto"/>
        <w:ind w:left="340" w:firstLine="0"/>
      </w:pPr>
      <w:r>
        <w:rPr>
          <w:rFonts w:ascii="Times New Roman" w:hAnsi="Times New Roman" w:eastAsia="宋体"/>
          <w:b w:val="0"/>
          <w:i w:val="0"/>
          <w:sz w:val="24"/>
        </w:rPr>
        <w:t>· 待业务方确认：业务品种与业务品类两个字段名是否指同一本字典</w:t>
      </w:r>
    </w:p>
    <w:p>
      <w:pPr>
        <w:spacing w:before="0" w:after="60" w:line="336" w:lineRule="auto"/>
        <w:ind w:left="340" w:firstLine="0"/>
      </w:pPr>
      <w:r>
        <w:rPr>
          <w:rFonts w:ascii="Times New Roman" w:hAnsi="Times New Roman" w:eastAsia="宋体"/>
          <w:b w:val="0"/>
          <w:i w:val="0"/>
          <w:sz w:val="24"/>
        </w:rPr>
        <w:t>· 待业务方确认：规则启停开关与风险等级调整的执行角色，以及批量启停是否需要支持</w:t>
      </w:r>
    </w:p>
    <w:p>
      <w:r>
        <w:br w:type="page"/>
      </w:r>
    </w:p>
    <w:p>
      <w:pPr>
        <w:pStyle w:val="Heading2"/>
        <w:keepNext/>
        <w:spacing w:before="240" w:after="120" w:line="312" w:lineRule="auto"/>
        <w:ind w:firstLine="0"/>
      </w:pPr>
      <w:r>
        <w:rPr>
          <w:rFonts w:ascii="Times New Roman" w:hAnsi="Times New Roman" w:eastAsia="黑体"/>
          <w:b/>
          <w:i w:val="0"/>
          <w:sz w:val="28"/>
        </w:rPr>
        <w:t>4.29　数据中心</w:t>
      </w:r>
    </w:p>
    <w:p>
      <w:pPr>
        <w:spacing w:before="0" w:after="160" w:line="360" w:lineRule="auto"/>
      </w:pPr>
      <w:r>
        <w:rPr>
          <w:rFonts w:ascii="Times New Roman" w:hAnsi="Times New Roman" w:eastAsia="宋体"/>
          <w:b w:val="0"/>
          <w:i w:val="0"/>
          <w:color w:val="595959"/>
          <w:sz w:val="21"/>
        </w:rPr>
        <w:t>菜单路径：数据中心</w:t>
      </w:r>
    </w:p>
    <w:p>
      <w:pPr>
        <w:pStyle w:val="Heading3"/>
        <w:keepNext/>
        <w:spacing w:before="160" w:after="80" w:line="312" w:lineRule="auto"/>
        <w:ind w:firstLine="0"/>
      </w:pPr>
      <w:r>
        <w:rPr>
          <w:rFonts w:ascii="Times New Roman" w:hAnsi="Times New Roman" w:eastAsia="黑体"/>
          <w:b/>
          <w:i w:val="0"/>
          <w:sz w:val="24"/>
        </w:rPr>
        <w:t>4.29.1　一页结论</w:t>
      </w:r>
    </w:p>
    <w:p>
      <w:pPr>
        <w:spacing w:before="0" w:after="120" w:line="360" w:lineRule="auto"/>
      </w:pPr>
      <w:r>
        <w:rPr>
          <w:rFonts w:ascii="Times New Roman" w:hAnsi="Times New Roman" w:eastAsia="宋体"/>
          <w:b w:val="0"/>
          <w:i w:val="0"/>
          <w:sz w:val="24"/>
        </w:rPr>
        <w:t>把准入、合同、业务线、收发货、资金、预警与仓储各模块产生的业务数据统一汇总，按驾驶舱、6 类台账报表与合规验证报告三个子模块对外呈现。</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928"/>
            <w:shd w:val="clear" w:color="auto" w:fill="DCE6F1"/>
          </w:tcPr>
          <w:p>
            <w:pPr>
              <w:spacing w:before="40" w:after="40" w:line="276" w:lineRule="auto"/>
              <w:jc w:val="center"/>
            </w:pPr>
            <w:r/>
            <w:r>
              <w:rPr>
                <w:rFonts w:ascii="Times New Roman" w:hAnsi="Times New Roman" w:eastAsia="黑体"/>
                <w:b/>
                <w:i w:val="0"/>
                <w:sz w:val="21"/>
              </w:rPr>
              <w:t>问题</w:t>
            </w:r>
          </w:p>
        </w:tc>
        <w:tc>
          <w:tcPr>
            <w:tcW w:type="dxa" w:w="3572"/>
            <w:shd w:val="clear" w:color="auto" w:fill="DCE6F1"/>
          </w:tcPr>
          <w:p>
            <w:pPr>
              <w:spacing w:before="40" w:after="40" w:line="276" w:lineRule="auto"/>
              <w:jc w:val="center"/>
            </w:pPr>
            <w:r/>
            <w:r>
              <w:rPr>
                <w:rFonts w:ascii="Times New Roman" w:hAnsi="Times New Roman" w:eastAsia="黑体"/>
                <w:b/>
                <w:i w:val="0"/>
                <w:sz w:val="21"/>
              </w:rPr>
              <w:t>当前做法</w:t>
            </w:r>
          </w:p>
        </w:tc>
        <w:tc>
          <w:tcPr>
            <w:tcW w:type="dxa" w:w="3572"/>
            <w:shd w:val="clear" w:color="auto" w:fill="DCE6F1"/>
          </w:tcPr>
          <w:p>
            <w:pPr>
              <w:spacing w:before="40" w:after="40" w:line="276" w:lineRule="auto"/>
              <w:jc w:val="center"/>
            </w:pPr>
            <w:r/>
            <w:r>
              <w:rPr>
                <w:rFonts w:ascii="Times New Roman" w:hAnsi="Times New Roman" w:eastAsia="黑体"/>
                <w:b/>
                <w:i w:val="0"/>
                <w:sz w:val="21"/>
              </w:rPr>
              <w:t>本模块解法</w:t>
            </w:r>
          </w:p>
        </w:tc>
      </w:tr>
      <w:tr>
        <w:tc>
          <w:tcPr>
            <w:tcW w:type="dxa" w:w="1928"/>
          </w:tcPr>
          <w:p>
            <w:pPr>
              <w:spacing w:before="20" w:after="20" w:line="276" w:lineRule="auto"/>
              <w:ind w:firstLine="0"/>
            </w:pPr>
            <w:r/>
            <w:r>
              <w:rPr>
                <w:rFonts w:ascii="Times New Roman" w:hAnsi="Times New Roman" w:eastAsia="宋体"/>
                <w:b w:val="0"/>
                <w:i w:val="0"/>
                <w:sz w:val="21"/>
              </w:rPr>
              <w:t>经营数据散落在各业务模块，管理层看不到全局</w:t>
            </w:r>
          </w:p>
        </w:tc>
        <w:tc>
          <w:tcPr>
            <w:tcW w:type="dxa" w:w="3572"/>
          </w:tcPr>
          <w:p>
            <w:pPr>
              <w:spacing w:before="20" w:after="20" w:line="276" w:lineRule="auto"/>
              <w:ind w:firstLine="0"/>
            </w:pPr>
            <w:r/>
            <w:r>
              <w:rPr>
                <w:rFonts w:ascii="Times New Roman" w:hAnsi="Times New Roman" w:eastAsia="宋体"/>
                <w:b w:val="0"/>
                <w:i w:val="0"/>
                <w:sz w:val="21"/>
              </w:rPr>
              <w:t>业务规模、资金规模、风险敞口等指标需要人工从多个模块导出后再汇总</w:t>
            </w:r>
          </w:p>
        </w:tc>
        <w:tc>
          <w:tcPr>
            <w:tcW w:type="dxa" w:w="3572"/>
          </w:tcPr>
          <w:p>
            <w:pPr>
              <w:spacing w:before="20" w:after="20" w:line="276" w:lineRule="auto"/>
              <w:ind w:firstLine="0"/>
            </w:pPr>
            <w:r/>
            <w:r>
              <w:rPr>
                <w:rFonts w:ascii="Times New Roman" w:hAnsi="Times New Roman" w:eastAsia="宋体"/>
                <w:b w:val="0"/>
                <w:i w:val="0"/>
                <w:sz w:val="21"/>
              </w:rPr>
              <w:t>驾驶舱集中呈现 5 大 KPI 与 4 张图表，支持按统计周期与业务类型筛选后实时重算</w:t>
            </w:r>
          </w:p>
        </w:tc>
      </w:tr>
      <w:tr>
        <w:tc>
          <w:tcPr>
            <w:tcW w:type="dxa" w:w="1928"/>
          </w:tcPr>
          <w:p>
            <w:pPr>
              <w:spacing w:before="20" w:after="20" w:line="276" w:lineRule="auto"/>
              <w:ind w:firstLine="0"/>
            </w:pPr>
            <w:r/>
            <w:r>
              <w:rPr>
                <w:rFonts w:ascii="Times New Roman" w:hAnsi="Times New Roman" w:eastAsia="宋体"/>
                <w:b w:val="0"/>
                <w:i w:val="0"/>
                <w:sz w:val="21"/>
              </w:rPr>
              <w:t>资金占压与库存账实不符，核对工作重复</w:t>
            </w:r>
          </w:p>
        </w:tc>
        <w:tc>
          <w:tcPr>
            <w:tcW w:type="dxa" w:w="3572"/>
          </w:tcPr>
          <w:p>
            <w:pPr>
              <w:spacing w:before="20" w:after="20" w:line="276" w:lineRule="auto"/>
              <w:ind w:firstLine="0"/>
            </w:pPr>
            <w:r/>
            <w:r>
              <w:rPr>
                <w:rFonts w:ascii="Times New Roman" w:hAnsi="Times New Roman" w:eastAsia="宋体"/>
                <w:b w:val="0"/>
                <w:i w:val="0"/>
                <w:sz w:val="21"/>
              </w:rPr>
              <w:t>资金占压与库存数据需要财务与仓储各自拉数人工核对，口径不统一</w:t>
            </w:r>
          </w:p>
        </w:tc>
        <w:tc>
          <w:tcPr>
            <w:tcW w:type="dxa" w:w="3572"/>
          </w:tcPr>
          <w:p>
            <w:pPr>
              <w:spacing w:before="20" w:after="20" w:line="276" w:lineRule="auto"/>
              <w:ind w:firstLine="0"/>
            </w:pPr>
            <w:r/>
            <w:r>
              <w:rPr>
                <w:rFonts w:ascii="Times New Roman" w:hAnsi="Times New Roman" w:eastAsia="宋体"/>
                <w:b w:val="0"/>
                <w:i w:val="0"/>
                <w:sz w:val="21"/>
              </w:rPr>
              <w:t>资金占压表与库存明细表按统一公式取数，从上游货款、退款、保证金与出入库重量直接算出占压与库存</w:t>
            </w:r>
          </w:p>
        </w:tc>
      </w:tr>
      <w:tr>
        <w:tc>
          <w:tcPr>
            <w:tcW w:type="dxa" w:w="1928"/>
          </w:tcPr>
          <w:p>
            <w:pPr>
              <w:spacing w:before="20" w:after="20" w:line="276" w:lineRule="auto"/>
              <w:ind w:firstLine="0"/>
            </w:pPr>
            <w:r/>
            <w:r>
              <w:rPr>
                <w:rFonts w:ascii="Times New Roman" w:hAnsi="Times New Roman" w:eastAsia="宋体"/>
                <w:b w:val="0"/>
                <w:i w:val="0"/>
                <w:sz w:val="21"/>
              </w:rPr>
              <w:t>台账报表之间口径不一致，横向对比困难</w:t>
            </w:r>
          </w:p>
        </w:tc>
        <w:tc>
          <w:tcPr>
            <w:tcW w:type="dxa" w:w="3572"/>
          </w:tcPr>
          <w:p>
            <w:pPr>
              <w:spacing w:before="20" w:after="20" w:line="276" w:lineRule="auto"/>
              <w:ind w:firstLine="0"/>
            </w:pPr>
            <w:r/>
            <w:r>
              <w:rPr>
                <w:rFonts w:ascii="Times New Roman" w:hAnsi="Times New Roman" w:eastAsia="宋体"/>
                <w:b w:val="0"/>
                <w:i w:val="0"/>
                <w:sz w:val="21"/>
              </w:rPr>
              <w:t>各张台账由不同口径的查询分别生成，付款与回款的时间跨度、库存的计量单位各不相同</w:t>
            </w:r>
          </w:p>
        </w:tc>
        <w:tc>
          <w:tcPr>
            <w:tcW w:type="dxa" w:w="3572"/>
          </w:tcPr>
          <w:p>
            <w:pPr>
              <w:spacing w:before="20" w:after="20" w:line="276" w:lineRule="auto"/>
              <w:ind w:firstLine="0"/>
            </w:pPr>
            <w:r/>
            <w:r>
              <w:rPr>
                <w:rFonts w:ascii="Times New Roman" w:hAnsi="Times New Roman" w:eastAsia="宋体"/>
                <w:b w:val="0"/>
                <w:i w:val="0"/>
                <w:sz w:val="21"/>
              </w:rPr>
              <w:t>6 张台账报表共用同一套筛选、查看与导出交互，并对付款回款、库存量与资金占压给出统一计算公式</w:t>
            </w:r>
          </w:p>
        </w:tc>
      </w:tr>
      <w:tr>
        <w:tc>
          <w:tcPr>
            <w:tcW w:type="dxa" w:w="1928"/>
          </w:tcPr>
          <w:p>
            <w:pPr>
              <w:spacing w:before="20" w:after="20" w:line="276" w:lineRule="auto"/>
              <w:ind w:firstLine="0"/>
            </w:pPr>
            <w:r/>
            <w:r>
              <w:rPr>
                <w:rFonts w:ascii="Times New Roman" w:hAnsi="Times New Roman" w:eastAsia="宋体"/>
                <w:b w:val="0"/>
                <w:i w:val="0"/>
                <w:sz w:val="21"/>
              </w:rPr>
              <w:t>合规验证缺少系统内可查的结论与整改跟踪</w:t>
            </w:r>
          </w:p>
        </w:tc>
        <w:tc>
          <w:tcPr>
            <w:tcW w:type="dxa" w:w="3572"/>
          </w:tcPr>
          <w:p>
            <w:pPr>
              <w:spacing w:before="20" w:after="20" w:line="276" w:lineRule="auto"/>
              <w:ind w:firstLine="0"/>
            </w:pPr>
            <w:r/>
            <w:r>
              <w:rPr>
                <w:rFonts w:ascii="Times New Roman" w:hAnsi="Times New Roman" w:eastAsia="宋体"/>
                <w:b w:val="0"/>
                <w:i w:val="0"/>
                <w:sz w:val="21"/>
              </w:rPr>
              <w:t>合规检查结果散落在外部检查材料中，整改进度靠线下台账维护</w:t>
            </w:r>
          </w:p>
        </w:tc>
        <w:tc>
          <w:tcPr>
            <w:tcW w:type="dxa" w:w="3572"/>
          </w:tcPr>
          <w:p>
            <w:pPr>
              <w:spacing w:before="20" w:after="20" w:line="276" w:lineRule="auto"/>
              <w:ind w:firstLine="0"/>
            </w:pPr>
            <w:r/>
            <w:r>
              <w:rPr>
                <w:rFonts w:ascii="Times New Roman" w:hAnsi="Times New Roman" w:eastAsia="宋体"/>
                <w:b w:val="0"/>
                <w:i w:val="0"/>
                <w:sz w:val="21"/>
              </w:rPr>
              <w:t>合规验证报告列表与详情页承载业务线全景、8 类风险扫描与 25 项以上检查项，并提供整改跟踪、实时活动与催办三个写操作区</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4.29.2　背景与目标</w:t>
      </w:r>
    </w:p>
    <w:tbl>
      <w:tblPr>
        <w:tblStyle w:val="TableGrid"/>
        <w:tblW w:type="auto" w:w="0"/>
        <w:jc w:val="center"/>
        <w:tblLayout w:type="fixed"/>
        <w:tblLook w:firstColumn="1" w:firstRow="1" w:lastColumn="0" w:lastRow="0" w:noHBand="0" w:noVBand="1" w:val="04A0"/>
      </w:tblPr>
      <w:tblGrid>
        <w:gridCol w:w="8958"/>
      </w:tblGrid>
      <w:tr>
        <w:trPr>
          <w:tblHeader w:val="true"/>
        </w:trPr>
        <w:tc>
          <w:tcPr>
            <w:tcW w:type="dxa" w:w="9071"/>
            <w:shd w:val="clear" w:color="auto" w:fill="DCE6F1"/>
          </w:tcPr>
          <w:p>
            <w:pPr>
              <w:spacing w:before="40" w:after="40" w:line="276" w:lineRule="auto"/>
              <w:jc w:val="center"/>
            </w:pPr>
            <w:r/>
            <w:r>
              <w:rPr>
                <w:rFonts w:ascii="Times New Roman" w:hAnsi="Times New Roman" w:eastAsia="黑体"/>
                <w:b/>
                <w:i w:val="0"/>
                <w:sz w:val="21"/>
              </w:rPr>
              <w:t>目标 / 衡量口径</w:t>
            </w:r>
          </w:p>
        </w:tc>
      </w:tr>
      <w:tr>
        <w:tc>
          <w:tcPr>
            <w:tcW w:type="dxa" w:w="9071"/>
          </w:tcPr>
          <w:p>
            <w:pPr>
              <w:spacing w:before="20" w:after="20" w:line="276" w:lineRule="auto"/>
              <w:ind w:firstLine="0"/>
            </w:pPr>
            <w:r/>
            <w:r>
              <w:rPr>
                <w:rFonts w:ascii="Times New Roman" w:hAnsi="Times New Roman" w:eastAsia="宋体"/>
                <w:b w:val="0"/>
                <w:i w:val="0"/>
                <w:sz w:val="21"/>
              </w:rPr>
              <w:t>驾驶舱提供 5 大 KPI 与 4 张图表，且 KPI 与图表均给出明确的取数公式，口径可追溯到具体业务数据</w:t>
            </w:r>
          </w:p>
        </w:tc>
      </w:tr>
      <w:tr>
        <w:tc>
          <w:tcPr>
            <w:tcW w:type="dxa" w:w="9071"/>
          </w:tcPr>
          <w:p>
            <w:pPr>
              <w:spacing w:before="20" w:after="20" w:line="276" w:lineRule="auto"/>
              <w:ind w:firstLine="0"/>
            </w:pPr>
            <w:r/>
            <w:r>
              <w:rPr>
                <w:rFonts w:ascii="Times New Roman" w:hAnsi="Times New Roman" w:eastAsia="宋体"/>
                <w:b w:val="0"/>
                <w:i w:val="0"/>
                <w:sz w:val="21"/>
              </w:rPr>
              <w:t>6 类台账报表共用统一的筛选、查看与导出交互，导出范围为当前筛选结果，报表只读不产生业务写操作</w:t>
            </w:r>
          </w:p>
        </w:tc>
      </w:tr>
      <w:tr>
        <w:tc>
          <w:tcPr>
            <w:tcW w:type="dxa" w:w="9071"/>
          </w:tcPr>
          <w:p>
            <w:pPr>
              <w:spacing w:before="20" w:after="20" w:line="276" w:lineRule="auto"/>
              <w:ind w:firstLine="0"/>
            </w:pPr>
            <w:r/>
            <w:r>
              <w:rPr>
                <w:rFonts w:ascii="Times New Roman" w:hAnsi="Times New Roman" w:eastAsia="宋体"/>
                <w:b w:val="0"/>
                <w:i w:val="0"/>
                <w:sz w:val="21"/>
              </w:rPr>
              <w:t>资金占压与库存口径统一：库存吨位等于累计入库减累计出库总和，库存货值等于库存重量乘当期货物总价</w:t>
            </w:r>
          </w:p>
        </w:tc>
      </w:tr>
      <w:tr>
        <w:tc>
          <w:tcPr>
            <w:tcW w:type="dxa" w:w="9071"/>
          </w:tcPr>
          <w:p>
            <w:pPr>
              <w:spacing w:before="20" w:after="20" w:line="276" w:lineRule="auto"/>
              <w:ind w:firstLine="0"/>
            </w:pPr>
            <w:r/>
            <w:r>
              <w:rPr>
                <w:rFonts w:ascii="Times New Roman" w:hAnsi="Times New Roman" w:eastAsia="宋体"/>
                <w:b w:val="0"/>
                <w:i w:val="0"/>
                <w:sz w:val="21"/>
              </w:rPr>
              <w:t>合规验证报告具备 3 档合规状态与 25 项以上检查项的承载结构，并支持整改跟踪与催办；报表规模与使用情况以系统运行报表为准</w:t>
            </w:r>
          </w:p>
        </w:tc>
      </w:tr>
    </w:tbl>
    <w:p>
      <w:pPr>
        <w:spacing w:before="0" w:after="0" w:line="240" w:lineRule="auto"/>
      </w:pPr>
    </w:p>
    <w:p>
      <w:pPr>
        <w:spacing w:before="80" w:after="120" w:line="360" w:lineRule="auto"/>
      </w:pPr>
      <w:r>
        <w:rPr>
          <w:rFonts w:ascii="Times New Roman" w:hAnsi="Times New Roman" w:eastAsia="宋体"/>
          <w:b w:val="0"/>
          <w:i w:val="0"/>
          <w:color w:val="595959"/>
          <w:sz w:val="21"/>
        </w:rPr>
        <w:t>说明：文中口径以业务方已确认结论为准；未确认项集中列于本章末与第 5 章。</w:t>
      </w:r>
    </w:p>
    <w:p>
      <w:pPr>
        <w:pStyle w:val="Heading3"/>
        <w:keepNext/>
        <w:spacing w:before="160" w:after="80" w:line="312" w:lineRule="auto"/>
        <w:ind w:firstLine="0"/>
      </w:pPr>
      <w:r>
        <w:rPr>
          <w:rFonts w:ascii="Times New Roman" w:hAnsi="Times New Roman" w:eastAsia="黑体"/>
          <w:b/>
          <w:i w:val="0"/>
          <w:sz w:val="24"/>
        </w:rPr>
        <w:t>4.29.3　角色与用户需求</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361"/>
            <w:shd w:val="clear" w:color="auto" w:fill="DCE6F1"/>
          </w:tcPr>
          <w:p>
            <w:pPr>
              <w:spacing w:before="40" w:after="40" w:line="276" w:lineRule="auto"/>
              <w:jc w:val="center"/>
            </w:pPr>
            <w:r/>
            <w:r>
              <w:rPr>
                <w:rFonts w:ascii="Times New Roman" w:hAnsi="Times New Roman" w:eastAsia="黑体"/>
                <w:b/>
                <w:i w:val="0"/>
                <w:sz w:val="21"/>
              </w:rPr>
              <w:t>角色</w:t>
            </w:r>
          </w:p>
        </w:tc>
        <w:tc>
          <w:tcPr>
            <w:tcW w:type="dxa" w:w="1247"/>
            <w:shd w:val="clear" w:color="auto" w:fill="DCE6F1"/>
          </w:tcPr>
          <w:p>
            <w:pPr>
              <w:spacing w:before="40" w:after="40" w:line="276" w:lineRule="auto"/>
              <w:jc w:val="center"/>
            </w:pPr>
            <w:r/>
            <w:r>
              <w:rPr>
                <w:rFonts w:ascii="Times New Roman" w:hAnsi="Times New Roman" w:eastAsia="黑体"/>
                <w:b/>
                <w:i w:val="0"/>
                <w:sz w:val="21"/>
              </w:rPr>
              <w:t>所属部门</w:t>
            </w:r>
          </w:p>
        </w:tc>
        <w:tc>
          <w:tcPr>
            <w:tcW w:type="dxa" w:w="6463"/>
            <w:shd w:val="clear" w:color="auto" w:fill="DCE6F1"/>
          </w:tcPr>
          <w:p>
            <w:pPr>
              <w:spacing w:before="40" w:after="40" w:line="276" w:lineRule="auto"/>
              <w:jc w:val="center"/>
            </w:pPr>
            <w:r/>
            <w:r>
              <w:rPr>
                <w:rFonts w:ascii="Times New Roman" w:hAnsi="Times New Roman" w:eastAsia="黑体"/>
                <w:b/>
                <w:i w:val="0"/>
                <w:sz w:val="21"/>
              </w:rPr>
              <w:t>用户需求（我要…以便…）</w:t>
            </w:r>
          </w:p>
        </w:tc>
      </w:tr>
      <w:tr>
        <w:tc>
          <w:tcPr>
            <w:tcW w:type="dxa" w:w="1361"/>
          </w:tcPr>
          <w:p>
            <w:pPr>
              <w:spacing w:before="20" w:after="20" w:line="276" w:lineRule="auto"/>
              <w:ind w:firstLine="0"/>
            </w:pPr>
            <w:r/>
            <w:r>
              <w:rPr>
                <w:rFonts w:ascii="Times New Roman" w:hAnsi="Times New Roman" w:eastAsia="宋体"/>
                <w:b w:val="0"/>
                <w:i w:val="0"/>
                <w:sz w:val="21"/>
              </w:rPr>
              <w:t>高管与总经办</w:t>
            </w:r>
          </w:p>
        </w:tc>
        <w:tc>
          <w:tcPr>
            <w:tcW w:type="dxa" w:w="1247"/>
          </w:tcPr>
          <w:p>
            <w:pPr>
              <w:spacing w:before="20" w:after="20" w:line="276" w:lineRule="auto"/>
              <w:ind w:firstLine="0"/>
            </w:pPr>
            <w:r/>
            <w:r>
              <w:rPr>
                <w:rFonts w:ascii="Times New Roman" w:hAnsi="Times New Roman" w:eastAsia="宋体"/>
                <w:b w:val="0"/>
                <w:i w:val="0"/>
                <w:sz w:val="21"/>
              </w:rPr>
              <w:t>总经办</w:t>
            </w:r>
          </w:p>
        </w:tc>
        <w:tc>
          <w:tcPr>
            <w:tcW w:type="dxa" w:w="6463"/>
          </w:tcPr>
          <w:p>
            <w:pPr>
              <w:spacing w:before="20" w:after="20" w:line="276" w:lineRule="auto"/>
              <w:ind w:firstLine="0"/>
            </w:pPr>
            <w:r/>
            <w:r>
              <w:rPr>
                <w:rFonts w:ascii="Times New Roman" w:hAnsi="Times New Roman" w:eastAsia="宋体"/>
                <w:b w:val="0"/>
                <w:i w:val="0"/>
                <w:sz w:val="21"/>
              </w:rPr>
              <w:t>我要在驾驶舱一眼看到业务规模、资金规模与风险敞口，以便判断整体经营与风险状态</w:t>
            </w:r>
          </w:p>
        </w:tc>
      </w:tr>
      <w:tr>
        <w:tc>
          <w:tcPr>
            <w:tcW w:type="dxa" w:w="1361"/>
          </w:tcPr>
          <w:p>
            <w:pPr>
              <w:spacing w:before="20" w:after="20" w:line="276" w:lineRule="auto"/>
              <w:ind w:firstLine="0"/>
            </w:pPr>
            <w:r/>
            <w:r>
              <w:rPr>
                <w:rFonts w:ascii="Times New Roman" w:hAnsi="Times New Roman" w:eastAsia="宋体"/>
                <w:b w:val="0"/>
                <w:i w:val="0"/>
                <w:sz w:val="21"/>
              </w:rPr>
              <w:t>业务员</w:t>
            </w:r>
          </w:p>
        </w:tc>
        <w:tc>
          <w:tcPr>
            <w:tcW w:type="dxa" w:w="1247"/>
          </w:tcPr>
          <w:p>
            <w:pPr>
              <w:spacing w:before="20" w:after="20" w:line="276" w:lineRule="auto"/>
              <w:ind w:firstLine="0"/>
            </w:pPr>
            <w:r/>
            <w:r>
              <w:rPr>
                <w:rFonts w:ascii="Times New Roman" w:hAnsi="Times New Roman" w:eastAsia="宋体"/>
                <w:b w:val="0"/>
                <w:i w:val="0"/>
                <w:sz w:val="21"/>
              </w:rPr>
              <w:t>业务部</w:t>
            </w:r>
          </w:p>
        </w:tc>
        <w:tc>
          <w:tcPr>
            <w:tcW w:type="dxa" w:w="6463"/>
          </w:tcPr>
          <w:p>
            <w:pPr>
              <w:spacing w:before="20" w:after="20" w:line="276" w:lineRule="auto"/>
              <w:ind w:firstLine="0"/>
            </w:pPr>
            <w:r/>
            <w:r>
              <w:rPr>
                <w:rFonts w:ascii="Times New Roman" w:hAnsi="Times New Roman" w:eastAsia="宋体"/>
                <w:b w:val="0"/>
                <w:i w:val="0"/>
                <w:sz w:val="21"/>
              </w:rPr>
              <w:t>我要按项目与业务线查看台账明细并跳转到具体单据，以便核对业务进展</w:t>
            </w:r>
          </w:p>
        </w:tc>
      </w:tr>
      <w:tr>
        <w:tc>
          <w:tcPr>
            <w:tcW w:type="dxa" w:w="1361"/>
          </w:tcPr>
          <w:p>
            <w:pPr>
              <w:spacing w:before="20" w:after="20" w:line="276" w:lineRule="auto"/>
              <w:ind w:firstLine="0"/>
            </w:pPr>
            <w:r/>
            <w:r>
              <w:rPr>
                <w:rFonts w:ascii="Times New Roman" w:hAnsi="Times New Roman" w:eastAsia="宋体"/>
                <w:b w:val="0"/>
                <w:i w:val="0"/>
                <w:sz w:val="21"/>
              </w:rPr>
              <w:t>财务人员</w:t>
            </w:r>
          </w:p>
        </w:tc>
        <w:tc>
          <w:tcPr>
            <w:tcW w:type="dxa" w:w="1247"/>
          </w:tcPr>
          <w:p>
            <w:pPr>
              <w:spacing w:before="20" w:after="20" w:line="276" w:lineRule="auto"/>
              <w:ind w:firstLine="0"/>
            </w:pPr>
            <w:r/>
            <w:r>
              <w:rPr>
                <w:rFonts w:ascii="Times New Roman" w:hAnsi="Times New Roman" w:eastAsia="宋体"/>
                <w:b w:val="0"/>
                <w:i w:val="0"/>
                <w:sz w:val="21"/>
              </w:rPr>
              <w:t>财务部</w:t>
            </w:r>
          </w:p>
        </w:tc>
        <w:tc>
          <w:tcPr>
            <w:tcW w:type="dxa" w:w="6463"/>
          </w:tcPr>
          <w:p>
            <w:pPr>
              <w:spacing w:before="20" w:after="20" w:line="276" w:lineRule="auto"/>
              <w:ind w:firstLine="0"/>
            </w:pPr>
            <w:r/>
            <w:r>
              <w:rPr>
                <w:rFonts w:ascii="Times New Roman" w:hAnsi="Times New Roman" w:eastAsia="宋体"/>
                <w:b w:val="0"/>
                <w:i w:val="0"/>
                <w:sz w:val="21"/>
              </w:rPr>
              <w:t>我要查看资金占压表与应收应付表，以便掌握上下游资金占用与净额</w:t>
            </w:r>
          </w:p>
        </w:tc>
      </w:tr>
      <w:tr>
        <w:tc>
          <w:tcPr>
            <w:tcW w:type="dxa" w:w="1361"/>
          </w:tcPr>
          <w:p>
            <w:pPr>
              <w:spacing w:before="20" w:after="20" w:line="276" w:lineRule="auto"/>
              <w:ind w:firstLine="0"/>
            </w:pPr>
            <w:r/>
            <w:r>
              <w:rPr>
                <w:rFonts w:ascii="Times New Roman" w:hAnsi="Times New Roman" w:eastAsia="宋体"/>
                <w:b w:val="0"/>
                <w:i w:val="0"/>
                <w:sz w:val="21"/>
              </w:rPr>
              <w:t>风控人员</w:t>
            </w:r>
          </w:p>
        </w:tc>
        <w:tc>
          <w:tcPr>
            <w:tcW w:type="dxa" w:w="1247"/>
          </w:tcPr>
          <w:p>
            <w:pPr>
              <w:spacing w:before="20" w:after="20" w:line="276" w:lineRule="auto"/>
              <w:ind w:firstLine="0"/>
            </w:pPr>
            <w:r/>
            <w:r>
              <w:rPr>
                <w:rFonts w:ascii="Times New Roman" w:hAnsi="Times New Roman" w:eastAsia="宋体"/>
                <w:b w:val="0"/>
                <w:i w:val="0"/>
                <w:sz w:val="21"/>
              </w:rPr>
              <w:t>风控部</w:t>
            </w:r>
          </w:p>
        </w:tc>
        <w:tc>
          <w:tcPr>
            <w:tcW w:type="dxa" w:w="6463"/>
          </w:tcPr>
          <w:p>
            <w:pPr>
              <w:spacing w:before="20" w:after="20" w:line="276" w:lineRule="auto"/>
              <w:ind w:firstLine="0"/>
            </w:pPr>
            <w:r/>
            <w:r>
              <w:rPr>
                <w:rFonts w:ascii="Times New Roman" w:hAnsi="Times New Roman" w:eastAsia="宋体"/>
                <w:b w:val="0"/>
                <w:i w:val="0"/>
                <w:sz w:val="21"/>
              </w:rPr>
              <w:t>我要查看风控统计报表与合规验证报告并对风险项发起处理，以便风险处置有据可依</w:t>
            </w:r>
          </w:p>
        </w:tc>
      </w:tr>
      <w:tr>
        <w:tc>
          <w:tcPr>
            <w:tcW w:type="dxa" w:w="1361"/>
          </w:tcPr>
          <w:p>
            <w:pPr>
              <w:spacing w:before="20" w:after="20" w:line="276" w:lineRule="auto"/>
              <w:ind w:firstLine="0"/>
            </w:pPr>
            <w:r/>
            <w:r>
              <w:rPr>
                <w:rFonts w:ascii="Times New Roman" w:hAnsi="Times New Roman" w:eastAsia="宋体"/>
                <w:b w:val="0"/>
                <w:i w:val="0"/>
                <w:sz w:val="21"/>
              </w:rPr>
              <w:t>平台运营</w:t>
            </w:r>
          </w:p>
        </w:tc>
        <w:tc>
          <w:tcPr>
            <w:tcW w:type="dxa" w:w="1247"/>
          </w:tcPr>
          <w:p>
            <w:pPr>
              <w:spacing w:before="20" w:after="20" w:line="276" w:lineRule="auto"/>
              <w:ind w:firstLine="0"/>
            </w:pPr>
            <w:r/>
            <w:r>
              <w:rPr>
                <w:rFonts w:ascii="Times New Roman" w:hAnsi="Times New Roman" w:eastAsia="宋体"/>
                <w:b w:val="0"/>
                <w:i w:val="0"/>
                <w:sz w:val="21"/>
              </w:rPr>
              <w:t>运营管理部</w:t>
            </w:r>
          </w:p>
        </w:tc>
        <w:tc>
          <w:tcPr>
            <w:tcW w:type="dxa" w:w="6463"/>
          </w:tcPr>
          <w:p>
            <w:pPr>
              <w:spacing w:before="20" w:after="20" w:line="276" w:lineRule="auto"/>
              <w:ind w:firstLine="0"/>
            </w:pPr>
            <w:r/>
            <w:r>
              <w:rPr>
                <w:rFonts w:ascii="Times New Roman" w:hAnsi="Times New Roman" w:eastAsia="宋体"/>
                <w:b w:val="0"/>
                <w:i w:val="0"/>
                <w:sz w:val="21"/>
              </w:rPr>
              <w:t>我要确认各报表取数正常并导出当前筛选结果，以便对外提供核对数据</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4.29.4　功能结构与范围</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474"/>
            <w:shd w:val="clear" w:color="auto" w:fill="DCE6F1"/>
          </w:tcPr>
          <w:p>
            <w:pPr>
              <w:spacing w:before="40" w:after="40" w:line="276" w:lineRule="auto"/>
              <w:jc w:val="center"/>
            </w:pPr>
            <w:r/>
            <w:r>
              <w:rPr>
                <w:rFonts w:ascii="Times New Roman" w:hAnsi="Times New Roman" w:eastAsia="黑体"/>
                <w:b/>
                <w:i w:val="0"/>
                <w:sz w:val="21"/>
              </w:rPr>
              <w:t>功能</w:t>
            </w:r>
          </w:p>
        </w:tc>
        <w:tc>
          <w:tcPr>
            <w:tcW w:type="dxa" w:w="3175"/>
            <w:shd w:val="clear" w:color="auto" w:fill="DCE6F1"/>
          </w:tcPr>
          <w:p>
            <w:pPr>
              <w:spacing w:before="40" w:after="40" w:line="276" w:lineRule="auto"/>
              <w:jc w:val="center"/>
            </w:pPr>
            <w:r/>
            <w:r>
              <w:rPr>
                <w:rFonts w:ascii="Times New Roman" w:hAnsi="Times New Roman" w:eastAsia="黑体"/>
                <w:b/>
                <w:i w:val="0"/>
                <w:sz w:val="21"/>
              </w:rPr>
              <w:t>功能说明</w:t>
            </w:r>
          </w:p>
        </w:tc>
        <w:tc>
          <w:tcPr>
            <w:tcW w:type="dxa" w:w="4422"/>
            <w:shd w:val="clear" w:color="auto" w:fill="DCE6F1"/>
          </w:tcPr>
          <w:p>
            <w:pPr>
              <w:spacing w:before="40" w:after="40" w:line="276" w:lineRule="auto"/>
              <w:jc w:val="center"/>
            </w:pPr>
            <w:r/>
            <w:r>
              <w:rPr>
                <w:rFonts w:ascii="Times New Roman" w:hAnsi="Times New Roman" w:eastAsia="黑体"/>
                <w:b/>
                <w:i w:val="0"/>
                <w:sz w:val="21"/>
              </w:rPr>
              <w:t>关键规则</w:t>
            </w:r>
          </w:p>
        </w:tc>
      </w:tr>
      <w:tr>
        <w:tc>
          <w:tcPr>
            <w:tcW w:type="dxa" w:w="1474"/>
          </w:tcPr>
          <w:p>
            <w:pPr>
              <w:spacing w:before="20" w:after="20" w:line="276" w:lineRule="auto"/>
              <w:ind w:firstLine="0"/>
            </w:pPr>
            <w:r/>
            <w:r>
              <w:rPr>
                <w:rFonts w:ascii="Times New Roman" w:hAnsi="Times New Roman" w:eastAsia="宋体"/>
                <w:b w:val="0"/>
                <w:i w:val="0"/>
                <w:sz w:val="21"/>
              </w:rPr>
              <w:t>驾驶舱指标看板</w:t>
            </w:r>
          </w:p>
        </w:tc>
        <w:tc>
          <w:tcPr>
            <w:tcW w:type="dxa" w:w="3175"/>
          </w:tcPr>
          <w:p>
            <w:pPr>
              <w:spacing w:before="20" w:after="20" w:line="276" w:lineRule="auto"/>
              <w:ind w:firstLine="0"/>
            </w:pPr>
            <w:r/>
            <w:r>
              <w:rPr>
                <w:rFonts w:ascii="Times New Roman" w:hAnsi="Times New Roman" w:eastAsia="宋体"/>
                <w:b w:val="0"/>
                <w:i w:val="0"/>
                <w:sz w:val="21"/>
              </w:rPr>
              <w:t>以 5 大 KPI 卡片与 4 张图表呈现平台整体经营与风险状况</w:t>
            </w:r>
          </w:p>
        </w:tc>
        <w:tc>
          <w:tcPr>
            <w:tcW w:type="dxa" w:w="4422"/>
          </w:tcPr>
          <w:p>
            <w:pPr>
              <w:spacing w:before="20" w:after="20" w:line="276" w:lineRule="auto"/>
              <w:ind w:firstLine="0"/>
            </w:pPr>
            <w:r/>
            <w:r>
              <w:rPr>
                <w:rFonts w:ascii="Times New Roman" w:hAnsi="Times New Roman" w:eastAsia="宋体"/>
                <w:b w:val="0"/>
                <w:i w:val="0"/>
                <w:sz w:val="21"/>
              </w:rPr>
              <w:t>顶部 2 个筛选字段为统计周期与业务类型，切换后 KPI 与图表按筛选结果重算；5 大 KPI 分别为业务规模即状态不为作废的合同计数、资金规模即合同金额求和、风险敞口即敞口金额求和、业务线状态即状态为执行中的业务线计数、预警计数即状态为未处理的预警计数；4 张图表分别为近 30 日合同签订数量趋势折线图、业务类型分布饼图（存货、预付、账期、购销）、业务线执行状态分布柱状图、最新 10 条预警表格</w:t>
            </w:r>
          </w:p>
        </w:tc>
      </w:tr>
      <w:tr>
        <w:tc>
          <w:tcPr>
            <w:tcW w:type="dxa" w:w="1474"/>
          </w:tcPr>
          <w:p>
            <w:pPr>
              <w:spacing w:before="20" w:after="20" w:line="276" w:lineRule="auto"/>
              <w:ind w:firstLine="0"/>
            </w:pPr>
            <w:r/>
            <w:r>
              <w:rPr>
                <w:rFonts w:ascii="Times New Roman" w:hAnsi="Times New Roman" w:eastAsia="宋体"/>
                <w:b w:val="0"/>
                <w:i w:val="0"/>
                <w:sz w:val="21"/>
              </w:rPr>
              <w:t>驾驶舱分区与快捷入口</w:t>
            </w:r>
          </w:p>
        </w:tc>
        <w:tc>
          <w:tcPr>
            <w:tcW w:type="dxa" w:w="3175"/>
          </w:tcPr>
          <w:p>
            <w:pPr>
              <w:spacing w:before="20" w:after="20" w:line="276" w:lineRule="auto"/>
              <w:ind w:firstLine="0"/>
            </w:pPr>
            <w:r/>
            <w:r>
              <w:rPr>
                <w:rFonts w:ascii="Times New Roman" w:hAnsi="Times New Roman" w:eastAsia="宋体"/>
                <w:b w:val="0"/>
                <w:i w:val="0"/>
                <w:sz w:val="21"/>
              </w:rPr>
              <w:t>提供概览、项目、合同、客户 4 个分区切换与 7 个报表快捷入口</w:t>
            </w:r>
          </w:p>
        </w:tc>
        <w:tc>
          <w:tcPr>
            <w:tcW w:type="dxa" w:w="4422"/>
          </w:tcPr>
          <w:p>
            <w:pPr>
              <w:spacing w:before="20" w:after="20" w:line="276" w:lineRule="auto"/>
              <w:ind w:firstLine="0"/>
            </w:pPr>
            <w:r/>
            <w:r>
              <w:rPr>
                <w:rFonts w:ascii="Times New Roman" w:hAnsi="Times New Roman" w:eastAsia="宋体"/>
                <w:b w:val="0"/>
                <w:i w:val="0"/>
                <w:sz w:val="21"/>
              </w:rPr>
              <w:t>提供概览、项目、合同、客户 4 个状态页签，切换即切换对应卡片数据；底部提供 7 个快捷入口，分别跳转项目台账表 report-project.html、业务线台账表 report-bizline.html、资金占压表 report-fund.html、库存明细表 report-inventory.html、应收应付表 report-ar-ap.html、风控统计报表 report-risk.html、合规验证报告 report-compliance.html</w:t>
            </w:r>
          </w:p>
        </w:tc>
      </w:tr>
      <w:tr>
        <w:tc>
          <w:tcPr>
            <w:tcW w:type="dxa" w:w="1474"/>
          </w:tcPr>
          <w:p>
            <w:pPr>
              <w:spacing w:before="20" w:after="20" w:line="276" w:lineRule="auto"/>
              <w:ind w:firstLine="0"/>
            </w:pPr>
            <w:r/>
            <w:r>
              <w:rPr>
                <w:rFonts w:ascii="Times New Roman" w:hAnsi="Times New Roman" w:eastAsia="宋体"/>
                <w:b w:val="0"/>
                <w:i w:val="0"/>
                <w:sz w:val="21"/>
              </w:rPr>
              <w:t>台账报表统一查询交互</w:t>
            </w:r>
          </w:p>
        </w:tc>
        <w:tc>
          <w:tcPr>
            <w:tcW w:type="dxa" w:w="3175"/>
          </w:tcPr>
          <w:p>
            <w:pPr>
              <w:spacing w:before="20" w:after="20" w:line="276" w:lineRule="auto"/>
              <w:ind w:firstLine="0"/>
            </w:pPr>
            <w:r/>
            <w:r>
              <w:rPr>
                <w:rFonts w:ascii="Times New Roman" w:hAnsi="Times New Roman" w:eastAsia="宋体"/>
                <w:b w:val="0"/>
                <w:i w:val="0"/>
                <w:sz w:val="21"/>
              </w:rPr>
              <w:t>6 张台账报表共用同一套按钮与跳转规则</w:t>
            </w:r>
          </w:p>
        </w:tc>
        <w:tc>
          <w:tcPr>
            <w:tcW w:type="dxa" w:w="4422"/>
          </w:tcPr>
          <w:p>
            <w:pPr>
              <w:spacing w:before="20" w:after="20" w:line="276" w:lineRule="auto"/>
              <w:ind w:firstLine="0"/>
            </w:pPr>
            <w:r/>
            <w:r>
              <w:rPr>
                <w:rFonts w:ascii="Times New Roman" w:hAnsi="Times New Roman" w:eastAsia="宋体"/>
                <w:b w:val="0"/>
                <w:i w:val="0"/>
                <w:sz w:val="21"/>
              </w:rPr>
              <w:t>编号或合同号以蓝色文字呈现，点击跳转对应详情页；操作列提供查看按钮跳转对应详情页；风控统计报表的操作列额外提供处理按钮，跳转风险处理页；全部 9 个页面均提供数据导出按钮，导出当前筛选数据为 Excel 文件；报表页不提供打印入口</w:t>
            </w:r>
          </w:p>
        </w:tc>
      </w:tr>
      <w:tr>
        <w:tc>
          <w:tcPr>
            <w:tcW w:type="dxa" w:w="1474"/>
          </w:tcPr>
          <w:p>
            <w:pPr>
              <w:spacing w:before="20" w:after="20" w:line="276" w:lineRule="auto"/>
              <w:ind w:firstLine="0"/>
            </w:pPr>
            <w:r/>
            <w:r>
              <w:rPr>
                <w:rFonts w:ascii="Times New Roman" w:hAnsi="Times New Roman" w:eastAsia="宋体"/>
                <w:b w:val="0"/>
                <w:i w:val="0"/>
                <w:sz w:val="21"/>
              </w:rPr>
              <w:t>资金占压与应收应付取数口径</w:t>
            </w:r>
          </w:p>
        </w:tc>
        <w:tc>
          <w:tcPr>
            <w:tcW w:type="dxa" w:w="3175"/>
          </w:tcPr>
          <w:p>
            <w:pPr>
              <w:spacing w:before="20" w:after="20" w:line="276" w:lineRule="auto"/>
              <w:ind w:firstLine="0"/>
            </w:pPr>
            <w:r/>
            <w:r>
              <w:rPr>
                <w:rFonts w:ascii="Times New Roman" w:hAnsi="Times New Roman" w:eastAsia="宋体"/>
                <w:b w:val="0"/>
                <w:i w:val="0"/>
                <w:sz w:val="21"/>
              </w:rPr>
              <w:t>用统一公式计算上游与下游的资金占用情况</w:t>
            </w:r>
          </w:p>
        </w:tc>
        <w:tc>
          <w:tcPr>
            <w:tcW w:type="dxa" w:w="4422"/>
          </w:tcPr>
          <w:p>
            <w:pPr>
              <w:spacing w:before="20" w:after="20" w:line="276" w:lineRule="auto"/>
              <w:ind w:firstLine="0"/>
            </w:pPr>
            <w:r/>
            <w:r>
              <w:rPr>
                <w:rFonts w:ascii="Times New Roman" w:hAnsi="Times New Roman" w:eastAsia="宋体"/>
                <w:b w:val="0"/>
                <w:i w:val="0"/>
                <w:sz w:val="21"/>
              </w:rPr>
              <w:t>应付总额等于全量采购合同总金额；应收总额等于全量销售合同总金额；库存资金占压等于上游货款之和减上游退款之和，再减去下游货款之和加下游保证金之和减下游退款之和；净占压金额等于下游未收加库存资金占压减上游未付；应收应付表顶部 4 张 KPI 卡片分别为应付总额、应收总额、库存资金占压与净占压金额，每张卡片对应一条公式或公式组合</w:t>
            </w:r>
          </w:p>
        </w:tc>
      </w:tr>
      <w:tr>
        <w:tc>
          <w:tcPr>
            <w:tcW w:type="dxa" w:w="1474"/>
          </w:tcPr>
          <w:p>
            <w:pPr>
              <w:spacing w:before="20" w:after="20" w:line="276" w:lineRule="auto"/>
              <w:ind w:firstLine="0"/>
            </w:pPr>
            <w:r/>
            <w:r>
              <w:rPr>
                <w:rFonts w:ascii="Times New Roman" w:hAnsi="Times New Roman" w:eastAsia="宋体"/>
                <w:b w:val="0"/>
                <w:i w:val="0"/>
                <w:sz w:val="21"/>
              </w:rPr>
              <w:t>库存明细取数口径</w:t>
            </w:r>
          </w:p>
        </w:tc>
        <w:tc>
          <w:tcPr>
            <w:tcW w:type="dxa" w:w="3175"/>
          </w:tcPr>
          <w:p>
            <w:pPr>
              <w:spacing w:before="20" w:after="20" w:line="276" w:lineRule="auto"/>
              <w:ind w:firstLine="0"/>
            </w:pPr>
            <w:r/>
            <w:r>
              <w:rPr>
                <w:rFonts w:ascii="Times New Roman" w:hAnsi="Times New Roman" w:eastAsia="宋体"/>
                <w:b w:val="0"/>
                <w:i w:val="0"/>
                <w:sz w:val="21"/>
              </w:rPr>
              <w:t>以出入库重量记录推导平台库存吨位与货值</w:t>
            </w:r>
          </w:p>
        </w:tc>
        <w:tc>
          <w:tcPr>
            <w:tcW w:type="dxa" w:w="4422"/>
          </w:tcPr>
          <w:p>
            <w:pPr>
              <w:spacing w:before="20" w:after="20" w:line="276" w:lineRule="auto"/>
              <w:ind w:firstLine="0"/>
            </w:pPr>
            <w:r/>
            <w:r>
              <w:rPr>
                <w:rFonts w:ascii="Times New Roman" w:hAnsi="Times New Roman" w:eastAsia="宋体"/>
                <w:b w:val="0"/>
                <w:i w:val="0"/>
                <w:sz w:val="21"/>
              </w:rPr>
              <w:t>累计入库与累计出库均等于平台全量出入库记录中货物重量的总和；库存吨位等于累计入库减累计出库总和；库存货值等于库存重量乘当期货物总价；库存明细表按每组 4 个 KPI 组织，表格共 18 列，含仓库名称、库存数量、库存重量、预占库存数量、预占库存重量</w:t>
            </w:r>
          </w:p>
        </w:tc>
      </w:tr>
      <w:tr>
        <w:tc>
          <w:tcPr>
            <w:tcW w:type="dxa" w:w="1474"/>
          </w:tcPr>
          <w:p>
            <w:pPr>
              <w:spacing w:before="20" w:after="20" w:line="276" w:lineRule="auto"/>
              <w:ind w:firstLine="0"/>
            </w:pPr>
            <w:r/>
            <w:r>
              <w:rPr>
                <w:rFonts w:ascii="Times New Roman" w:hAnsi="Times New Roman" w:eastAsia="宋体"/>
                <w:b w:val="0"/>
                <w:i w:val="0"/>
                <w:sz w:val="21"/>
              </w:rPr>
              <w:t>付款与回款时间口径</w:t>
            </w:r>
          </w:p>
        </w:tc>
        <w:tc>
          <w:tcPr>
            <w:tcW w:type="dxa" w:w="3175"/>
          </w:tcPr>
          <w:p>
            <w:pPr>
              <w:spacing w:before="20" w:after="20" w:line="276" w:lineRule="auto"/>
              <w:ind w:firstLine="0"/>
            </w:pPr>
            <w:r/>
            <w:r>
              <w:rPr>
                <w:rFonts w:ascii="Times New Roman" w:hAnsi="Times New Roman" w:eastAsia="宋体"/>
                <w:b w:val="0"/>
                <w:i w:val="0"/>
                <w:sz w:val="21"/>
              </w:rPr>
              <w:t>统一付款与回款在驾驶舱与台账中的时间统计维度</w:t>
            </w:r>
          </w:p>
        </w:tc>
        <w:tc>
          <w:tcPr>
            <w:tcW w:type="dxa" w:w="4422"/>
          </w:tcPr>
          <w:p>
            <w:pPr>
              <w:spacing w:before="20" w:after="20" w:line="276" w:lineRule="auto"/>
              <w:ind w:firstLine="0"/>
            </w:pPr>
            <w:r/>
            <w:r>
              <w:rPr>
                <w:rFonts w:ascii="Times New Roman" w:hAnsi="Times New Roman" w:eastAsia="宋体"/>
                <w:b w:val="0"/>
                <w:i w:val="0"/>
                <w:sz w:val="21"/>
              </w:rPr>
              <w:t>付款与回款各提供 3 个时间口径：累计为历史上所有已付或已回总额且不区分年份，当年为本年内发生数，本月为当前月份发生数；库存量等于入库总数减已出库数；资金占压表的两个 KPI 分别为上游供应商资金流水与下游采购商资金流水</w:t>
            </w:r>
          </w:p>
        </w:tc>
      </w:tr>
      <w:tr>
        <w:tc>
          <w:tcPr>
            <w:tcW w:type="dxa" w:w="1474"/>
          </w:tcPr>
          <w:p>
            <w:pPr>
              <w:spacing w:before="20" w:after="20" w:line="276" w:lineRule="auto"/>
              <w:ind w:firstLine="0"/>
            </w:pPr>
            <w:r/>
            <w:r>
              <w:rPr>
                <w:rFonts w:ascii="Times New Roman" w:hAnsi="Times New Roman" w:eastAsia="宋体"/>
                <w:b w:val="0"/>
                <w:i w:val="0"/>
                <w:sz w:val="21"/>
              </w:rPr>
              <w:t>风控统计报表</w:t>
            </w:r>
          </w:p>
        </w:tc>
        <w:tc>
          <w:tcPr>
            <w:tcW w:type="dxa" w:w="3175"/>
          </w:tcPr>
          <w:p>
            <w:pPr>
              <w:spacing w:before="20" w:after="20" w:line="276" w:lineRule="auto"/>
              <w:ind w:firstLine="0"/>
            </w:pPr>
            <w:r/>
            <w:r>
              <w:rPr>
                <w:rFonts w:ascii="Times New Roman" w:hAnsi="Times New Roman" w:eastAsia="宋体"/>
                <w:b w:val="0"/>
                <w:i w:val="0"/>
                <w:sz w:val="21"/>
              </w:rPr>
              <w:t>汇总风险类型、风险等级与处理状态并支持跳转处理</w:t>
            </w:r>
          </w:p>
        </w:tc>
        <w:tc>
          <w:tcPr>
            <w:tcW w:type="dxa" w:w="4422"/>
          </w:tcPr>
          <w:p>
            <w:pPr>
              <w:spacing w:before="20" w:after="20" w:line="276" w:lineRule="auto"/>
              <w:ind w:firstLine="0"/>
            </w:pPr>
            <w:r/>
            <w:r>
              <w:rPr>
                <w:rFonts w:ascii="Times New Roman" w:hAnsi="Times New Roman" w:eastAsia="宋体"/>
                <w:b w:val="0"/>
                <w:i w:val="0"/>
                <w:sz w:val="21"/>
              </w:rPr>
              <w:t>顶部 4 个筛选字段为风险类型、风险等级、处理状态与客户；表格共 9 列；操作列提供查看与处理两个动作，处理动作跳转风险处理页；风险未及时处理的数据以黄色逾期标记提示，风险逾期天数的判定阈值待业务方确认</w:t>
            </w:r>
          </w:p>
        </w:tc>
      </w:tr>
      <w:tr>
        <w:tc>
          <w:tcPr>
            <w:tcW w:type="dxa" w:w="1474"/>
          </w:tcPr>
          <w:p>
            <w:pPr>
              <w:spacing w:before="20" w:after="20" w:line="276" w:lineRule="auto"/>
              <w:ind w:firstLine="0"/>
            </w:pPr>
            <w:r/>
            <w:r>
              <w:rPr>
                <w:rFonts w:ascii="Times New Roman" w:hAnsi="Times New Roman" w:eastAsia="宋体"/>
                <w:b w:val="0"/>
                <w:i w:val="0"/>
                <w:sz w:val="21"/>
              </w:rPr>
              <w:t>合规验证报告</w:t>
            </w:r>
          </w:p>
        </w:tc>
        <w:tc>
          <w:tcPr>
            <w:tcW w:type="dxa" w:w="3175"/>
          </w:tcPr>
          <w:p>
            <w:pPr>
              <w:spacing w:before="20" w:after="20" w:line="276" w:lineRule="auto"/>
              <w:ind w:firstLine="0"/>
            </w:pPr>
            <w:r/>
            <w:r>
              <w:rPr>
                <w:rFonts w:ascii="Times New Roman" w:hAnsi="Times New Roman" w:eastAsia="宋体"/>
                <w:b w:val="0"/>
                <w:i w:val="0"/>
                <w:sz w:val="21"/>
              </w:rPr>
              <w:t>承载合规检查结论、风险扫描结果与整改跟踪</w:t>
            </w:r>
          </w:p>
        </w:tc>
        <w:tc>
          <w:tcPr>
            <w:tcW w:type="dxa" w:w="4422"/>
          </w:tcPr>
          <w:p>
            <w:pPr>
              <w:spacing w:before="20" w:after="20" w:line="276" w:lineRule="auto"/>
              <w:ind w:firstLine="0"/>
            </w:pPr>
            <w:r/>
            <w:r>
              <w:rPr>
                <w:rFonts w:ascii="Times New Roman" w:hAnsi="Times New Roman" w:eastAsia="宋体"/>
                <w:b w:val="0"/>
                <w:i w:val="0"/>
                <w:sz w:val="21"/>
              </w:rPr>
              <w:t>列表页提供编号、企业名称、运输方式、签订日期、交货起始日、业务类型与业务线回款共 7 项筛选，其中业务线回款为已回款与未回款互斥单选，表格共 11 列；详情页顶部 3 个 KPI 摘要为基础信息、合规状态与验证规则；详情页含业务线全景、8 类风险扫描、十不准及四流一致性校验的 25 项以上检查项，以及整改跟踪、实时活动与催办 3 个写操作区；合规状态为 3 档，通过、待补件、不通过</w:t>
            </w:r>
          </w:p>
        </w:tc>
      </w:tr>
      <w:tr>
        <w:tc>
          <w:tcPr>
            <w:tcW w:type="dxa" w:w="1474"/>
          </w:tcPr>
          <w:p>
            <w:pPr>
              <w:spacing w:before="20" w:after="20" w:line="276" w:lineRule="auto"/>
              <w:ind w:firstLine="0"/>
            </w:pPr>
            <w:r/>
            <w:r>
              <w:rPr>
                <w:rFonts w:ascii="Times New Roman" w:hAnsi="Times New Roman" w:eastAsia="宋体"/>
                <w:b w:val="0"/>
                <w:i w:val="0"/>
                <w:sz w:val="21"/>
              </w:rPr>
              <w:t>取数来源与刷新</w:t>
            </w:r>
          </w:p>
        </w:tc>
        <w:tc>
          <w:tcPr>
            <w:tcW w:type="dxa" w:w="3175"/>
          </w:tcPr>
          <w:p>
            <w:pPr>
              <w:spacing w:before="20" w:after="20" w:line="276" w:lineRule="auto"/>
              <w:ind w:firstLine="0"/>
            </w:pPr>
            <w:r/>
            <w:r>
              <w:rPr>
                <w:rFonts w:ascii="Times New Roman" w:hAnsi="Times New Roman" w:eastAsia="宋体"/>
                <w:b w:val="0"/>
                <w:i w:val="0"/>
                <w:sz w:val="21"/>
              </w:rPr>
              <w:t>由上游业务模块的业务动作触发对应报表更新</w:t>
            </w:r>
          </w:p>
        </w:tc>
        <w:tc>
          <w:tcPr>
            <w:tcW w:type="dxa" w:w="4422"/>
          </w:tcPr>
          <w:p>
            <w:pPr>
              <w:spacing w:before="20" w:after="20" w:line="276" w:lineRule="auto"/>
              <w:ind w:firstLine="0"/>
            </w:pPr>
            <w:r/>
            <w:r>
              <w:rPr>
                <w:rFonts w:ascii="Times New Roman" w:hAnsi="Times New Roman" w:eastAsia="宋体"/>
                <w:b w:val="0"/>
                <w:i w:val="0"/>
                <w:sz w:val="21"/>
              </w:rPr>
              <w:t>客户与项目准入完成后更新驾驶舱与业务报表；合同签订与履行后更新业务线台账表与资金占压表；业务线执行后更新业务线台账表与资金占压表；入库与出库后更新库存明细表；付款与回款完成后更新资金占压表与应收应付表；预警触发后更新风控统计报表；库存预警后更新风控统计报表与库存明细表；驾驶舱在数据变化后刷新，刷新频率与推送方式待业务方确认</w:t>
            </w:r>
          </w:p>
        </w:tc>
      </w:tr>
    </w:tbl>
    <w:p>
      <w:pPr>
        <w:spacing w:before="0" w:after="0" w:line="240" w:lineRule="auto"/>
      </w:pP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tblGrid>
      <w:tr>
        <w:trPr>
          <w:tblHeader w:val="true"/>
        </w:trPr>
        <w:tc>
          <w:tcPr>
            <w:tcW w:type="dxa" w:w="1247"/>
            <w:shd w:val="clear" w:color="auto" w:fill="DCE6F1"/>
          </w:tcPr>
          <w:p>
            <w:pPr>
              <w:spacing w:before="40" w:after="40" w:line="276" w:lineRule="auto"/>
              <w:jc w:val="center"/>
            </w:pPr>
            <w:r/>
            <w:r>
              <w:rPr>
                <w:rFonts w:ascii="Times New Roman" w:hAnsi="Times New Roman" w:eastAsia="黑体"/>
                <w:b/>
                <w:i w:val="0"/>
                <w:sz w:val="19"/>
              </w:rPr>
              <w:t>页面</w:t>
            </w:r>
          </w:p>
        </w:tc>
        <w:tc>
          <w:tcPr>
            <w:tcW w:type="dxa" w:w="1474"/>
            <w:shd w:val="clear" w:color="auto" w:fill="DCE6F1"/>
          </w:tcPr>
          <w:p>
            <w:pPr>
              <w:spacing w:before="40" w:after="40" w:line="276" w:lineRule="auto"/>
              <w:jc w:val="center"/>
            </w:pPr>
            <w:r/>
            <w:r>
              <w:rPr>
                <w:rFonts w:ascii="Times New Roman" w:hAnsi="Times New Roman" w:eastAsia="黑体"/>
                <w:b/>
                <w:i w:val="0"/>
                <w:sz w:val="19"/>
              </w:rPr>
              <w:t>文件</w:t>
            </w:r>
          </w:p>
        </w:tc>
        <w:tc>
          <w:tcPr>
            <w:tcW w:type="dxa" w:w="1134"/>
            <w:shd w:val="clear" w:color="auto" w:fill="DCE6F1"/>
          </w:tcPr>
          <w:p>
            <w:pPr>
              <w:spacing w:before="40" w:after="40" w:line="276" w:lineRule="auto"/>
              <w:jc w:val="center"/>
            </w:pPr>
            <w:r/>
            <w:r>
              <w:rPr>
                <w:rFonts w:ascii="Times New Roman" w:hAnsi="Times New Roman" w:eastAsia="黑体"/>
                <w:b/>
                <w:i w:val="0"/>
                <w:sz w:val="19"/>
              </w:rPr>
              <w:t>入口</w:t>
            </w:r>
          </w:p>
        </w:tc>
        <w:tc>
          <w:tcPr>
            <w:tcW w:type="dxa" w:w="2041"/>
            <w:shd w:val="clear" w:color="auto" w:fill="DCE6F1"/>
          </w:tcPr>
          <w:p>
            <w:pPr>
              <w:spacing w:before="40" w:after="40" w:line="276" w:lineRule="auto"/>
              <w:jc w:val="center"/>
            </w:pPr>
            <w:r/>
            <w:r>
              <w:rPr>
                <w:rFonts w:ascii="Times New Roman" w:hAnsi="Times New Roman" w:eastAsia="黑体"/>
                <w:b/>
                <w:i w:val="0"/>
                <w:sz w:val="19"/>
              </w:rPr>
              <w:t>主要区块</w:t>
            </w:r>
          </w:p>
        </w:tc>
        <w:tc>
          <w:tcPr>
            <w:tcW w:type="dxa" w:w="1701"/>
            <w:shd w:val="clear" w:color="auto" w:fill="DCE6F1"/>
          </w:tcPr>
          <w:p>
            <w:pPr>
              <w:spacing w:before="40" w:after="40" w:line="276" w:lineRule="auto"/>
              <w:jc w:val="center"/>
            </w:pPr>
            <w:r/>
            <w:r>
              <w:rPr>
                <w:rFonts w:ascii="Times New Roman" w:hAnsi="Times New Roman" w:eastAsia="黑体"/>
                <w:b/>
                <w:i w:val="0"/>
                <w:sz w:val="19"/>
              </w:rPr>
              <w:t>主要操作</w:t>
            </w:r>
          </w:p>
        </w:tc>
        <w:tc>
          <w:tcPr>
            <w:tcW w:type="dxa" w:w="1474"/>
            <w:shd w:val="clear" w:color="auto" w:fill="DCE6F1"/>
          </w:tcPr>
          <w:p>
            <w:pPr>
              <w:spacing w:before="40" w:after="40" w:line="276" w:lineRule="auto"/>
              <w:jc w:val="center"/>
            </w:pPr>
            <w:r/>
            <w:r>
              <w:rPr>
                <w:rFonts w:ascii="Times New Roman" w:hAnsi="Times New Roman" w:eastAsia="黑体"/>
                <w:b/>
                <w:i w:val="0"/>
                <w:sz w:val="19"/>
              </w:rPr>
              <w:t>跳转</w:t>
            </w:r>
          </w:p>
        </w:tc>
      </w:tr>
      <w:tr>
        <w:tc>
          <w:tcPr>
            <w:tcW w:type="dxa" w:w="1247"/>
          </w:tcPr>
          <w:p>
            <w:pPr>
              <w:spacing w:before="20" w:after="20" w:line="276" w:lineRule="auto"/>
              <w:ind w:firstLine="0"/>
            </w:pPr>
            <w:r/>
            <w:r>
              <w:rPr>
                <w:rFonts w:ascii="Times New Roman" w:hAnsi="Times New Roman" w:eastAsia="宋体"/>
                <w:b w:val="0"/>
                <w:i w:val="0"/>
                <w:sz w:val="19"/>
              </w:rPr>
              <w:t>驾驶舱</w:t>
            </w:r>
          </w:p>
        </w:tc>
        <w:tc>
          <w:tcPr>
            <w:tcW w:type="dxa" w:w="1474"/>
          </w:tcPr>
          <w:p>
            <w:pPr>
              <w:spacing w:before="20" w:after="20" w:line="276" w:lineRule="auto"/>
              <w:ind w:firstLine="0"/>
            </w:pPr>
            <w:r/>
            <w:r>
              <w:rPr>
                <w:rFonts w:ascii="Times New Roman" w:hAnsi="Times New Roman" w:eastAsia="宋体"/>
                <w:b w:val="0"/>
                <w:i w:val="0"/>
                <w:sz w:val="19"/>
              </w:rPr>
              <w:t>cockpit.html</w:t>
            </w:r>
          </w:p>
        </w:tc>
        <w:tc>
          <w:tcPr>
            <w:tcW w:type="dxa" w:w="1134"/>
          </w:tcPr>
          <w:p>
            <w:pPr>
              <w:spacing w:before="20" w:after="20" w:line="276" w:lineRule="auto"/>
              <w:ind w:firstLine="0"/>
            </w:pPr>
            <w:r/>
            <w:r>
              <w:rPr>
                <w:rFonts w:ascii="Times New Roman" w:hAnsi="Times New Roman" w:eastAsia="宋体"/>
                <w:b w:val="0"/>
                <w:i w:val="0"/>
                <w:sz w:val="19"/>
              </w:rPr>
              <w:t>数据中心 / 驾驶舱</w:t>
            </w:r>
          </w:p>
        </w:tc>
        <w:tc>
          <w:tcPr>
            <w:tcW w:type="dxa" w:w="2041"/>
          </w:tcPr>
          <w:p>
            <w:pPr>
              <w:spacing w:before="20" w:after="20" w:line="276" w:lineRule="auto"/>
              <w:ind w:firstLine="0"/>
            </w:pPr>
            <w:r/>
            <w:r>
              <w:rPr>
                <w:rFonts w:ascii="Times New Roman" w:hAnsi="Times New Roman" w:eastAsia="宋体"/>
                <w:b w:val="0"/>
                <w:i w:val="0"/>
                <w:sz w:val="19"/>
              </w:rPr>
              <w:t>顶部 2 字段筛选（统计周期、业务类型）；5 大 KPI 卡片；4 张图表（近 30 日合同签订数量趋势折线图、业务类型分布饼图、业务线执行状态分布柱状图、最新 10 条预警表格）；底部 7 个快捷入口，分别指向 report-project.html、report-bizline.html、report-fund.html、report-inventory.html、report-ar-ap.html、report-risk.html、report-compliance.html</w:t>
            </w:r>
          </w:p>
        </w:tc>
        <w:tc>
          <w:tcPr>
            <w:tcW w:type="dxa" w:w="1701"/>
          </w:tcPr>
          <w:p>
            <w:pPr>
              <w:spacing w:before="20" w:after="20" w:line="276" w:lineRule="auto"/>
              <w:ind w:firstLine="0"/>
            </w:pPr>
            <w:r/>
            <w:r>
              <w:rPr>
                <w:rFonts w:ascii="Times New Roman" w:hAnsi="Times New Roman" w:eastAsia="宋体"/>
                <w:b w:val="0"/>
                <w:i w:val="0"/>
                <w:sz w:val="19"/>
              </w:rPr>
              <w:t>切换时间范围、刷新、数据导出；通过 7 个快捷入口进入项目台账表、业务线台账表、资金占压表、库存明细表、应收应付表、风控统计报表与合规验证报告列表</w:t>
            </w:r>
          </w:p>
        </w:tc>
        <w:tc>
          <w:tcPr>
            <w:tcW w:type="dxa" w:w="1474"/>
          </w:tcPr>
          <w:p>
            <w:pPr>
              <w:spacing w:before="20" w:after="20" w:line="276" w:lineRule="auto"/>
              <w:ind w:firstLine="0"/>
            </w:pPr>
            <w:r/>
            <w:r>
              <w:rPr>
                <w:rFonts w:ascii="Times New Roman" w:hAnsi="Times New Roman" w:eastAsia="宋体"/>
                <w:b w:val="0"/>
                <w:i w:val="0"/>
                <w:sz w:val="19"/>
              </w:rPr>
              <w:t>快捷入口分别跳转 7 张报表页与合规验证报告列表 report-compliance.html；合规报告详情 report-compliance-detail.html 由合规验证报告列表进入</w:t>
            </w:r>
          </w:p>
        </w:tc>
      </w:tr>
      <w:tr>
        <w:tc>
          <w:tcPr>
            <w:tcW w:type="dxa" w:w="1247"/>
          </w:tcPr>
          <w:p>
            <w:pPr>
              <w:spacing w:before="20" w:after="20" w:line="276" w:lineRule="auto"/>
              <w:ind w:firstLine="0"/>
            </w:pPr>
            <w:r/>
            <w:r>
              <w:rPr>
                <w:rFonts w:ascii="Times New Roman" w:hAnsi="Times New Roman" w:eastAsia="宋体"/>
                <w:b w:val="0"/>
                <w:i w:val="0"/>
                <w:sz w:val="19"/>
              </w:rPr>
              <w:t>项目台账表</w:t>
            </w:r>
          </w:p>
        </w:tc>
        <w:tc>
          <w:tcPr>
            <w:tcW w:type="dxa" w:w="1474"/>
          </w:tcPr>
          <w:p>
            <w:pPr>
              <w:spacing w:before="20" w:after="20" w:line="276" w:lineRule="auto"/>
              <w:ind w:firstLine="0"/>
            </w:pPr>
            <w:r/>
            <w:r>
              <w:rPr>
                <w:rFonts w:ascii="Times New Roman" w:hAnsi="Times New Roman" w:eastAsia="宋体"/>
                <w:b w:val="0"/>
                <w:i w:val="0"/>
                <w:sz w:val="19"/>
              </w:rPr>
              <w:t>report-project.html</w:t>
            </w:r>
          </w:p>
        </w:tc>
        <w:tc>
          <w:tcPr>
            <w:tcW w:type="dxa" w:w="1134"/>
          </w:tcPr>
          <w:p>
            <w:pPr>
              <w:spacing w:before="20" w:after="20" w:line="276" w:lineRule="auto"/>
              <w:ind w:firstLine="0"/>
            </w:pPr>
            <w:r/>
            <w:r>
              <w:rPr>
                <w:rFonts w:ascii="Times New Roman" w:hAnsi="Times New Roman" w:eastAsia="宋体"/>
                <w:b w:val="0"/>
                <w:i w:val="0"/>
                <w:sz w:val="19"/>
              </w:rPr>
              <w:t>数据中心 / 业务报表 / 项目台账表</w:t>
            </w:r>
          </w:p>
        </w:tc>
        <w:tc>
          <w:tcPr>
            <w:tcW w:type="dxa" w:w="2041"/>
          </w:tcPr>
          <w:p>
            <w:pPr>
              <w:spacing w:before="20" w:after="20" w:line="276" w:lineRule="auto"/>
              <w:ind w:firstLine="0"/>
            </w:pPr>
            <w:r/>
            <w:r>
              <w:rPr>
                <w:rFonts w:ascii="Times New Roman" w:hAnsi="Times New Roman" w:eastAsia="宋体"/>
                <w:b w:val="0"/>
                <w:i w:val="0"/>
                <w:sz w:val="19"/>
              </w:rPr>
              <w:t>顶部 4 字段筛选（项目类型、项目状态、客户名称、立项时间）；9 列台账表格；分页</w:t>
            </w:r>
          </w:p>
        </w:tc>
        <w:tc>
          <w:tcPr>
            <w:tcW w:type="dxa" w:w="1701"/>
          </w:tcPr>
          <w:p>
            <w:pPr>
              <w:spacing w:before="20" w:after="20" w:line="276" w:lineRule="auto"/>
              <w:ind w:firstLine="0"/>
            </w:pPr>
            <w:r/>
            <w:r>
              <w:rPr>
                <w:rFonts w:ascii="Times New Roman" w:hAnsi="Times New Roman" w:eastAsia="宋体"/>
                <w:b w:val="0"/>
                <w:i w:val="0"/>
                <w:sz w:val="19"/>
              </w:rPr>
              <w:t>编号蓝字跳转对应详情页、操作列查看、数据导出</w:t>
            </w:r>
          </w:p>
        </w:tc>
        <w:tc>
          <w:tcPr>
            <w:tcW w:type="dxa" w:w="1474"/>
          </w:tcPr>
          <w:p>
            <w:pPr>
              <w:spacing w:before="20" w:after="20" w:line="276" w:lineRule="auto"/>
              <w:ind w:firstLine="0"/>
            </w:pPr>
            <w:r/>
            <w:r>
              <w:rPr>
                <w:rFonts w:ascii="Times New Roman" w:hAnsi="Times New Roman" w:eastAsia="宋体"/>
                <w:b w:val="0"/>
                <w:i w:val="0"/>
                <w:sz w:val="19"/>
              </w:rPr>
              <w:t>编号蓝字与操作列查看均跳转到对应项目详情页</w:t>
            </w:r>
          </w:p>
        </w:tc>
      </w:tr>
      <w:tr>
        <w:tc>
          <w:tcPr>
            <w:tcW w:type="dxa" w:w="1247"/>
          </w:tcPr>
          <w:p>
            <w:pPr>
              <w:spacing w:before="20" w:after="20" w:line="276" w:lineRule="auto"/>
              <w:ind w:firstLine="0"/>
            </w:pPr>
            <w:r/>
            <w:r>
              <w:rPr>
                <w:rFonts w:ascii="Times New Roman" w:hAnsi="Times New Roman" w:eastAsia="宋体"/>
                <w:b w:val="0"/>
                <w:i w:val="0"/>
                <w:sz w:val="19"/>
              </w:rPr>
              <w:t>业务线台账表</w:t>
            </w:r>
          </w:p>
        </w:tc>
        <w:tc>
          <w:tcPr>
            <w:tcW w:type="dxa" w:w="1474"/>
          </w:tcPr>
          <w:p>
            <w:pPr>
              <w:spacing w:before="20" w:after="20" w:line="276" w:lineRule="auto"/>
              <w:ind w:firstLine="0"/>
            </w:pPr>
            <w:r/>
            <w:r>
              <w:rPr>
                <w:rFonts w:ascii="Times New Roman" w:hAnsi="Times New Roman" w:eastAsia="宋体"/>
                <w:b w:val="0"/>
                <w:i w:val="0"/>
                <w:sz w:val="19"/>
              </w:rPr>
              <w:t>report-bizline.html</w:t>
            </w:r>
          </w:p>
        </w:tc>
        <w:tc>
          <w:tcPr>
            <w:tcW w:type="dxa" w:w="1134"/>
          </w:tcPr>
          <w:p>
            <w:pPr>
              <w:spacing w:before="20" w:after="20" w:line="276" w:lineRule="auto"/>
              <w:ind w:firstLine="0"/>
            </w:pPr>
            <w:r/>
            <w:r>
              <w:rPr>
                <w:rFonts w:ascii="Times New Roman" w:hAnsi="Times New Roman" w:eastAsia="宋体"/>
                <w:b w:val="0"/>
                <w:i w:val="0"/>
                <w:sz w:val="19"/>
              </w:rPr>
              <w:t>数据中心 / 业务报表 / 业务线台账表</w:t>
            </w:r>
          </w:p>
        </w:tc>
        <w:tc>
          <w:tcPr>
            <w:tcW w:type="dxa" w:w="2041"/>
          </w:tcPr>
          <w:p>
            <w:pPr>
              <w:spacing w:before="20" w:after="20" w:line="276" w:lineRule="auto"/>
              <w:ind w:firstLine="0"/>
            </w:pPr>
            <w:r/>
            <w:r>
              <w:rPr>
                <w:rFonts w:ascii="Times New Roman" w:hAnsi="Times New Roman" w:eastAsia="宋体"/>
                <w:b w:val="0"/>
                <w:i w:val="0"/>
                <w:sz w:val="19"/>
              </w:rPr>
              <w:t>顶部 4 字段筛选（业务类型、业务状态、上游企业、下游企业）；17 列台账表格，含上游货转与下游货转列及向上游支付、下游合同回款、下游业务回款、上游结算与下游结算的数量与金额列；分页</w:t>
            </w:r>
          </w:p>
        </w:tc>
        <w:tc>
          <w:tcPr>
            <w:tcW w:type="dxa" w:w="1701"/>
          </w:tcPr>
          <w:p>
            <w:pPr>
              <w:spacing w:before="20" w:after="20" w:line="276" w:lineRule="auto"/>
              <w:ind w:firstLine="0"/>
            </w:pPr>
            <w:r/>
            <w:r>
              <w:rPr>
                <w:rFonts w:ascii="Times New Roman" w:hAnsi="Times New Roman" w:eastAsia="宋体"/>
                <w:b w:val="0"/>
                <w:i w:val="0"/>
                <w:sz w:val="19"/>
              </w:rPr>
              <w:t>编号蓝字跳转对应详情页、操作列查看、数据导出</w:t>
            </w:r>
          </w:p>
        </w:tc>
        <w:tc>
          <w:tcPr>
            <w:tcW w:type="dxa" w:w="1474"/>
          </w:tcPr>
          <w:p>
            <w:pPr>
              <w:spacing w:before="20" w:after="20" w:line="276" w:lineRule="auto"/>
              <w:ind w:firstLine="0"/>
            </w:pPr>
            <w:r/>
            <w:r>
              <w:rPr>
                <w:rFonts w:ascii="Times New Roman" w:hAnsi="Times New Roman" w:eastAsia="宋体"/>
                <w:b w:val="0"/>
                <w:i w:val="0"/>
                <w:sz w:val="19"/>
              </w:rPr>
              <w:t>编号蓝字与操作列查看均跳转到对应业务线详情页</w:t>
            </w:r>
          </w:p>
        </w:tc>
      </w:tr>
      <w:tr>
        <w:tc>
          <w:tcPr>
            <w:tcW w:type="dxa" w:w="1247"/>
          </w:tcPr>
          <w:p>
            <w:pPr>
              <w:spacing w:before="20" w:after="20" w:line="276" w:lineRule="auto"/>
              <w:ind w:firstLine="0"/>
            </w:pPr>
            <w:r/>
            <w:r>
              <w:rPr>
                <w:rFonts w:ascii="Times New Roman" w:hAnsi="Times New Roman" w:eastAsia="宋体"/>
                <w:b w:val="0"/>
                <w:i w:val="0"/>
                <w:sz w:val="19"/>
              </w:rPr>
              <w:t>资金占压表</w:t>
            </w:r>
          </w:p>
        </w:tc>
        <w:tc>
          <w:tcPr>
            <w:tcW w:type="dxa" w:w="1474"/>
          </w:tcPr>
          <w:p>
            <w:pPr>
              <w:spacing w:before="20" w:after="20" w:line="276" w:lineRule="auto"/>
              <w:ind w:firstLine="0"/>
            </w:pPr>
            <w:r/>
            <w:r>
              <w:rPr>
                <w:rFonts w:ascii="Times New Roman" w:hAnsi="Times New Roman" w:eastAsia="宋体"/>
                <w:b w:val="0"/>
                <w:i w:val="0"/>
                <w:sz w:val="19"/>
              </w:rPr>
              <w:t>report-fund.html</w:t>
            </w:r>
          </w:p>
        </w:tc>
        <w:tc>
          <w:tcPr>
            <w:tcW w:type="dxa" w:w="1134"/>
          </w:tcPr>
          <w:p>
            <w:pPr>
              <w:spacing w:before="20" w:after="20" w:line="276" w:lineRule="auto"/>
              <w:ind w:firstLine="0"/>
            </w:pPr>
            <w:r/>
            <w:r>
              <w:rPr>
                <w:rFonts w:ascii="Times New Roman" w:hAnsi="Times New Roman" w:eastAsia="宋体"/>
                <w:b w:val="0"/>
                <w:i w:val="0"/>
                <w:sz w:val="19"/>
              </w:rPr>
              <w:t>数据中心 / 业务报表 / 资金占压表</w:t>
            </w:r>
          </w:p>
        </w:tc>
        <w:tc>
          <w:tcPr>
            <w:tcW w:type="dxa" w:w="2041"/>
          </w:tcPr>
          <w:p>
            <w:pPr>
              <w:spacing w:before="20" w:after="20" w:line="276" w:lineRule="auto"/>
              <w:ind w:firstLine="0"/>
            </w:pPr>
            <w:r/>
            <w:r>
              <w:rPr>
                <w:rFonts w:ascii="Times New Roman" w:hAnsi="Times New Roman" w:eastAsia="宋体"/>
                <w:b w:val="0"/>
                <w:i w:val="0"/>
                <w:sz w:val="19"/>
              </w:rPr>
              <w:t>顶部 2 个 KPI（上游供应商资金流水、下游采购商资金流水）；分组表共 16 列，按业务线信息 7 列、上游款项 4 列、下游款项 4 列、资金占压 1 列分组展示；分页</w:t>
            </w:r>
          </w:p>
        </w:tc>
        <w:tc>
          <w:tcPr>
            <w:tcW w:type="dxa" w:w="1701"/>
          </w:tcPr>
          <w:p>
            <w:pPr>
              <w:spacing w:before="20" w:after="20" w:line="276" w:lineRule="auto"/>
              <w:ind w:firstLine="0"/>
            </w:pPr>
            <w:r/>
            <w:r>
              <w:rPr>
                <w:rFonts w:ascii="Times New Roman" w:hAnsi="Times New Roman" w:eastAsia="宋体"/>
                <w:b w:val="0"/>
                <w:i w:val="0"/>
                <w:sz w:val="19"/>
              </w:rPr>
              <w:t>编号蓝字跳转对应详情页、操作列查看、数据导出</w:t>
            </w:r>
          </w:p>
        </w:tc>
        <w:tc>
          <w:tcPr>
            <w:tcW w:type="dxa" w:w="1474"/>
          </w:tcPr>
          <w:p>
            <w:pPr>
              <w:spacing w:before="20" w:after="20" w:line="276" w:lineRule="auto"/>
              <w:ind w:firstLine="0"/>
            </w:pPr>
            <w:r/>
            <w:r>
              <w:rPr>
                <w:rFonts w:ascii="Times New Roman" w:hAnsi="Times New Roman" w:eastAsia="宋体"/>
                <w:b w:val="0"/>
                <w:i w:val="0"/>
                <w:sz w:val="19"/>
              </w:rPr>
              <w:t>编号蓝字与操作列查看均跳转到对应业务线详情页</w:t>
            </w:r>
          </w:p>
        </w:tc>
      </w:tr>
      <w:tr>
        <w:tc>
          <w:tcPr>
            <w:tcW w:type="dxa" w:w="1247"/>
          </w:tcPr>
          <w:p>
            <w:pPr>
              <w:spacing w:before="20" w:after="20" w:line="276" w:lineRule="auto"/>
              <w:ind w:firstLine="0"/>
            </w:pPr>
            <w:r/>
            <w:r>
              <w:rPr>
                <w:rFonts w:ascii="Times New Roman" w:hAnsi="Times New Roman" w:eastAsia="宋体"/>
                <w:b w:val="0"/>
                <w:i w:val="0"/>
                <w:sz w:val="19"/>
              </w:rPr>
              <w:t>库存明细表</w:t>
            </w:r>
          </w:p>
        </w:tc>
        <w:tc>
          <w:tcPr>
            <w:tcW w:type="dxa" w:w="1474"/>
          </w:tcPr>
          <w:p>
            <w:pPr>
              <w:spacing w:before="20" w:after="20" w:line="276" w:lineRule="auto"/>
              <w:ind w:firstLine="0"/>
            </w:pPr>
            <w:r/>
            <w:r>
              <w:rPr>
                <w:rFonts w:ascii="Times New Roman" w:hAnsi="Times New Roman" w:eastAsia="宋体"/>
                <w:b w:val="0"/>
                <w:i w:val="0"/>
                <w:sz w:val="19"/>
              </w:rPr>
              <w:t>report-inventory.html</w:t>
            </w:r>
          </w:p>
        </w:tc>
        <w:tc>
          <w:tcPr>
            <w:tcW w:type="dxa" w:w="1134"/>
          </w:tcPr>
          <w:p>
            <w:pPr>
              <w:spacing w:before="20" w:after="20" w:line="276" w:lineRule="auto"/>
              <w:ind w:firstLine="0"/>
            </w:pPr>
            <w:r/>
            <w:r>
              <w:rPr>
                <w:rFonts w:ascii="Times New Roman" w:hAnsi="Times New Roman" w:eastAsia="宋体"/>
                <w:b w:val="0"/>
                <w:i w:val="0"/>
                <w:sz w:val="19"/>
              </w:rPr>
              <w:t>数据中心 / 业务报表 / 库存明细表</w:t>
            </w:r>
          </w:p>
        </w:tc>
        <w:tc>
          <w:tcPr>
            <w:tcW w:type="dxa" w:w="2041"/>
          </w:tcPr>
          <w:p>
            <w:pPr>
              <w:spacing w:before="20" w:after="20" w:line="276" w:lineRule="auto"/>
              <w:ind w:firstLine="0"/>
            </w:pPr>
            <w:r/>
            <w:r>
              <w:rPr>
                <w:rFonts w:ascii="Times New Roman" w:hAnsi="Times New Roman" w:eastAsia="宋体"/>
                <w:b w:val="0"/>
                <w:i w:val="0"/>
                <w:sz w:val="19"/>
              </w:rPr>
              <w:t>按组组织的 KPI，每组 4 个；18 列台账表格，含仓库名称、库存数量、库存重量、预占库存数量、预占库存重量；分页</w:t>
            </w:r>
          </w:p>
        </w:tc>
        <w:tc>
          <w:tcPr>
            <w:tcW w:type="dxa" w:w="1701"/>
          </w:tcPr>
          <w:p>
            <w:pPr>
              <w:spacing w:before="20" w:after="20" w:line="276" w:lineRule="auto"/>
              <w:ind w:firstLine="0"/>
            </w:pPr>
            <w:r/>
            <w:r>
              <w:rPr>
                <w:rFonts w:ascii="Times New Roman" w:hAnsi="Times New Roman" w:eastAsia="宋体"/>
                <w:b w:val="0"/>
                <w:i w:val="0"/>
                <w:sz w:val="19"/>
              </w:rPr>
              <w:t>编号蓝字跳转对应详情页、操作列查看、数据导出</w:t>
            </w:r>
          </w:p>
        </w:tc>
        <w:tc>
          <w:tcPr>
            <w:tcW w:type="dxa" w:w="1474"/>
          </w:tcPr>
          <w:p>
            <w:pPr>
              <w:spacing w:before="20" w:after="20" w:line="276" w:lineRule="auto"/>
              <w:ind w:firstLine="0"/>
            </w:pPr>
            <w:r/>
            <w:r>
              <w:rPr>
                <w:rFonts w:ascii="Times New Roman" w:hAnsi="Times New Roman" w:eastAsia="宋体"/>
                <w:b w:val="0"/>
                <w:i w:val="0"/>
                <w:sz w:val="19"/>
              </w:rPr>
              <w:t>编号蓝字与操作列查看均跳转到对应业务单据详情页</w:t>
            </w:r>
          </w:p>
        </w:tc>
      </w:tr>
      <w:tr>
        <w:tc>
          <w:tcPr>
            <w:tcW w:type="dxa" w:w="1247"/>
          </w:tcPr>
          <w:p>
            <w:pPr>
              <w:spacing w:before="20" w:after="20" w:line="276" w:lineRule="auto"/>
              <w:ind w:firstLine="0"/>
            </w:pPr>
            <w:r/>
            <w:r>
              <w:rPr>
                <w:rFonts w:ascii="Times New Roman" w:hAnsi="Times New Roman" w:eastAsia="宋体"/>
                <w:b w:val="0"/>
                <w:i w:val="0"/>
                <w:sz w:val="19"/>
              </w:rPr>
              <w:t>应收应付表</w:t>
            </w:r>
          </w:p>
        </w:tc>
        <w:tc>
          <w:tcPr>
            <w:tcW w:type="dxa" w:w="1474"/>
          </w:tcPr>
          <w:p>
            <w:pPr>
              <w:spacing w:before="20" w:after="20" w:line="276" w:lineRule="auto"/>
              <w:ind w:firstLine="0"/>
            </w:pPr>
            <w:r/>
            <w:r>
              <w:rPr>
                <w:rFonts w:ascii="Times New Roman" w:hAnsi="Times New Roman" w:eastAsia="宋体"/>
                <w:b w:val="0"/>
                <w:i w:val="0"/>
                <w:sz w:val="19"/>
              </w:rPr>
              <w:t>report-ar-ap.html</w:t>
            </w:r>
          </w:p>
        </w:tc>
        <w:tc>
          <w:tcPr>
            <w:tcW w:type="dxa" w:w="1134"/>
          </w:tcPr>
          <w:p>
            <w:pPr>
              <w:spacing w:before="20" w:after="20" w:line="276" w:lineRule="auto"/>
              <w:ind w:firstLine="0"/>
            </w:pPr>
            <w:r/>
            <w:r>
              <w:rPr>
                <w:rFonts w:ascii="Times New Roman" w:hAnsi="Times New Roman" w:eastAsia="宋体"/>
                <w:b w:val="0"/>
                <w:i w:val="0"/>
                <w:sz w:val="19"/>
              </w:rPr>
              <w:t>数据中心 / 业务报表 / 应收应付表</w:t>
            </w:r>
          </w:p>
        </w:tc>
        <w:tc>
          <w:tcPr>
            <w:tcW w:type="dxa" w:w="2041"/>
          </w:tcPr>
          <w:p>
            <w:pPr>
              <w:spacing w:before="20" w:after="20" w:line="276" w:lineRule="auto"/>
              <w:ind w:firstLine="0"/>
            </w:pPr>
            <w:r/>
            <w:r>
              <w:rPr>
                <w:rFonts w:ascii="Times New Roman" w:hAnsi="Times New Roman" w:eastAsia="宋体"/>
                <w:b w:val="0"/>
                <w:i w:val="0"/>
                <w:sz w:val="19"/>
              </w:rPr>
              <w:t>顶部 4 个 KPI 卡片（应付总额、应收总额、库存资金占压、净占压金额）；6 字段筛选（业务线号、采购合同编号、上下游客户、进项发票状态、销项发票状态、资金占压）；13 列表格按业务线信息 3 列、上游 4 列、下游 4 列、资金占压 2 列分组展示，并以业务线维度加上下游客户双行方式呈现；分页</w:t>
            </w:r>
          </w:p>
        </w:tc>
        <w:tc>
          <w:tcPr>
            <w:tcW w:type="dxa" w:w="1701"/>
          </w:tcPr>
          <w:p>
            <w:pPr>
              <w:spacing w:before="20" w:after="20" w:line="276" w:lineRule="auto"/>
              <w:ind w:firstLine="0"/>
            </w:pPr>
            <w:r/>
            <w:r>
              <w:rPr>
                <w:rFonts w:ascii="Times New Roman" w:hAnsi="Times New Roman" w:eastAsia="宋体"/>
                <w:b w:val="0"/>
                <w:i w:val="0"/>
                <w:sz w:val="19"/>
              </w:rPr>
              <w:t>编号蓝字跳转对应详情页、操作列查看、数据导出</w:t>
            </w:r>
          </w:p>
        </w:tc>
        <w:tc>
          <w:tcPr>
            <w:tcW w:type="dxa" w:w="1474"/>
          </w:tcPr>
          <w:p>
            <w:pPr>
              <w:spacing w:before="20" w:after="20" w:line="276" w:lineRule="auto"/>
              <w:ind w:firstLine="0"/>
            </w:pPr>
            <w:r/>
            <w:r>
              <w:rPr>
                <w:rFonts w:ascii="Times New Roman" w:hAnsi="Times New Roman" w:eastAsia="宋体"/>
                <w:b w:val="0"/>
                <w:i w:val="0"/>
                <w:sz w:val="19"/>
              </w:rPr>
              <w:t>编号蓝字与操作列查看均跳转到对应合同或业务线详情页</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4.29.5　数据关系</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474"/>
            <w:shd w:val="clear" w:color="auto" w:fill="DCE6F1"/>
          </w:tcPr>
          <w:p>
            <w:pPr>
              <w:spacing w:before="40" w:after="40" w:line="276" w:lineRule="auto"/>
              <w:jc w:val="center"/>
            </w:pPr>
            <w:r/>
            <w:r>
              <w:rPr>
                <w:rFonts w:ascii="Times New Roman" w:hAnsi="Times New Roman" w:eastAsia="黑体"/>
                <w:b/>
                <w:i w:val="0"/>
                <w:sz w:val="21"/>
              </w:rPr>
              <w:t>业务对象</w:t>
            </w:r>
          </w:p>
        </w:tc>
        <w:tc>
          <w:tcPr>
            <w:tcW w:type="dxa" w:w="4195"/>
            <w:shd w:val="clear" w:color="auto" w:fill="DCE6F1"/>
          </w:tcPr>
          <w:p>
            <w:pPr>
              <w:spacing w:before="40" w:after="40" w:line="276" w:lineRule="auto"/>
              <w:jc w:val="center"/>
            </w:pPr>
            <w:r/>
            <w:r>
              <w:rPr>
                <w:rFonts w:ascii="Times New Roman" w:hAnsi="Times New Roman" w:eastAsia="黑体"/>
                <w:b/>
                <w:i w:val="0"/>
                <w:sz w:val="21"/>
              </w:rPr>
              <w:t>关键字段与口径</w:t>
            </w:r>
          </w:p>
        </w:tc>
        <w:tc>
          <w:tcPr>
            <w:tcW w:type="dxa" w:w="3402"/>
            <w:shd w:val="clear" w:color="auto" w:fill="DCE6F1"/>
          </w:tcPr>
          <w:p>
            <w:pPr>
              <w:spacing w:before="40" w:after="40" w:line="276" w:lineRule="auto"/>
              <w:jc w:val="center"/>
            </w:pPr>
            <w:r/>
            <w:r>
              <w:rPr>
                <w:rFonts w:ascii="Times New Roman" w:hAnsi="Times New Roman" w:eastAsia="黑体"/>
                <w:b/>
                <w:i w:val="0"/>
                <w:sz w:val="21"/>
              </w:rPr>
              <w:t>与其他对象的关系</w:t>
            </w:r>
          </w:p>
        </w:tc>
      </w:tr>
      <w:tr>
        <w:tc>
          <w:tcPr>
            <w:tcW w:type="dxa" w:w="1474"/>
          </w:tcPr>
          <w:p>
            <w:pPr>
              <w:spacing w:before="20" w:after="20" w:line="276" w:lineRule="auto"/>
              <w:ind w:firstLine="0"/>
            </w:pPr>
            <w:r/>
            <w:r>
              <w:rPr>
                <w:rFonts w:ascii="Times New Roman" w:hAnsi="Times New Roman" w:eastAsia="宋体"/>
                <w:b w:val="0"/>
                <w:i w:val="0"/>
                <w:sz w:val="21"/>
              </w:rPr>
              <w:t>驾驶舱指标</w:t>
            </w:r>
          </w:p>
        </w:tc>
        <w:tc>
          <w:tcPr>
            <w:tcW w:type="dxa" w:w="4195"/>
          </w:tcPr>
          <w:p>
            <w:pPr>
              <w:spacing w:before="20" w:after="20" w:line="276" w:lineRule="auto"/>
              <w:ind w:firstLine="0"/>
            </w:pPr>
            <w:r/>
            <w:r>
              <w:rPr>
                <w:rFonts w:ascii="Times New Roman" w:hAnsi="Times New Roman" w:eastAsia="宋体"/>
                <w:b w:val="0"/>
                <w:i w:val="0"/>
                <w:sz w:val="21"/>
              </w:rPr>
              <w:t>统计周期：顶部筛选字段之一</w:t>
            </w:r>
            <w:r>
              <w:br/>
            </w:r>
            <w:r>
              <w:rPr>
                <w:rFonts w:ascii="Times New Roman" w:hAnsi="Times New Roman" w:eastAsia="宋体"/>
                <w:b w:val="0"/>
                <w:i w:val="0"/>
                <w:sz w:val="21"/>
              </w:rPr>
              <w:t>业务类型：顶部筛选字段之一</w:t>
            </w:r>
            <w:r>
              <w:br/>
            </w:r>
            <w:r>
              <w:rPr>
                <w:rFonts w:ascii="Times New Roman" w:hAnsi="Times New Roman" w:eastAsia="宋体"/>
                <w:b w:val="0"/>
                <w:i w:val="0"/>
                <w:sz w:val="21"/>
              </w:rPr>
              <w:t>业务规模：状态不为作废的合同计数</w:t>
            </w:r>
            <w:r>
              <w:br/>
            </w:r>
            <w:r>
              <w:rPr>
                <w:rFonts w:ascii="Times New Roman" w:hAnsi="Times New Roman" w:eastAsia="宋体"/>
                <w:b w:val="0"/>
                <w:i w:val="0"/>
                <w:sz w:val="21"/>
              </w:rPr>
              <w:t>资金规模：合同金额求和</w:t>
            </w:r>
            <w:r>
              <w:br/>
            </w:r>
            <w:r>
              <w:rPr>
                <w:rFonts w:ascii="Times New Roman" w:hAnsi="Times New Roman" w:eastAsia="宋体"/>
                <w:b w:val="0"/>
                <w:i w:val="0"/>
                <w:sz w:val="21"/>
              </w:rPr>
              <w:t>风险敞口：敞口金额求和</w:t>
            </w:r>
            <w:r>
              <w:br/>
            </w:r>
            <w:r>
              <w:rPr>
                <w:rFonts w:ascii="Times New Roman" w:hAnsi="Times New Roman" w:eastAsia="宋体"/>
                <w:b w:val="0"/>
                <w:i w:val="0"/>
                <w:sz w:val="21"/>
              </w:rPr>
              <w:t>业务线状态：状态为执行中的业务线计数</w:t>
            </w:r>
            <w:r>
              <w:br/>
            </w:r>
            <w:r>
              <w:rPr>
                <w:rFonts w:ascii="Times New Roman" w:hAnsi="Times New Roman" w:eastAsia="宋体"/>
                <w:b w:val="0"/>
                <w:i w:val="0"/>
                <w:sz w:val="21"/>
              </w:rPr>
              <w:t>预警计数：状态为未处理的预警计数</w:t>
            </w:r>
          </w:p>
        </w:tc>
        <w:tc>
          <w:tcPr>
            <w:tcW w:type="dxa" w:w="3402"/>
          </w:tcPr>
          <w:p>
            <w:pPr>
              <w:spacing w:before="20" w:after="20" w:line="276" w:lineRule="auto"/>
              <w:ind w:firstLine="0"/>
            </w:pPr>
            <w:r/>
            <w:r>
              <w:rPr>
                <w:rFonts w:ascii="Times New Roman" w:hAnsi="Times New Roman" w:eastAsia="宋体"/>
                <w:b w:val="0"/>
                <w:i w:val="0"/>
                <w:sz w:val="21"/>
              </w:rPr>
              <w:t>由合同管理、业务线管理、资金管理与预警中心的数据派生；与 4 张图表共享同一组筛选条件</w:t>
            </w:r>
          </w:p>
        </w:tc>
      </w:tr>
      <w:tr>
        <w:tc>
          <w:tcPr>
            <w:tcW w:type="dxa" w:w="1474"/>
          </w:tcPr>
          <w:p>
            <w:pPr>
              <w:spacing w:before="20" w:after="20" w:line="276" w:lineRule="auto"/>
              <w:ind w:firstLine="0"/>
            </w:pPr>
            <w:r/>
            <w:r>
              <w:rPr>
                <w:rFonts w:ascii="Times New Roman" w:hAnsi="Times New Roman" w:eastAsia="宋体"/>
                <w:b w:val="0"/>
                <w:i w:val="0"/>
                <w:sz w:val="21"/>
              </w:rPr>
              <w:t>业务台账报表</w:t>
            </w:r>
          </w:p>
        </w:tc>
        <w:tc>
          <w:tcPr>
            <w:tcW w:type="dxa" w:w="4195"/>
          </w:tcPr>
          <w:p>
            <w:pPr>
              <w:spacing w:before="20" w:after="20" w:line="276" w:lineRule="auto"/>
              <w:ind w:firstLine="0"/>
            </w:pPr>
            <w:r/>
            <w:r>
              <w:rPr>
                <w:rFonts w:ascii="Times New Roman" w:hAnsi="Times New Roman" w:eastAsia="宋体"/>
                <w:b w:val="0"/>
                <w:i w:val="0"/>
                <w:sz w:val="21"/>
              </w:rPr>
              <w:t>项目台账表：9 列，筛选为项目类型、项目状态、客户名称、立项时间</w:t>
            </w:r>
            <w:r>
              <w:br/>
            </w:r>
            <w:r>
              <w:rPr>
                <w:rFonts w:ascii="Times New Roman" w:hAnsi="Times New Roman" w:eastAsia="宋体"/>
                <w:b w:val="0"/>
                <w:i w:val="0"/>
                <w:sz w:val="21"/>
              </w:rPr>
              <w:t>业务线台账表：17 列，筛选为业务类型、业务状态、上游企业、下游企业</w:t>
            </w:r>
            <w:r>
              <w:br/>
            </w:r>
            <w:r>
              <w:rPr>
                <w:rFonts w:ascii="Times New Roman" w:hAnsi="Times New Roman" w:eastAsia="宋体"/>
                <w:b w:val="0"/>
                <w:i w:val="0"/>
                <w:sz w:val="21"/>
              </w:rPr>
              <w:t>资金占压表：分组表共 16 列，业务线信息 7 列加上游款项 4 列加下游款项 4 列加资金占压 1 列，顶部 2 个 KPI</w:t>
            </w:r>
            <w:r>
              <w:br/>
            </w:r>
            <w:r>
              <w:rPr>
                <w:rFonts w:ascii="Times New Roman" w:hAnsi="Times New Roman" w:eastAsia="宋体"/>
                <w:b w:val="0"/>
                <w:i w:val="0"/>
                <w:sz w:val="21"/>
              </w:rPr>
              <w:t>库存明细表：18 列，按每组 4 个 KPI 组织</w:t>
            </w:r>
            <w:r>
              <w:br/>
            </w:r>
            <w:r>
              <w:rPr>
                <w:rFonts w:ascii="Times New Roman" w:hAnsi="Times New Roman" w:eastAsia="宋体"/>
                <w:b w:val="0"/>
                <w:i w:val="0"/>
                <w:sz w:val="21"/>
              </w:rPr>
              <w:t>应收应付表：13 列，筛选 6 字段，顶部 4 个 KPI 卡片</w:t>
            </w:r>
            <w:r>
              <w:br/>
            </w:r>
            <w:r>
              <w:rPr>
                <w:rFonts w:ascii="Times New Roman" w:hAnsi="Times New Roman" w:eastAsia="宋体"/>
                <w:b w:val="0"/>
                <w:i w:val="0"/>
                <w:sz w:val="21"/>
              </w:rPr>
              <w:t>风控统计报表：9 列，筛选为风险类型、风险等级、处理状态、客户</w:t>
            </w:r>
          </w:p>
        </w:tc>
        <w:tc>
          <w:tcPr>
            <w:tcW w:type="dxa" w:w="3402"/>
          </w:tcPr>
          <w:p>
            <w:pPr>
              <w:spacing w:before="20" w:after="20" w:line="276" w:lineRule="auto"/>
              <w:ind w:firstLine="0"/>
            </w:pPr>
            <w:r/>
            <w:r>
              <w:rPr>
                <w:rFonts w:ascii="Times New Roman" w:hAnsi="Times New Roman" w:eastAsia="宋体"/>
                <w:b w:val="0"/>
                <w:i w:val="0"/>
                <w:sz w:val="21"/>
              </w:rPr>
              <w:t>6 张报表同属业务报表子模块，共用统一的筛选、查看与导出交互；均无本模块内的写操作</w:t>
            </w:r>
          </w:p>
        </w:tc>
      </w:tr>
      <w:tr>
        <w:tc>
          <w:tcPr>
            <w:tcW w:type="dxa" w:w="1474"/>
          </w:tcPr>
          <w:p>
            <w:pPr>
              <w:spacing w:before="20" w:after="20" w:line="276" w:lineRule="auto"/>
              <w:ind w:firstLine="0"/>
            </w:pPr>
            <w:r/>
            <w:r>
              <w:rPr>
                <w:rFonts w:ascii="Times New Roman" w:hAnsi="Times New Roman" w:eastAsia="宋体"/>
                <w:b w:val="0"/>
                <w:i w:val="0"/>
                <w:sz w:val="21"/>
              </w:rPr>
              <w:t>合规验证报告</w:t>
            </w:r>
          </w:p>
        </w:tc>
        <w:tc>
          <w:tcPr>
            <w:tcW w:type="dxa" w:w="4195"/>
          </w:tcPr>
          <w:p>
            <w:pPr>
              <w:spacing w:before="20" w:after="20" w:line="276" w:lineRule="auto"/>
              <w:ind w:firstLine="0"/>
            </w:pPr>
            <w:r/>
            <w:r>
              <w:rPr>
                <w:rFonts w:ascii="Times New Roman" w:hAnsi="Times New Roman" w:eastAsia="宋体"/>
                <w:b w:val="0"/>
                <w:i w:val="0"/>
                <w:sz w:val="21"/>
              </w:rPr>
              <w:t>编号</w:t>
            </w:r>
            <w:r>
              <w:br/>
            </w:r>
            <w:r>
              <w:rPr>
                <w:rFonts w:ascii="Times New Roman" w:hAnsi="Times New Roman" w:eastAsia="宋体"/>
                <w:b w:val="0"/>
                <w:i w:val="0"/>
                <w:sz w:val="21"/>
              </w:rPr>
              <w:t>企业名称</w:t>
            </w:r>
            <w:r>
              <w:br/>
            </w:r>
            <w:r>
              <w:rPr>
                <w:rFonts w:ascii="Times New Roman" w:hAnsi="Times New Roman" w:eastAsia="宋体"/>
                <w:b w:val="0"/>
                <w:i w:val="0"/>
                <w:sz w:val="21"/>
              </w:rPr>
              <w:t>运输方式</w:t>
            </w:r>
            <w:r>
              <w:br/>
            </w:r>
            <w:r>
              <w:rPr>
                <w:rFonts w:ascii="Times New Roman" w:hAnsi="Times New Roman" w:eastAsia="宋体"/>
                <w:b w:val="0"/>
                <w:i w:val="0"/>
                <w:sz w:val="21"/>
              </w:rPr>
              <w:t>签订日期</w:t>
            </w:r>
            <w:r>
              <w:br/>
            </w:r>
            <w:r>
              <w:rPr>
                <w:rFonts w:ascii="Times New Roman" w:hAnsi="Times New Roman" w:eastAsia="宋体"/>
                <w:b w:val="0"/>
                <w:i w:val="0"/>
                <w:sz w:val="21"/>
              </w:rPr>
              <w:t>交货起始日</w:t>
            </w:r>
            <w:r>
              <w:br/>
            </w:r>
            <w:r>
              <w:rPr>
                <w:rFonts w:ascii="Times New Roman" w:hAnsi="Times New Roman" w:eastAsia="宋体"/>
                <w:b w:val="0"/>
                <w:i w:val="0"/>
                <w:sz w:val="21"/>
              </w:rPr>
              <w:t>业务类型</w:t>
            </w:r>
            <w:r>
              <w:br/>
            </w:r>
            <w:r>
              <w:rPr>
                <w:rFonts w:ascii="Times New Roman" w:hAnsi="Times New Roman" w:eastAsia="宋体"/>
                <w:b w:val="0"/>
                <w:i w:val="0"/>
                <w:sz w:val="21"/>
              </w:rPr>
              <w:t>业务线回款</w:t>
            </w:r>
            <w:r>
              <w:br/>
            </w:r>
            <w:r>
              <w:rPr>
                <w:rFonts w:ascii="Times New Roman" w:hAnsi="Times New Roman" w:eastAsia="宋体"/>
                <w:b w:val="0"/>
                <w:i w:val="0"/>
                <w:sz w:val="21"/>
              </w:rPr>
              <w:t>合规状态：通过、待补件、不通过三档</w:t>
            </w:r>
            <w:r>
              <w:br/>
            </w:r>
            <w:r>
              <w:rPr>
                <w:rFonts w:ascii="Times New Roman" w:hAnsi="Times New Roman" w:eastAsia="宋体"/>
                <w:b w:val="0"/>
                <w:i w:val="0"/>
                <w:sz w:val="21"/>
              </w:rPr>
              <w:t>基础信息、合规状态与验证规则 3 项 KPI 摘要</w:t>
            </w:r>
          </w:p>
        </w:tc>
        <w:tc>
          <w:tcPr>
            <w:tcW w:type="dxa" w:w="3402"/>
          </w:tcPr>
          <w:p>
            <w:pPr>
              <w:spacing w:before="20" w:after="20" w:line="276" w:lineRule="auto"/>
              <w:ind w:firstLine="0"/>
            </w:pPr>
            <w:r/>
            <w:r>
              <w:rPr>
                <w:rFonts w:ascii="Times New Roman" w:hAnsi="Times New Roman" w:eastAsia="宋体"/>
                <w:b w:val="0"/>
                <w:i w:val="0"/>
                <w:sz w:val="21"/>
              </w:rPr>
              <w:t>由合规验证报告列表进入详情；详情的 8 类风险扫描依赖外部工商与司法风险数据源；详情页承载整改跟踪、实时活动与催办三个写操作区</w:t>
            </w:r>
          </w:p>
        </w:tc>
      </w:tr>
      <w:tr>
        <w:tc>
          <w:tcPr>
            <w:tcW w:type="dxa" w:w="1474"/>
          </w:tcPr>
          <w:p>
            <w:pPr>
              <w:spacing w:before="20" w:after="20" w:line="276" w:lineRule="auto"/>
              <w:ind w:firstLine="0"/>
            </w:pPr>
            <w:r/>
            <w:r>
              <w:rPr>
                <w:rFonts w:ascii="Times New Roman" w:hAnsi="Times New Roman" w:eastAsia="宋体"/>
                <w:b w:val="0"/>
                <w:i w:val="0"/>
                <w:sz w:val="21"/>
              </w:rPr>
              <w:t>上游取数对象</w:t>
            </w:r>
          </w:p>
        </w:tc>
        <w:tc>
          <w:tcPr>
            <w:tcW w:type="dxa" w:w="4195"/>
          </w:tcPr>
          <w:p>
            <w:pPr>
              <w:spacing w:before="20" w:after="20" w:line="276" w:lineRule="auto"/>
              <w:ind w:firstLine="0"/>
            </w:pPr>
            <w:r/>
            <w:r>
              <w:rPr>
                <w:rFonts w:ascii="Times New Roman" w:hAnsi="Times New Roman" w:eastAsia="宋体"/>
                <w:b w:val="0"/>
                <w:i w:val="0"/>
                <w:sz w:val="21"/>
              </w:rPr>
              <w:t>合同：合同编号、合同金额、合同状态</w:t>
            </w:r>
            <w:r>
              <w:br/>
            </w:r>
            <w:r>
              <w:rPr>
                <w:rFonts w:ascii="Times New Roman" w:hAnsi="Times New Roman" w:eastAsia="宋体"/>
                <w:b w:val="0"/>
                <w:i w:val="0"/>
                <w:sz w:val="21"/>
              </w:rPr>
              <w:t>业务线：业务线编号、业务状态、上下游企业</w:t>
            </w:r>
            <w:r>
              <w:br/>
            </w:r>
            <w:r>
              <w:rPr>
                <w:rFonts w:ascii="Times New Roman" w:hAnsi="Times New Roman" w:eastAsia="宋体"/>
                <w:b w:val="0"/>
                <w:i w:val="0"/>
                <w:sz w:val="21"/>
              </w:rPr>
              <w:t>付款与回款：金额与发生时间，区分累计、当年、本月 3 个口径</w:t>
            </w:r>
            <w:r>
              <w:br/>
            </w:r>
            <w:r>
              <w:rPr>
                <w:rFonts w:ascii="Times New Roman" w:hAnsi="Times New Roman" w:eastAsia="宋体"/>
                <w:b w:val="0"/>
                <w:i w:val="0"/>
                <w:sz w:val="21"/>
              </w:rPr>
              <w:t>出入库记录：货物重量与出入库类型</w:t>
            </w:r>
            <w:r>
              <w:br/>
            </w:r>
            <w:r>
              <w:rPr>
                <w:rFonts w:ascii="Times New Roman" w:hAnsi="Times New Roman" w:eastAsia="宋体"/>
                <w:b w:val="0"/>
                <w:i w:val="0"/>
                <w:sz w:val="21"/>
              </w:rPr>
              <w:t>保证金池：敞口金额</w:t>
            </w:r>
            <w:r>
              <w:br/>
            </w:r>
            <w:r>
              <w:rPr>
                <w:rFonts w:ascii="Times New Roman" w:hAnsi="Times New Roman" w:eastAsia="宋体"/>
                <w:b w:val="0"/>
                <w:i w:val="0"/>
                <w:sz w:val="21"/>
              </w:rPr>
              <w:t>预警信号：状态与触发时间</w:t>
            </w:r>
          </w:p>
        </w:tc>
        <w:tc>
          <w:tcPr>
            <w:tcW w:type="dxa" w:w="3402"/>
          </w:tcPr>
          <w:p>
            <w:pPr>
              <w:spacing w:before="20" w:after="20" w:line="276" w:lineRule="auto"/>
              <w:ind w:firstLine="0"/>
            </w:pPr>
            <w:r/>
            <w:r>
              <w:rPr>
                <w:rFonts w:ascii="Times New Roman" w:hAnsi="Times New Roman" w:eastAsia="宋体"/>
                <w:b w:val="0"/>
                <w:i w:val="0"/>
                <w:sz w:val="21"/>
              </w:rPr>
              <w:t>各业务模块的业务动作触发对应报表更新；报表本身不向业务模块回写数据</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4.29.6　角色权限与数据权限</w:t>
      </w:r>
    </w:p>
    <w:p>
      <w:pPr>
        <w:spacing w:before="0" w:after="120" w:line="360" w:lineRule="auto"/>
      </w:pPr>
      <w:r>
        <w:rPr>
          <w:rFonts w:ascii="Times New Roman" w:hAnsi="Times New Roman" w:eastAsia="宋体"/>
          <w:b w:val="0"/>
          <w:i w:val="0"/>
          <w:sz w:val="24"/>
        </w:rPr>
        <w:t>本期为系统全量权限（业务方裁决 D17）；下表角色为典型使用角色，非权限分级。模块内存在明确的无权限表现：当前用户无报表权限时页面顶部显示红色提示条并提示联系管理员，不展示报表数据。除合规报告详情页的整改跟踪、实时活动与催办 3 个写操作区外，本模块为只读汇总模块，其余页面无写操作。报表页不提供打印入口。</w:t>
      </w:r>
    </w:p>
    <w:p>
      <w:pPr>
        <w:spacing w:before="0" w:after="80" w:line="360" w:lineRule="auto"/>
      </w:pPr>
      <w:r>
        <w:rPr>
          <w:rFonts w:ascii="Times New Roman" w:hAnsi="Times New Roman" w:eastAsia="宋体"/>
          <w:b w:val="0"/>
          <w:i w:val="0"/>
          <w:sz w:val="24"/>
        </w:rPr>
        <w:t>数据可见性：按单据归属与业务筛选查看；手机号、统一社会信用代码等敏感字段默认打码，手动点击查看完整值且查看行为留痕。</w:t>
      </w:r>
    </w:p>
    <w:p>
      <w:pPr>
        <w:pStyle w:val="Heading3"/>
        <w:keepNext/>
        <w:spacing w:before="160" w:after="80" w:line="312" w:lineRule="auto"/>
        <w:ind w:firstLine="0"/>
      </w:pPr>
      <w:r>
        <w:rPr>
          <w:rFonts w:ascii="Times New Roman" w:hAnsi="Times New Roman" w:eastAsia="黑体"/>
          <w:b/>
          <w:i w:val="0"/>
          <w:sz w:val="24"/>
        </w:rPr>
        <w:t>4.29.7　业务流程与页面</w:t>
      </w:r>
    </w:p>
    <w:p>
      <w:pPr>
        <w:spacing w:before="0" w:after="60" w:line="360" w:lineRule="auto"/>
      </w:pPr>
      <w:r>
        <w:rPr>
          <w:rFonts w:ascii="Times New Roman" w:hAnsi="Times New Roman" w:eastAsia="宋体"/>
          <w:b/>
          <w:i w:val="0"/>
          <w:sz w:val="24"/>
        </w:rPr>
        <w:t>主流程步骤：</w:t>
      </w:r>
    </w:p>
    <w:p>
      <w:pPr>
        <w:spacing w:before="0" w:after="60" w:line="336" w:lineRule="auto"/>
        <w:ind w:left="510" w:hanging="510"/>
      </w:pPr>
      <w:r>
        <w:rPr>
          <w:rFonts w:ascii="Times New Roman" w:hAnsi="Times New Roman" w:eastAsia="宋体"/>
          <w:b w:val="0"/>
          <w:i w:val="0"/>
          <w:sz w:val="24"/>
        </w:rPr>
        <w:t>1. 准入管理完成客户与项目准入，业务数据进入平台</w:t>
      </w:r>
    </w:p>
    <w:p>
      <w:pPr>
        <w:spacing w:before="0" w:after="60" w:line="336" w:lineRule="auto"/>
        <w:ind w:left="510" w:hanging="510"/>
      </w:pPr>
      <w:r>
        <w:rPr>
          <w:rFonts w:ascii="Times New Roman" w:hAnsi="Times New Roman" w:eastAsia="宋体"/>
          <w:b w:val="0"/>
          <w:i w:val="0"/>
          <w:sz w:val="24"/>
        </w:rPr>
        <w:t>2. 合同、业务线、收发货、资金、预警、仓储各模块在业务动作发生时触发对应报表取数</w:t>
      </w:r>
    </w:p>
    <w:p>
      <w:pPr>
        <w:spacing w:before="0" w:after="60" w:line="336" w:lineRule="auto"/>
        <w:ind w:left="510" w:hanging="510"/>
      </w:pPr>
      <w:r>
        <w:rPr>
          <w:rFonts w:ascii="Times New Roman" w:hAnsi="Times New Roman" w:eastAsia="宋体"/>
          <w:b w:val="0"/>
          <w:i w:val="0"/>
          <w:sz w:val="24"/>
        </w:rPr>
        <w:t>3. 各业务报表按自身筛选条件汇总上游数据，形成项目、业务线、资金、库存、应收应付与风控 6 类台账</w:t>
      </w:r>
    </w:p>
    <w:p>
      <w:pPr>
        <w:spacing w:before="0" w:after="60" w:line="336" w:lineRule="auto"/>
        <w:ind w:left="510" w:hanging="510"/>
      </w:pPr>
      <w:r>
        <w:rPr>
          <w:rFonts w:ascii="Times New Roman" w:hAnsi="Times New Roman" w:eastAsia="宋体"/>
          <w:b w:val="0"/>
          <w:i w:val="0"/>
          <w:sz w:val="24"/>
        </w:rPr>
        <w:t>4. 驾驶舱按统计周期与业务类型两个条件汇总全平台数据，实时计算 5 大 KPI 并绘制 4 张图表</w:t>
      </w:r>
    </w:p>
    <w:p>
      <w:pPr>
        <w:spacing w:before="0" w:after="60" w:line="336" w:lineRule="auto"/>
        <w:ind w:left="510" w:hanging="510"/>
      </w:pPr>
      <w:r>
        <w:rPr>
          <w:rFonts w:ascii="Times New Roman" w:hAnsi="Times New Roman" w:eastAsia="宋体"/>
          <w:b w:val="0"/>
          <w:i w:val="0"/>
          <w:sz w:val="24"/>
        </w:rPr>
        <w:t>5. 管理层在驾驶舱切换概览、项目、合同、客户 4 个分区查看对应卡片数据</w:t>
      </w:r>
    </w:p>
    <w:p>
      <w:pPr>
        <w:spacing w:before="0" w:after="60" w:line="336" w:lineRule="auto"/>
        <w:ind w:left="510" w:hanging="510"/>
      </w:pPr>
      <w:r>
        <w:rPr>
          <w:rFonts w:ascii="Times New Roman" w:hAnsi="Times New Roman" w:eastAsia="宋体"/>
          <w:b w:val="0"/>
          <w:i w:val="0"/>
          <w:sz w:val="24"/>
        </w:rPr>
        <w:t>6. 通过底部 7 个快捷入口进入各类台账报表与合规验证报告列表</w:t>
      </w:r>
    </w:p>
    <w:p>
      <w:pPr>
        <w:spacing w:before="0" w:after="60" w:line="336" w:lineRule="auto"/>
        <w:ind w:left="510" w:hanging="510"/>
      </w:pPr>
      <w:r>
        <w:rPr>
          <w:rFonts w:ascii="Times New Roman" w:hAnsi="Times New Roman" w:eastAsia="宋体"/>
          <w:b w:val="0"/>
          <w:i w:val="0"/>
          <w:sz w:val="24"/>
        </w:rPr>
        <w:t>7. 在报表中按各表自身的筛选字段组合查询，通过编号蓝字或操作列查看按钮跳转到对应业务单据详情</w:t>
      </w:r>
    </w:p>
    <w:p>
      <w:pPr>
        <w:spacing w:before="0" w:after="60" w:line="336" w:lineRule="auto"/>
        <w:ind w:left="510" w:hanging="510"/>
      </w:pPr>
      <w:r>
        <w:rPr>
          <w:rFonts w:ascii="Times New Roman" w:hAnsi="Times New Roman" w:eastAsia="宋体"/>
          <w:b w:val="0"/>
          <w:i w:val="0"/>
          <w:sz w:val="24"/>
        </w:rPr>
        <w:t>8. 对风险类问题通过风控统计报表的操作列处理按钮跳转风险处理页</w:t>
      </w:r>
    </w:p>
    <w:p>
      <w:pPr>
        <w:spacing w:before="0" w:after="60" w:line="336" w:lineRule="auto"/>
        <w:ind w:left="510" w:hanging="510"/>
      </w:pPr>
      <w:r>
        <w:rPr>
          <w:rFonts w:ascii="Times New Roman" w:hAnsi="Times New Roman" w:eastAsia="宋体"/>
          <w:b w:val="0"/>
          <w:i w:val="0"/>
          <w:sz w:val="24"/>
        </w:rPr>
        <w:t>9. 在合规报告详情查看风险扫描与检查项结果，进行整改跟踪登记、实时活动记录与催办</w:t>
      </w:r>
    </w:p>
    <w:p>
      <w:pPr>
        <w:spacing w:before="0" w:after="60" w:line="336" w:lineRule="auto"/>
        <w:ind w:left="510" w:hanging="510"/>
      </w:pPr>
      <w:r>
        <w:rPr>
          <w:rFonts w:ascii="Times New Roman" w:hAnsi="Times New Roman" w:eastAsia="宋体"/>
          <w:b w:val="0"/>
          <w:i w:val="0"/>
          <w:sz w:val="24"/>
        </w:rPr>
        <w:t>10. 需要对外提供数据时使用数据导出，导出当前筛选结果为 Excel 文件</w:t>
      </w:r>
    </w:p>
    <w:p>
      <w:pPr>
        <w:spacing w:before="120" w:after="60" w:line="360" w:lineRule="auto"/>
      </w:pPr>
      <w:r>
        <w:rPr>
          <w:rFonts w:ascii="Times New Roman" w:hAnsi="Times New Roman" w:eastAsia="宋体"/>
          <w:b/>
          <w:i w:val="0"/>
          <w:sz w:val="24"/>
        </w:rPr>
        <w:t>异常分支：</w:t>
      </w:r>
    </w:p>
    <w:tbl>
      <w:tblPr>
        <w:tblStyle w:val="TableGrid"/>
        <w:tblW w:type="auto" w:w="0"/>
        <w:jc w:val="center"/>
        <w:tblLayout w:type="fixed"/>
        <w:tblLook w:firstColumn="1" w:firstRow="1" w:lastColumn="0" w:lastRow="0" w:noHBand="0" w:noVBand="1" w:val="04A0"/>
      </w:tblPr>
      <w:tblGrid>
        <w:gridCol w:w="4479"/>
        <w:gridCol w:w="4479"/>
      </w:tblGrid>
      <w:tr>
        <w:trPr>
          <w:tblHeader w:val="true"/>
        </w:trPr>
        <w:tc>
          <w:tcPr>
            <w:tcW w:type="dxa" w:w="2835"/>
            <w:shd w:val="clear" w:color="auto" w:fill="DCE6F1"/>
          </w:tcPr>
          <w:p>
            <w:pPr>
              <w:spacing w:before="40" w:after="40" w:line="276" w:lineRule="auto"/>
              <w:jc w:val="center"/>
            </w:pPr>
            <w:r/>
            <w:r>
              <w:rPr>
                <w:rFonts w:ascii="Times New Roman" w:hAnsi="Times New Roman" w:eastAsia="黑体"/>
                <w:b/>
                <w:i w:val="0"/>
                <w:sz w:val="21"/>
              </w:rPr>
              <w:t>异常场景</w:t>
            </w:r>
          </w:p>
        </w:tc>
        <w:tc>
          <w:tcPr>
            <w:tcW w:type="dxa" w:w="6236"/>
            <w:shd w:val="clear" w:color="auto" w:fill="DCE6F1"/>
          </w:tcPr>
          <w:p>
            <w:pPr>
              <w:spacing w:before="40" w:after="40" w:line="276" w:lineRule="auto"/>
              <w:jc w:val="center"/>
            </w:pPr>
            <w:r/>
            <w:r>
              <w:rPr>
                <w:rFonts w:ascii="Times New Roman" w:hAnsi="Times New Roman" w:eastAsia="黑体"/>
                <w:b/>
                <w:i w:val="0"/>
                <w:sz w:val="21"/>
              </w:rPr>
              <w:t>系统处理</w:t>
            </w:r>
          </w:p>
        </w:tc>
      </w:tr>
      <w:tr>
        <w:tc>
          <w:tcPr>
            <w:tcW w:type="dxa" w:w="2835"/>
          </w:tcPr>
          <w:p>
            <w:pPr>
              <w:spacing w:before="20" w:after="20" w:line="276" w:lineRule="auto"/>
              <w:ind w:firstLine="0"/>
            </w:pPr>
            <w:r/>
            <w:r>
              <w:rPr>
                <w:rFonts w:ascii="Times New Roman" w:hAnsi="Times New Roman" w:eastAsia="宋体"/>
                <w:b w:val="0"/>
                <w:i w:val="0"/>
                <w:sz w:val="21"/>
              </w:rPr>
              <w:t>报表生成失败</w:t>
            </w:r>
          </w:p>
        </w:tc>
        <w:tc>
          <w:tcPr>
            <w:tcW w:type="dxa" w:w="6236"/>
          </w:tcPr>
          <w:p>
            <w:pPr>
              <w:spacing w:before="20" w:after="20" w:line="276" w:lineRule="auto"/>
              <w:ind w:firstLine="0"/>
            </w:pPr>
            <w:r/>
            <w:r>
              <w:rPr>
                <w:rFonts w:ascii="Times New Roman" w:hAnsi="Times New Roman" w:eastAsia="宋体"/>
                <w:b w:val="0"/>
                <w:i w:val="0"/>
                <w:sz w:val="21"/>
              </w:rPr>
              <w:t>提示报表生成失败，请联系管理员，并提供重试入口</w:t>
            </w:r>
          </w:p>
        </w:tc>
      </w:tr>
      <w:tr>
        <w:tc>
          <w:tcPr>
            <w:tcW w:type="dxa" w:w="2835"/>
          </w:tcPr>
          <w:p>
            <w:pPr>
              <w:spacing w:before="20" w:after="20" w:line="276" w:lineRule="auto"/>
              <w:ind w:firstLine="0"/>
            </w:pPr>
            <w:r/>
            <w:r>
              <w:rPr>
                <w:rFonts w:ascii="Times New Roman" w:hAnsi="Times New Roman" w:eastAsia="宋体"/>
                <w:b w:val="0"/>
                <w:i w:val="0"/>
                <w:sz w:val="21"/>
              </w:rPr>
              <w:t>报表数据为空或时间范围查询无结果</w:t>
            </w:r>
          </w:p>
        </w:tc>
        <w:tc>
          <w:tcPr>
            <w:tcW w:type="dxa" w:w="6236"/>
          </w:tcPr>
          <w:p>
            <w:pPr>
              <w:spacing w:before="20" w:after="20" w:line="276" w:lineRule="auto"/>
              <w:ind w:firstLine="0"/>
            </w:pPr>
            <w:r/>
            <w:r>
              <w:rPr>
                <w:rFonts w:ascii="Times New Roman" w:hAnsi="Times New Roman" w:eastAsia="宋体"/>
                <w:b w:val="0"/>
                <w:i w:val="0"/>
                <w:sz w:val="21"/>
              </w:rPr>
              <w:t>图表显示暂无数据，KPI 数值显示 0 而非空状态，页面提供调整统计周期与业务类型的引导</w:t>
            </w:r>
          </w:p>
        </w:tc>
      </w:tr>
      <w:tr>
        <w:tc>
          <w:tcPr>
            <w:tcW w:type="dxa" w:w="2835"/>
          </w:tcPr>
          <w:p>
            <w:pPr>
              <w:spacing w:before="20" w:after="20" w:line="276" w:lineRule="auto"/>
              <w:ind w:firstLine="0"/>
            </w:pPr>
            <w:r/>
            <w:r>
              <w:rPr>
                <w:rFonts w:ascii="Times New Roman" w:hAnsi="Times New Roman" w:eastAsia="宋体"/>
                <w:b w:val="0"/>
                <w:i w:val="0"/>
                <w:sz w:val="21"/>
              </w:rPr>
              <w:t>数据加载失败</w:t>
            </w:r>
          </w:p>
        </w:tc>
        <w:tc>
          <w:tcPr>
            <w:tcW w:type="dxa" w:w="6236"/>
          </w:tcPr>
          <w:p>
            <w:pPr>
              <w:spacing w:before="20" w:after="20" w:line="276" w:lineRule="auto"/>
              <w:ind w:firstLine="0"/>
            </w:pPr>
            <w:r/>
            <w:r>
              <w:rPr>
                <w:rFonts w:ascii="Times New Roman" w:hAnsi="Times New Roman" w:eastAsia="宋体"/>
                <w:b w:val="0"/>
                <w:i w:val="0"/>
                <w:sz w:val="21"/>
              </w:rPr>
              <w:t>页面级加载失败提示数据加载失败，请重试；图表级加载失败时各图表单独显示加载失败，点击重试</w:t>
            </w:r>
          </w:p>
        </w:tc>
      </w:tr>
      <w:tr>
        <w:tc>
          <w:tcPr>
            <w:tcW w:type="dxa" w:w="2835"/>
          </w:tcPr>
          <w:p>
            <w:pPr>
              <w:spacing w:before="20" w:after="20" w:line="276" w:lineRule="auto"/>
              <w:ind w:firstLine="0"/>
            </w:pPr>
            <w:r/>
            <w:r>
              <w:rPr>
                <w:rFonts w:ascii="Times New Roman" w:hAnsi="Times New Roman" w:eastAsia="宋体"/>
                <w:b w:val="0"/>
                <w:i w:val="0"/>
                <w:sz w:val="21"/>
              </w:rPr>
              <w:t>当前用户无报表权限</w:t>
            </w:r>
          </w:p>
        </w:tc>
        <w:tc>
          <w:tcPr>
            <w:tcW w:type="dxa" w:w="6236"/>
          </w:tcPr>
          <w:p>
            <w:pPr>
              <w:spacing w:before="20" w:after="20" w:line="276" w:lineRule="auto"/>
              <w:ind w:firstLine="0"/>
            </w:pPr>
            <w:r/>
            <w:r>
              <w:rPr>
                <w:rFonts w:ascii="Times New Roman" w:hAnsi="Times New Roman" w:eastAsia="宋体"/>
                <w:b w:val="0"/>
                <w:i w:val="0"/>
                <w:sz w:val="21"/>
              </w:rPr>
              <w:t>页面顶部显示红色提示条并提示联系管理员，不展示报表数据</w:t>
            </w:r>
          </w:p>
        </w:tc>
      </w:tr>
      <w:tr>
        <w:tc>
          <w:tcPr>
            <w:tcW w:type="dxa" w:w="2835"/>
          </w:tcPr>
          <w:p>
            <w:pPr>
              <w:spacing w:before="20" w:after="20" w:line="276" w:lineRule="auto"/>
              <w:ind w:firstLine="0"/>
            </w:pPr>
            <w:r/>
            <w:r>
              <w:rPr>
                <w:rFonts w:ascii="Times New Roman" w:hAnsi="Times New Roman" w:eastAsia="宋体"/>
                <w:b w:val="0"/>
                <w:i w:val="0"/>
                <w:sz w:val="21"/>
              </w:rPr>
              <w:t>风险未及时处理或库存为负数</w:t>
            </w:r>
          </w:p>
        </w:tc>
        <w:tc>
          <w:tcPr>
            <w:tcW w:type="dxa" w:w="6236"/>
          </w:tcPr>
          <w:p>
            <w:pPr>
              <w:spacing w:before="20" w:after="20" w:line="276" w:lineRule="auto"/>
              <w:ind w:firstLine="0"/>
            </w:pPr>
            <w:r/>
            <w:r>
              <w:rPr>
                <w:rFonts w:ascii="Times New Roman" w:hAnsi="Times New Roman" w:eastAsia="宋体"/>
                <w:b w:val="0"/>
                <w:i w:val="0"/>
                <w:sz w:val="21"/>
              </w:rPr>
              <w:t>风险未及时处理的数据以黄色逾期标记提示，库存为负数的数据以红色异常标记提示；逾期天数阈值与库存为负数的判定口径待业务方确认</w:t>
            </w:r>
          </w:p>
        </w:tc>
      </w:tr>
    </w:tbl>
    <w:p>
      <w:pPr>
        <w:spacing w:before="0" w:after="0" w:line="240" w:lineRule="auto"/>
      </w:pPr>
    </w:p>
    <w:p>
      <w:pPr>
        <w:spacing w:before="120" w:after="60"/>
        <w:ind w:firstLine="0"/>
        <w:jc w:val="center"/>
      </w:pPr>
      <w:r>
        <w:drawing>
          <wp:inline xmlns:a="http://schemas.openxmlformats.org/drawingml/2006/main" xmlns:pic="http://schemas.openxmlformats.org/drawingml/2006/picture">
            <wp:extent cx="5616000" cy="3334500"/>
            <wp:docPr id="59" name="Picture 59"/>
            <wp:cNvGraphicFramePr>
              <a:graphicFrameLocks noChangeAspect="1"/>
            </wp:cNvGraphicFramePr>
            <a:graphic>
              <a:graphicData uri="http://schemas.openxmlformats.org/drawingml/2006/picture">
                <pic:pic>
                  <pic:nvPicPr>
                    <pic:cNvPr id="0" name="data-center.png"/>
                    <pic:cNvPicPr/>
                  </pic:nvPicPr>
                  <pic:blipFill>
                    <a:blip r:embed="rId68"/>
                    <a:stretch>
                      <a:fillRect/>
                    </a:stretch>
                  </pic:blipFill>
                  <pic:spPr>
                    <a:xfrm>
                      <a:off x="0" y="0"/>
                      <a:ext cx="5616000" cy="3334500"/>
                    </a:xfrm>
                    <a:prstGeom prst="rect"/>
                  </pic:spPr>
                </pic:pic>
              </a:graphicData>
            </a:graphic>
          </wp:inline>
        </w:drawing>
      </w:r>
    </w:p>
    <w:p>
      <w:pPr>
        <w:spacing w:before="0" w:after="200" w:line="240" w:lineRule="auto"/>
        <w:ind w:firstLine="0"/>
        <w:jc w:val="center"/>
      </w:pPr>
      <w:r>
        <w:rPr>
          <w:rFonts w:ascii="Times New Roman" w:hAnsi="Times New Roman" w:eastAsia="宋体"/>
          <w:b w:val="0"/>
          <w:i w:val="0"/>
          <w:sz w:val="21"/>
        </w:rPr>
        <w:t>图 4-29-2　数据中心 原型页面</w:t>
      </w:r>
    </w:p>
    <w:p>
      <w:pPr>
        <w:spacing w:before="80" w:after="60" w:line="360" w:lineRule="auto"/>
      </w:pPr>
      <w:r>
        <w:rPr>
          <w:rFonts w:ascii="Times New Roman" w:hAnsi="Times New Roman" w:eastAsia="宋体"/>
          <w:b/>
          <w:i w:val="0"/>
          <w:sz w:val="24"/>
        </w:rPr>
        <w:t>页面级说明：</w:t>
      </w:r>
    </w:p>
    <w:tbl>
      <w:tblPr>
        <w:tblStyle w:val="TableGrid"/>
        <w:tblW w:type="auto" w:w="0"/>
        <w:jc w:val="center"/>
        <w:tblLayout w:type="fixed"/>
        <w:tblLook w:firstColumn="1" w:firstRow="1" w:lastColumn="0" w:lastRow="0" w:noHBand="0" w:noVBand="1" w:val="04A0"/>
      </w:tblPr>
      <w:tblGrid>
        <w:gridCol w:w="1493"/>
        <w:gridCol w:w="1493"/>
        <w:gridCol w:w="1493"/>
        <w:gridCol w:w="1493"/>
        <w:gridCol w:w="1493"/>
        <w:gridCol w:w="1493"/>
      </w:tblGrid>
      <w:tr>
        <w:trPr>
          <w:tblHeader w:val="true"/>
        </w:trPr>
        <w:tc>
          <w:tcPr>
            <w:tcW w:type="dxa" w:w="1178"/>
            <w:shd w:val="clear" w:color="auto" w:fill="DCE6F1"/>
          </w:tcPr>
          <w:p>
            <w:pPr>
              <w:spacing w:before="40" w:after="40" w:line="276" w:lineRule="auto"/>
              <w:jc w:val="center"/>
            </w:pPr>
            <w:r/>
            <w:r>
              <w:rPr>
                <w:rFonts w:ascii="Times New Roman" w:hAnsi="Times New Roman" w:eastAsia="黑体"/>
                <w:b/>
                <w:i w:val="0"/>
                <w:sz w:val="19"/>
              </w:rPr>
              <w:t>页面</w:t>
            </w:r>
          </w:p>
        </w:tc>
        <w:tc>
          <w:tcPr>
            <w:tcW w:type="dxa" w:w="1531"/>
            <w:shd w:val="clear" w:color="auto" w:fill="DCE6F1"/>
          </w:tcPr>
          <w:p>
            <w:pPr>
              <w:spacing w:before="40" w:after="40" w:line="276" w:lineRule="auto"/>
              <w:jc w:val="center"/>
            </w:pPr>
            <w:r/>
            <w:r>
              <w:rPr>
                <w:rFonts w:ascii="Times New Roman" w:hAnsi="Times New Roman" w:eastAsia="黑体"/>
                <w:b/>
                <w:i w:val="0"/>
                <w:sz w:val="19"/>
              </w:rPr>
              <w:t>原型文件</w:t>
            </w:r>
          </w:p>
        </w:tc>
        <w:tc>
          <w:tcPr>
            <w:tcW w:type="dxa" w:w="1119"/>
            <w:shd w:val="clear" w:color="auto" w:fill="DCE6F1"/>
          </w:tcPr>
          <w:p>
            <w:pPr>
              <w:spacing w:before="40" w:after="40" w:line="276" w:lineRule="auto"/>
              <w:jc w:val="center"/>
            </w:pPr>
            <w:r/>
            <w:r>
              <w:rPr>
                <w:rFonts w:ascii="Times New Roman" w:hAnsi="Times New Roman" w:eastAsia="黑体"/>
                <w:b/>
                <w:i w:val="0"/>
                <w:sz w:val="19"/>
              </w:rPr>
              <w:t>进入方式</w:t>
            </w:r>
          </w:p>
        </w:tc>
        <w:tc>
          <w:tcPr>
            <w:tcW w:type="dxa" w:w="2062"/>
            <w:shd w:val="clear" w:color="auto" w:fill="DCE6F1"/>
          </w:tcPr>
          <w:p>
            <w:pPr>
              <w:spacing w:before="40" w:after="40" w:line="276" w:lineRule="auto"/>
              <w:jc w:val="center"/>
            </w:pPr>
            <w:r/>
            <w:r>
              <w:rPr>
                <w:rFonts w:ascii="Times New Roman" w:hAnsi="Times New Roman" w:eastAsia="黑体"/>
                <w:b/>
                <w:i w:val="0"/>
                <w:sz w:val="19"/>
              </w:rPr>
              <w:t>关键区块</w:t>
            </w:r>
          </w:p>
        </w:tc>
        <w:tc>
          <w:tcPr>
            <w:tcW w:type="dxa" w:w="1767"/>
            <w:shd w:val="clear" w:color="auto" w:fill="DCE6F1"/>
          </w:tcPr>
          <w:p>
            <w:pPr>
              <w:spacing w:before="40" w:after="40" w:line="276" w:lineRule="auto"/>
              <w:jc w:val="center"/>
            </w:pPr>
            <w:r/>
            <w:r>
              <w:rPr>
                <w:rFonts w:ascii="Times New Roman" w:hAnsi="Times New Roman" w:eastAsia="黑体"/>
                <w:b/>
                <w:i w:val="0"/>
                <w:sz w:val="19"/>
              </w:rPr>
              <w:t>主要按钮与行为</w:t>
            </w:r>
          </w:p>
        </w:tc>
        <w:tc>
          <w:tcPr>
            <w:tcW w:type="dxa" w:w="1414"/>
            <w:shd w:val="clear" w:color="auto" w:fill="DCE6F1"/>
          </w:tcPr>
          <w:p>
            <w:pPr>
              <w:spacing w:before="40" w:after="40" w:line="276" w:lineRule="auto"/>
              <w:jc w:val="center"/>
            </w:pPr>
            <w:r/>
            <w:r>
              <w:rPr>
                <w:rFonts w:ascii="Times New Roman" w:hAnsi="Times New Roman" w:eastAsia="黑体"/>
                <w:b/>
                <w:i w:val="0"/>
                <w:sz w:val="19"/>
              </w:rPr>
              <w:t>跳转去向</w:t>
            </w:r>
          </w:p>
        </w:tc>
      </w:tr>
      <w:tr>
        <w:tc>
          <w:tcPr>
            <w:tcW w:type="dxa" w:w="1178"/>
          </w:tcPr>
          <w:p>
            <w:pPr>
              <w:spacing w:before="20" w:after="20" w:line="276" w:lineRule="auto"/>
              <w:ind w:firstLine="0"/>
            </w:pPr>
            <w:r/>
            <w:r>
              <w:rPr>
                <w:rFonts w:ascii="Times New Roman" w:hAnsi="Times New Roman" w:eastAsia="宋体"/>
                <w:b w:val="0"/>
                <w:i w:val="0"/>
                <w:sz w:val="19"/>
              </w:rPr>
              <w:t>驾驶舱</w:t>
            </w:r>
          </w:p>
        </w:tc>
        <w:tc>
          <w:tcPr>
            <w:tcW w:type="dxa" w:w="1531"/>
          </w:tcPr>
          <w:p>
            <w:pPr>
              <w:spacing w:before="20" w:after="20" w:line="276" w:lineRule="auto"/>
              <w:ind w:firstLine="0"/>
            </w:pPr>
            <w:r/>
            <w:r>
              <w:rPr>
                <w:rFonts w:ascii="Times New Roman" w:hAnsi="Times New Roman" w:eastAsia="宋体"/>
                <w:b w:val="0"/>
                <w:i w:val="0"/>
                <w:sz w:val="19"/>
              </w:rPr>
              <w:t>cockpit.html</w:t>
            </w:r>
          </w:p>
        </w:tc>
        <w:tc>
          <w:tcPr>
            <w:tcW w:type="dxa" w:w="1119"/>
          </w:tcPr>
          <w:p>
            <w:pPr>
              <w:spacing w:before="20" w:after="20" w:line="276" w:lineRule="auto"/>
              <w:ind w:firstLine="0"/>
            </w:pPr>
            <w:r/>
            <w:r>
              <w:rPr>
                <w:rFonts w:ascii="Times New Roman" w:hAnsi="Times New Roman" w:eastAsia="宋体"/>
                <w:b w:val="0"/>
                <w:i w:val="0"/>
                <w:sz w:val="19"/>
              </w:rPr>
              <w:t>数据中心 / 驾驶舱</w:t>
            </w:r>
          </w:p>
        </w:tc>
        <w:tc>
          <w:tcPr>
            <w:tcW w:type="dxa" w:w="2062"/>
          </w:tcPr>
          <w:p>
            <w:pPr>
              <w:spacing w:before="20" w:after="20" w:line="276" w:lineRule="auto"/>
              <w:ind w:firstLine="0"/>
            </w:pPr>
            <w:r/>
            <w:r>
              <w:rPr>
                <w:rFonts w:ascii="Times New Roman" w:hAnsi="Times New Roman" w:eastAsia="宋体"/>
                <w:b w:val="0"/>
                <w:i w:val="0"/>
                <w:sz w:val="19"/>
              </w:rPr>
              <w:t>顶部 2 字段筛选（统计周期、业务类型）；5 大 KPI 卡片；4 张图表（近 30 日合同签订数量趋势折线图、业务类型分布饼图、业务线执行状态分布柱状图、最新 10 条预警表格）；底部 7 个快捷入口，分别指向 report-project.html、report-bizline.html、report-fund.html、report-inventory.html、report-ar-ap.html、report-risk.html、report-compliance.html</w:t>
            </w:r>
          </w:p>
        </w:tc>
        <w:tc>
          <w:tcPr>
            <w:tcW w:type="dxa" w:w="1767"/>
          </w:tcPr>
          <w:p>
            <w:pPr>
              <w:spacing w:before="20" w:after="20" w:line="276" w:lineRule="auto"/>
              <w:ind w:firstLine="0"/>
            </w:pPr>
            <w:r/>
            <w:r>
              <w:rPr>
                <w:rFonts w:ascii="Times New Roman" w:hAnsi="Times New Roman" w:eastAsia="宋体"/>
                <w:b w:val="0"/>
                <w:i w:val="0"/>
                <w:sz w:val="19"/>
              </w:rPr>
              <w:t>切换时间范围、刷新、数据导出；通过 7 个快捷入口进入项目台账表、业务线台账表、资金占压表、库存明细表、应收应付表、风控统计报表与合规验证报告列表</w:t>
            </w:r>
          </w:p>
        </w:tc>
        <w:tc>
          <w:tcPr>
            <w:tcW w:type="dxa" w:w="1414"/>
          </w:tcPr>
          <w:p>
            <w:pPr>
              <w:spacing w:before="20" w:after="20" w:line="276" w:lineRule="auto"/>
              <w:ind w:firstLine="0"/>
            </w:pPr>
            <w:r/>
            <w:r>
              <w:rPr>
                <w:rFonts w:ascii="Times New Roman" w:hAnsi="Times New Roman" w:eastAsia="宋体"/>
                <w:b w:val="0"/>
                <w:i w:val="0"/>
                <w:sz w:val="19"/>
              </w:rPr>
              <w:t>快捷入口分别跳转 7 张报表页与合规验证报告列表 report-compliance.html；合规报告详情 report-compliance-detail.html 由合规验证报告列表进入</w:t>
            </w:r>
          </w:p>
        </w:tc>
      </w:tr>
      <w:tr>
        <w:tc>
          <w:tcPr>
            <w:tcW w:type="dxa" w:w="1178"/>
          </w:tcPr>
          <w:p>
            <w:pPr>
              <w:spacing w:before="20" w:after="20" w:line="276" w:lineRule="auto"/>
              <w:ind w:firstLine="0"/>
            </w:pPr>
            <w:r/>
            <w:r>
              <w:rPr>
                <w:rFonts w:ascii="Times New Roman" w:hAnsi="Times New Roman" w:eastAsia="宋体"/>
                <w:b w:val="0"/>
                <w:i w:val="0"/>
                <w:sz w:val="19"/>
              </w:rPr>
              <w:t>项目台账表</w:t>
            </w:r>
          </w:p>
        </w:tc>
        <w:tc>
          <w:tcPr>
            <w:tcW w:type="dxa" w:w="1531"/>
          </w:tcPr>
          <w:p>
            <w:pPr>
              <w:spacing w:before="20" w:after="20" w:line="276" w:lineRule="auto"/>
              <w:ind w:firstLine="0"/>
            </w:pPr>
            <w:r/>
            <w:r>
              <w:rPr>
                <w:rFonts w:ascii="Times New Roman" w:hAnsi="Times New Roman" w:eastAsia="宋体"/>
                <w:b w:val="0"/>
                <w:i w:val="0"/>
                <w:sz w:val="19"/>
              </w:rPr>
              <w:t>report-project.html</w:t>
            </w:r>
          </w:p>
        </w:tc>
        <w:tc>
          <w:tcPr>
            <w:tcW w:type="dxa" w:w="1119"/>
          </w:tcPr>
          <w:p>
            <w:pPr>
              <w:spacing w:before="20" w:after="20" w:line="276" w:lineRule="auto"/>
              <w:ind w:firstLine="0"/>
            </w:pPr>
            <w:r/>
            <w:r>
              <w:rPr>
                <w:rFonts w:ascii="Times New Roman" w:hAnsi="Times New Roman" w:eastAsia="宋体"/>
                <w:b w:val="0"/>
                <w:i w:val="0"/>
                <w:sz w:val="19"/>
              </w:rPr>
              <w:t>数据中心 / 业务报表 / 项目台账表</w:t>
            </w:r>
          </w:p>
        </w:tc>
        <w:tc>
          <w:tcPr>
            <w:tcW w:type="dxa" w:w="2062"/>
          </w:tcPr>
          <w:p>
            <w:pPr>
              <w:spacing w:before="20" w:after="20" w:line="276" w:lineRule="auto"/>
              <w:ind w:firstLine="0"/>
            </w:pPr>
            <w:r/>
            <w:r>
              <w:rPr>
                <w:rFonts w:ascii="Times New Roman" w:hAnsi="Times New Roman" w:eastAsia="宋体"/>
                <w:b w:val="0"/>
                <w:i w:val="0"/>
                <w:sz w:val="19"/>
              </w:rPr>
              <w:t>顶部 4 字段筛选（项目类型、项目状态、客户名称、立项时间）；9 列台账表格；分页</w:t>
            </w:r>
          </w:p>
        </w:tc>
        <w:tc>
          <w:tcPr>
            <w:tcW w:type="dxa" w:w="1767"/>
          </w:tcPr>
          <w:p>
            <w:pPr>
              <w:spacing w:before="20" w:after="20" w:line="276" w:lineRule="auto"/>
              <w:ind w:firstLine="0"/>
            </w:pPr>
            <w:r/>
            <w:r>
              <w:rPr>
                <w:rFonts w:ascii="Times New Roman" w:hAnsi="Times New Roman" w:eastAsia="宋体"/>
                <w:b w:val="0"/>
                <w:i w:val="0"/>
                <w:sz w:val="19"/>
              </w:rPr>
              <w:t>编号蓝字跳转对应详情页、操作列查看、数据导出</w:t>
            </w:r>
          </w:p>
        </w:tc>
        <w:tc>
          <w:tcPr>
            <w:tcW w:type="dxa" w:w="1414"/>
          </w:tcPr>
          <w:p>
            <w:pPr>
              <w:spacing w:before="20" w:after="20" w:line="276" w:lineRule="auto"/>
              <w:ind w:firstLine="0"/>
            </w:pPr>
            <w:r/>
            <w:r>
              <w:rPr>
                <w:rFonts w:ascii="Times New Roman" w:hAnsi="Times New Roman" w:eastAsia="宋体"/>
                <w:b w:val="0"/>
                <w:i w:val="0"/>
                <w:sz w:val="19"/>
              </w:rPr>
              <w:t>编号蓝字与操作列查看均跳转到对应项目详情页</w:t>
            </w:r>
          </w:p>
        </w:tc>
      </w:tr>
      <w:tr>
        <w:tc>
          <w:tcPr>
            <w:tcW w:type="dxa" w:w="1178"/>
          </w:tcPr>
          <w:p>
            <w:pPr>
              <w:spacing w:before="20" w:after="20" w:line="276" w:lineRule="auto"/>
              <w:ind w:firstLine="0"/>
            </w:pPr>
            <w:r/>
            <w:r>
              <w:rPr>
                <w:rFonts w:ascii="Times New Roman" w:hAnsi="Times New Roman" w:eastAsia="宋体"/>
                <w:b w:val="0"/>
                <w:i w:val="0"/>
                <w:sz w:val="19"/>
              </w:rPr>
              <w:t>业务线台账表</w:t>
            </w:r>
          </w:p>
        </w:tc>
        <w:tc>
          <w:tcPr>
            <w:tcW w:type="dxa" w:w="1531"/>
          </w:tcPr>
          <w:p>
            <w:pPr>
              <w:spacing w:before="20" w:after="20" w:line="276" w:lineRule="auto"/>
              <w:ind w:firstLine="0"/>
            </w:pPr>
            <w:r/>
            <w:r>
              <w:rPr>
                <w:rFonts w:ascii="Times New Roman" w:hAnsi="Times New Roman" w:eastAsia="宋体"/>
                <w:b w:val="0"/>
                <w:i w:val="0"/>
                <w:sz w:val="19"/>
              </w:rPr>
              <w:t>report-bizline.html</w:t>
            </w:r>
          </w:p>
        </w:tc>
        <w:tc>
          <w:tcPr>
            <w:tcW w:type="dxa" w:w="1119"/>
          </w:tcPr>
          <w:p>
            <w:pPr>
              <w:spacing w:before="20" w:after="20" w:line="276" w:lineRule="auto"/>
              <w:ind w:firstLine="0"/>
            </w:pPr>
            <w:r/>
            <w:r>
              <w:rPr>
                <w:rFonts w:ascii="Times New Roman" w:hAnsi="Times New Roman" w:eastAsia="宋体"/>
                <w:b w:val="0"/>
                <w:i w:val="0"/>
                <w:sz w:val="19"/>
              </w:rPr>
              <w:t>数据中心 / 业务报表 / 业务线台账表</w:t>
            </w:r>
          </w:p>
        </w:tc>
        <w:tc>
          <w:tcPr>
            <w:tcW w:type="dxa" w:w="2062"/>
          </w:tcPr>
          <w:p>
            <w:pPr>
              <w:spacing w:before="20" w:after="20" w:line="276" w:lineRule="auto"/>
              <w:ind w:firstLine="0"/>
            </w:pPr>
            <w:r/>
            <w:r>
              <w:rPr>
                <w:rFonts w:ascii="Times New Roman" w:hAnsi="Times New Roman" w:eastAsia="宋体"/>
                <w:b w:val="0"/>
                <w:i w:val="0"/>
                <w:sz w:val="19"/>
              </w:rPr>
              <w:t>顶部 4 字段筛选（业务类型、业务状态、上游企业、下游企业）；17 列台账表格，含上游货转与下游货转列及向上游支付、下游合同回款、下游业务回款、上游结算与下游结算的数量与金额列；分页</w:t>
            </w:r>
          </w:p>
        </w:tc>
        <w:tc>
          <w:tcPr>
            <w:tcW w:type="dxa" w:w="1767"/>
          </w:tcPr>
          <w:p>
            <w:pPr>
              <w:spacing w:before="20" w:after="20" w:line="276" w:lineRule="auto"/>
              <w:ind w:firstLine="0"/>
            </w:pPr>
            <w:r/>
            <w:r>
              <w:rPr>
                <w:rFonts w:ascii="Times New Roman" w:hAnsi="Times New Roman" w:eastAsia="宋体"/>
                <w:b w:val="0"/>
                <w:i w:val="0"/>
                <w:sz w:val="19"/>
              </w:rPr>
              <w:t>编号蓝字跳转对应详情页、操作列查看、数据导出</w:t>
            </w:r>
          </w:p>
        </w:tc>
        <w:tc>
          <w:tcPr>
            <w:tcW w:type="dxa" w:w="1414"/>
          </w:tcPr>
          <w:p>
            <w:pPr>
              <w:spacing w:before="20" w:after="20" w:line="276" w:lineRule="auto"/>
              <w:ind w:firstLine="0"/>
            </w:pPr>
            <w:r/>
            <w:r>
              <w:rPr>
                <w:rFonts w:ascii="Times New Roman" w:hAnsi="Times New Roman" w:eastAsia="宋体"/>
                <w:b w:val="0"/>
                <w:i w:val="0"/>
                <w:sz w:val="19"/>
              </w:rPr>
              <w:t>编号蓝字与操作列查看均跳转到对应业务线详情页</w:t>
            </w:r>
          </w:p>
        </w:tc>
      </w:tr>
      <w:tr>
        <w:tc>
          <w:tcPr>
            <w:tcW w:type="dxa" w:w="1178"/>
          </w:tcPr>
          <w:p>
            <w:pPr>
              <w:spacing w:before="20" w:after="20" w:line="276" w:lineRule="auto"/>
              <w:ind w:firstLine="0"/>
            </w:pPr>
            <w:r/>
            <w:r>
              <w:rPr>
                <w:rFonts w:ascii="Times New Roman" w:hAnsi="Times New Roman" w:eastAsia="宋体"/>
                <w:b w:val="0"/>
                <w:i w:val="0"/>
                <w:sz w:val="19"/>
              </w:rPr>
              <w:t>资金占压表</w:t>
            </w:r>
          </w:p>
        </w:tc>
        <w:tc>
          <w:tcPr>
            <w:tcW w:type="dxa" w:w="1531"/>
          </w:tcPr>
          <w:p>
            <w:pPr>
              <w:spacing w:before="20" w:after="20" w:line="276" w:lineRule="auto"/>
              <w:ind w:firstLine="0"/>
            </w:pPr>
            <w:r/>
            <w:r>
              <w:rPr>
                <w:rFonts w:ascii="Times New Roman" w:hAnsi="Times New Roman" w:eastAsia="宋体"/>
                <w:b w:val="0"/>
                <w:i w:val="0"/>
                <w:sz w:val="19"/>
              </w:rPr>
              <w:t>report-fund.html</w:t>
            </w:r>
          </w:p>
        </w:tc>
        <w:tc>
          <w:tcPr>
            <w:tcW w:type="dxa" w:w="1119"/>
          </w:tcPr>
          <w:p>
            <w:pPr>
              <w:spacing w:before="20" w:after="20" w:line="276" w:lineRule="auto"/>
              <w:ind w:firstLine="0"/>
            </w:pPr>
            <w:r/>
            <w:r>
              <w:rPr>
                <w:rFonts w:ascii="Times New Roman" w:hAnsi="Times New Roman" w:eastAsia="宋体"/>
                <w:b w:val="0"/>
                <w:i w:val="0"/>
                <w:sz w:val="19"/>
              </w:rPr>
              <w:t>数据中心 / 业务报表 / 资金占压表</w:t>
            </w:r>
          </w:p>
        </w:tc>
        <w:tc>
          <w:tcPr>
            <w:tcW w:type="dxa" w:w="2062"/>
          </w:tcPr>
          <w:p>
            <w:pPr>
              <w:spacing w:before="20" w:after="20" w:line="276" w:lineRule="auto"/>
              <w:ind w:firstLine="0"/>
            </w:pPr>
            <w:r/>
            <w:r>
              <w:rPr>
                <w:rFonts w:ascii="Times New Roman" w:hAnsi="Times New Roman" w:eastAsia="宋体"/>
                <w:b w:val="0"/>
                <w:i w:val="0"/>
                <w:sz w:val="19"/>
              </w:rPr>
              <w:t>顶部 2 个 KPI（上游供应商资金流水、下游采购商资金流水）；分组表共 16 列，按业务线信息 7 列、上游款项 4 列、下游款项 4 列、资金占压 1 列分组展示；分页</w:t>
            </w:r>
          </w:p>
        </w:tc>
        <w:tc>
          <w:tcPr>
            <w:tcW w:type="dxa" w:w="1767"/>
          </w:tcPr>
          <w:p>
            <w:pPr>
              <w:spacing w:before="20" w:after="20" w:line="276" w:lineRule="auto"/>
              <w:ind w:firstLine="0"/>
            </w:pPr>
            <w:r/>
            <w:r>
              <w:rPr>
                <w:rFonts w:ascii="Times New Roman" w:hAnsi="Times New Roman" w:eastAsia="宋体"/>
                <w:b w:val="0"/>
                <w:i w:val="0"/>
                <w:sz w:val="19"/>
              </w:rPr>
              <w:t>编号蓝字跳转对应详情页、操作列查看、数据导出</w:t>
            </w:r>
          </w:p>
        </w:tc>
        <w:tc>
          <w:tcPr>
            <w:tcW w:type="dxa" w:w="1414"/>
          </w:tcPr>
          <w:p>
            <w:pPr>
              <w:spacing w:before="20" w:after="20" w:line="276" w:lineRule="auto"/>
              <w:ind w:firstLine="0"/>
            </w:pPr>
            <w:r/>
            <w:r>
              <w:rPr>
                <w:rFonts w:ascii="Times New Roman" w:hAnsi="Times New Roman" w:eastAsia="宋体"/>
                <w:b w:val="0"/>
                <w:i w:val="0"/>
                <w:sz w:val="19"/>
              </w:rPr>
              <w:t>编号蓝字与操作列查看均跳转到对应业务线详情页</w:t>
            </w:r>
          </w:p>
        </w:tc>
      </w:tr>
      <w:tr>
        <w:tc>
          <w:tcPr>
            <w:tcW w:type="dxa" w:w="1178"/>
          </w:tcPr>
          <w:p>
            <w:pPr>
              <w:spacing w:before="20" w:after="20" w:line="276" w:lineRule="auto"/>
              <w:ind w:firstLine="0"/>
            </w:pPr>
            <w:r/>
            <w:r>
              <w:rPr>
                <w:rFonts w:ascii="Times New Roman" w:hAnsi="Times New Roman" w:eastAsia="宋体"/>
                <w:b w:val="0"/>
                <w:i w:val="0"/>
                <w:sz w:val="19"/>
              </w:rPr>
              <w:t>库存明细表</w:t>
            </w:r>
          </w:p>
        </w:tc>
        <w:tc>
          <w:tcPr>
            <w:tcW w:type="dxa" w:w="1531"/>
          </w:tcPr>
          <w:p>
            <w:pPr>
              <w:spacing w:before="20" w:after="20" w:line="276" w:lineRule="auto"/>
              <w:ind w:firstLine="0"/>
            </w:pPr>
            <w:r/>
            <w:r>
              <w:rPr>
                <w:rFonts w:ascii="Times New Roman" w:hAnsi="Times New Roman" w:eastAsia="宋体"/>
                <w:b w:val="0"/>
                <w:i w:val="0"/>
                <w:sz w:val="19"/>
              </w:rPr>
              <w:t>report-inventory.html</w:t>
            </w:r>
          </w:p>
        </w:tc>
        <w:tc>
          <w:tcPr>
            <w:tcW w:type="dxa" w:w="1119"/>
          </w:tcPr>
          <w:p>
            <w:pPr>
              <w:spacing w:before="20" w:after="20" w:line="276" w:lineRule="auto"/>
              <w:ind w:firstLine="0"/>
            </w:pPr>
            <w:r/>
            <w:r>
              <w:rPr>
                <w:rFonts w:ascii="Times New Roman" w:hAnsi="Times New Roman" w:eastAsia="宋体"/>
                <w:b w:val="0"/>
                <w:i w:val="0"/>
                <w:sz w:val="19"/>
              </w:rPr>
              <w:t>数据中心 / 业务报表 / 库存明细表</w:t>
            </w:r>
          </w:p>
        </w:tc>
        <w:tc>
          <w:tcPr>
            <w:tcW w:type="dxa" w:w="2062"/>
          </w:tcPr>
          <w:p>
            <w:pPr>
              <w:spacing w:before="20" w:after="20" w:line="276" w:lineRule="auto"/>
              <w:ind w:firstLine="0"/>
            </w:pPr>
            <w:r/>
            <w:r>
              <w:rPr>
                <w:rFonts w:ascii="Times New Roman" w:hAnsi="Times New Roman" w:eastAsia="宋体"/>
                <w:b w:val="0"/>
                <w:i w:val="0"/>
                <w:sz w:val="19"/>
              </w:rPr>
              <w:t>按组组织的 KPI，每组 4 个；18 列台账表格，含仓库名称、库存数量、库存重量、预占库存数量、预占库存重量；分页</w:t>
            </w:r>
          </w:p>
        </w:tc>
        <w:tc>
          <w:tcPr>
            <w:tcW w:type="dxa" w:w="1767"/>
          </w:tcPr>
          <w:p>
            <w:pPr>
              <w:spacing w:before="20" w:after="20" w:line="276" w:lineRule="auto"/>
              <w:ind w:firstLine="0"/>
            </w:pPr>
            <w:r/>
            <w:r>
              <w:rPr>
                <w:rFonts w:ascii="Times New Roman" w:hAnsi="Times New Roman" w:eastAsia="宋体"/>
                <w:b w:val="0"/>
                <w:i w:val="0"/>
                <w:sz w:val="19"/>
              </w:rPr>
              <w:t>编号蓝字跳转对应详情页、操作列查看、数据导出</w:t>
            </w:r>
          </w:p>
        </w:tc>
        <w:tc>
          <w:tcPr>
            <w:tcW w:type="dxa" w:w="1414"/>
          </w:tcPr>
          <w:p>
            <w:pPr>
              <w:spacing w:before="20" w:after="20" w:line="276" w:lineRule="auto"/>
              <w:ind w:firstLine="0"/>
            </w:pPr>
            <w:r/>
            <w:r>
              <w:rPr>
                <w:rFonts w:ascii="Times New Roman" w:hAnsi="Times New Roman" w:eastAsia="宋体"/>
                <w:b w:val="0"/>
                <w:i w:val="0"/>
                <w:sz w:val="19"/>
              </w:rPr>
              <w:t>编号蓝字与操作列查看均跳转到对应业务单据详情页</w:t>
            </w:r>
          </w:p>
        </w:tc>
      </w:tr>
      <w:tr>
        <w:tc>
          <w:tcPr>
            <w:tcW w:type="dxa" w:w="1178"/>
          </w:tcPr>
          <w:p>
            <w:pPr>
              <w:spacing w:before="20" w:after="20" w:line="276" w:lineRule="auto"/>
              <w:ind w:firstLine="0"/>
            </w:pPr>
            <w:r/>
            <w:r>
              <w:rPr>
                <w:rFonts w:ascii="Times New Roman" w:hAnsi="Times New Roman" w:eastAsia="宋体"/>
                <w:b w:val="0"/>
                <w:i w:val="0"/>
                <w:sz w:val="19"/>
              </w:rPr>
              <w:t>应收应付表</w:t>
            </w:r>
          </w:p>
        </w:tc>
        <w:tc>
          <w:tcPr>
            <w:tcW w:type="dxa" w:w="1531"/>
          </w:tcPr>
          <w:p>
            <w:pPr>
              <w:spacing w:before="20" w:after="20" w:line="276" w:lineRule="auto"/>
              <w:ind w:firstLine="0"/>
            </w:pPr>
            <w:r/>
            <w:r>
              <w:rPr>
                <w:rFonts w:ascii="Times New Roman" w:hAnsi="Times New Roman" w:eastAsia="宋体"/>
                <w:b w:val="0"/>
                <w:i w:val="0"/>
                <w:sz w:val="19"/>
              </w:rPr>
              <w:t>report-ar-ap.html</w:t>
            </w:r>
          </w:p>
        </w:tc>
        <w:tc>
          <w:tcPr>
            <w:tcW w:type="dxa" w:w="1119"/>
          </w:tcPr>
          <w:p>
            <w:pPr>
              <w:spacing w:before="20" w:after="20" w:line="276" w:lineRule="auto"/>
              <w:ind w:firstLine="0"/>
            </w:pPr>
            <w:r/>
            <w:r>
              <w:rPr>
                <w:rFonts w:ascii="Times New Roman" w:hAnsi="Times New Roman" w:eastAsia="宋体"/>
                <w:b w:val="0"/>
                <w:i w:val="0"/>
                <w:sz w:val="19"/>
              </w:rPr>
              <w:t>数据中心 / 业务报表 / 应收应付表</w:t>
            </w:r>
          </w:p>
        </w:tc>
        <w:tc>
          <w:tcPr>
            <w:tcW w:type="dxa" w:w="2062"/>
          </w:tcPr>
          <w:p>
            <w:pPr>
              <w:spacing w:before="20" w:after="20" w:line="276" w:lineRule="auto"/>
              <w:ind w:firstLine="0"/>
            </w:pPr>
            <w:r/>
            <w:r>
              <w:rPr>
                <w:rFonts w:ascii="Times New Roman" w:hAnsi="Times New Roman" w:eastAsia="宋体"/>
                <w:b w:val="0"/>
                <w:i w:val="0"/>
                <w:sz w:val="19"/>
              </w:rPr>
              <w:t>顶部 4 个 KPI 卡片（应付总额、应收总额、库存资金占压、净占压金额）；6 字段筛选（业务线号、采购合同编号、上下游客户、进项发票状态、销项发票状态、资金占压）；13 列表格按业务线信息 3 列、上游 4 列、下游 4 列、资金占压 2 列分组展示，并以业务线维度加上下游客户双行方式呈现；分页</w:t>
            </w:r>
          </w:p>
        </w:tc>
        <w:tc>
          <w:tcPr>
            <w:tcW w:type="dxa" w:w="1767"/>
          </w:tcPr>
          <w:p>
            <w:pPr>
              <w:spacing w:before="20" w:after="20" w:line="276" w:lineRule="auto"/>
              <w:ind w:firstLine="0"/>
            </w:pPr>
            <w:r/>
            <w:r>
              <w:rPr>
                <w:rFonts w:ascii="Times New Roman" w:hAnsi="Times New Roman" w:eastAsia="宋体"/>
                <w:b w:val="0"/>
                <w:i w:val="0"/>
                <w:sz w:val="19"/>
              </w:rPr>
              <w:t>编号蓝字跳转对应详情页、操作列查看、数据导出</w:t>
            </w:r>
          </w:p>
        </w:tc>
        <w:tc>
          <w:tcPr>
            <w:tcW w:type="dxa" w:w="1414"/>
          </w:tcPr>
          <w:p>
            <w:pPr>
              <w:spacing w:before="20" w:after="20" w:line="276" w:lineRule="auto"/>
              <w:ind w:firstLine="0"/>
            </w:pPr>
            <w:r/>
            <w:r>
              <w:rPr>
                <w:rFonts w:ascii="Times New Roman" w:hAnsi="Times New Roman" w:eastAsia="宋体"/>
                <w:b w:val="0"/>
                <w:i w:val="0"/>
                <w:sz w:val="19"/>
              </w:rPr>
              <w:t>编号蓝字与操作列查看均跳转到对应合同或业务线详情页</w:t>
            </w:r>
          </w:p>
        </w:tc>
      </w:tr>
    </w:tbl>
    <w:p>
      <w:pPr>
        <w:spacing w:before="0" w:after="0" w:line="240" w:lineRule="auto"/>
      </w:pPr>
    </w:p>
    <w:p>
      <w:pPr>
        <w:pStyle w:val="Heading3"/>
        <w:keepNext/>
        <w:spacing w:before="160" w:after="80" w:line="312" w:lineRule="auto"/>
        <w:ind w:firstLine="0"/>
      </w:pPr>
      <w:r>
        <w:rPr>
          <w:rFonts w:ascii="Times New Roman" w:hAnsi="Times New Roman" w:eastAsia="黑体"/>
          <w:b/>
          <w:i w:val="0"/>
          <w:sz w:val="24"/>
        </w:rPr>
        <w:t>4.29.8　验收标准与待确认项</w:t>
      </w:r>
    </w:p>
    <w:tbl>
      <w:tblPr>
        <w:tblStyle w:val="TableGrid"/>
        <w:tblW w:type="auto" w:w="0"/>
        <w:jc w:val="center"/>
        <w:tblLayout w:type="fixed"/>
        <w:tblLook w:firstColumn="1" w:firstRow="1" w:lastColumn="0" w:lastRow="0" w:noHBand="0" w:noVBand="1" w:val="04A0"/>
      </w:tblPr>
      <w:tblGrid>
        <w:gridCol w:w="4479"/>
        <w:gridCol w:w="4479"/>
      </w:tblGrid>
      <w:tr>
        <w:trPr>
          <w:tblHeader w:val="true"/>
        </w:trPr>
        <w:tc>
          <w:tcPr>
            <w:tcW w:type="dxa" w:w="1701"/>
            <w:shd w:val="clear" w:color="auto" w:fill="DCE6F1"/>
          </w:tcPr>
          <w:p>
            <w:pPr>
              <w:spacing w:before="40" w:after="40" w:line="276" w:lineRule="auto"/>
              <w:jc w:val="center"/>
            </w:pPr>
            <w:r/>
            <w:r>
              <w:rPr>
                <w:rFonts w:ascii="Times New Roman" w:hAnsi="Times New Roman" w:eastAsia="黑体"/>
                <w:b/>
                <w:i w:val="0"/>
                <w:sz w:val="21"/>
              </w:rPr>
              <w:t>功能</w:t>
            </w:r>
          </w:p>
        </w:tc>
        <w:tc>
          <w:tcPr>
            <w:tcW w:type="dxa" w:w="7370"/>
            <w:shd w:val="clear" w:color="auto" w:fill="DCE6F1"/>
          </w:tcPr>
          <w:p>
            <w:pPr>
              <w:spacing w:before="40" w:after="40" w:line="276" w:lineRule="auto"/>
              <w:jc w:val="center"/>
            </w:pPr>
            <w:r/>
            <w:r>
              <w:rPr>
                <w:rFonts w:ascii="Times New Roman" w:hAnsi="Times New Roman" w:eastAsia="黑体"/>
                <w:b/>
                <w:i w:val="0"/>
                <w:sz w:val="21"/>
              </w:rPr>
              <w:t>验收要点（由关键规则转写）</w:t>
            </w:r>
          </w:p>
        </w:tc>
      </w:tr>
      <w:tr>
        <w:tc>
          <w:tcPr>
            <w:tcW w:type="dxa" w:w="1701"/>
          </w:tcPr>
          <w:p>
            <w:pPr>
              <w:spacing w:before="20" w:after="20" w:line="276" w:lineRule="auto"/>
              <w:ind w:firstLine="0"/>
            </w:pPr>
            <w:r/>
            <w:r>
              <w:rPr>
                <w:rFonts w:ascii="Times New Roman" w:hAnsi="Times New Roman" w:eastAsia="宋体"/>
                <w:b w:val="0"/>
                <w:i w:val="0"/>
                <w:sz w:val="21"/>
              </w:rPr>
              <w:t>驾驶舱指标看板</w:t>
            </w:r>
          </w:p>
        </w:tc>
        <w:tc>
          <w:tcPr>
            <w:tcW w:type="dxa" w:w="7370"/>
          </w:tcPr>
          <w:p>
            <w:pPr>
              <w:spacing w:before="20" w:after="20" w:line="276" w:lineRule="auto"/>
              <w:ind w:firstLine="0"/>
            </w:pPr>
            <w:r/>
            <w:r>
              <w:rPr>
                <w:rFonts w:ascii="Times New Roman" w:hAnsi="Times New Roman" w:eastAsia="宋体"/>
                <w:b w:val="0"/>
                <w:i w:val="0"/>
                <w:sz w:val="21"/>
              </w:rPr>
              <w:t>顶部 2 个筛选字段为统计周期与业务类型，切换后 KPI 与图表按筛选结果重算；5 大 KPI 分别为业务规模即状态不为作废的合同计数、资金规模即合同金额求和、风险敞口即敞口金额求和、业务线状态即状态为执行中的业务线计数、预警计数即状态为未处理的预警计数；4 张图表分别为近 30 日合同签订数量趋势折线图、业务类型分布饼图（存货、预付、账期、购销）、业务线执行状态分布柱状图、最新 10 条预警表格</w:t>
            </w:r>
          </w:p>
        </w:tc>
      </w:tr>
      <w:tr>
        <w:tc>
          <w:tcPr>
            <w:tcW w:type="dxa" w:w="1701"/>
          </w:tcPr>
          <w:p>
            <w:pPr>
              <w:spacing w:before="20" w:after="20" w:line="276" w:lineRule="auto"/>
              <w:ind w:firstLine="0"/>
            </w:pPr>
            <w:r/>
            <w:r>
              <w:rPr>
                <w:rFonts w:ascii="Times New Roman" w:hAnsi="Times New Roman" w:eastAsia="宋体"/>
                <w:b w:val="0"/>
                <w:i w:val="0"/>
                <w:sz w:val="21"/>
              </w:rPr>
              <w:t>驾驶舱分区与快捷入口</w:t>
            </w:r>
          </w:p>
        </w:tc>
        <w:tc>
          <w:tcPr>
            <w:tcW w:type="dxa" w:w="7370"/>
          </w:tcPr>
          <w:p>
            <w:pPr>
              <w:spacing w:before="20" w:after="20" w:line="276" w:lineRule="auto"/>
              <w:ind w:firstLine="0"/>
            </w:pPr>
            <w:r/>
            <w:r>
              <w:rPr>
                <w:rFonts w:ascii="Times New Roman" w:hAnsi="Times New Roman" w:eastAsia="宋体"/>
                <w:b w:val="0"/>
                <w:i w:val="0"/>
                <w:sz w:val="21"/>
              </w:rPr>
              <w:t>提供概览、项目、合同、客户 4 个状态页签，切换即切换对应卡片数据；底部提供 7 个快捷入口，分别跳转项目台账表 report-project.html、业务线台账表 report-bizline.html、资金占压表 report-fund.html、库存明细表 report-inventory.html、应收应付表 report-ar-ap.html、风控统计报表 report-risk.html、合规验证报告 report-compliance.html</w:t>
            </w:r>
          </w:p>
        </w:tc>
      </w:tr>
      <w:tr>
        <w:tc>
          <w:tcPr>
            <w:tcW w:type="dxa" w:w="1701"/>
          </w:tcPr>
          <w:p>
            <w:pPr>
              <w:spacing w:before="20" w:after="20" w:line="276" w:lineRule="auto"/>
              <w:ind w:firstLine="0"/>
            </w:pPr>
            <w:r/>
            <w:r>
              <w:rPr>
                <w:rFonts w:ascii="Times New Roman" w:hAnsi="Times New Roman" w:eastAsia="宋体"/>
                <w:b w:val="0"/>
                <w:i w:val="0"/>
                <w:sz w:val="21"/>
              </w:rPr>
              <w:t>台账报表统一查询交互</w:t>
            </w:r>
          </w:p>
        </w:tc>
        <w:tc>
          <w:tcPr>
            <w:tcW w:type="dxa" w:w="7370"/>
          </w:tcPr>
          <w:p>
            <w:pPr>
              <w:spacing w:before="20" w:after="20" w:line="276" w:lineRule="auto"/>
              <w:ind w:firstLine="0"/>
            </w:pPr>
            <w:r/>
            <w:r>
              <w:rPr>
                <w:rFonts w:ascii="Times New Roman" w:hAnsi="Times New Roman" w:eastAsia="宋体"/>
                <w:b w:val="0"/>
                <w:i w:val="0"/>
                <w:sz w:val="21"/>
              </w:rPr>
              <w:t>编号或合同号以蓝色文字呈现，点击跳转对应详情页；操作列提供查看按钮跳转对应详情页；风控统计报表的操作列额外提供处理按钮，跳转风险处理页；全部 9 个页面均提供数据导出按钮，导出当前筛选数据为 Excel 文件；报表页不提供打印入口</w:t>
            </w:r>
          </w:p>
        </w:tc>
      </w:tr>
      <w:tr>
        <w:tc>
          <w:tcPr>
            <w:tcW w:type="dxa" w:w="1701"/>
          </w:tcPr>
          <w:p>
            <w:pPr>
              <w:spacing w:before="20" w:after="20" w:line="276" w:lineRule="auto"/>
              <w:ind w:firstLine="0"/>
            </w:pPr>
            <w:r/>
            <w:r>
              <w:rPr>
                <w:rFonts w:ascii="Times New Roman" w:hAnsi="Times New Roman" w:eastAsia="宋体"/>
                <w:b w:val="0"/>
                <w:i w:val="0"/>
                <w:sz w:val="21"/>
              </w:rPr>
              <w:t>资金占压与应收应付取数口径</w:t>
            </w:r>
          </w:p>
        </w:tc>
        <w:tc>
          <w:tcPr>
            <w:tcW w:type="dxa" w:w="7370"/>
          </w:tcPr>
          <w:p>
            <w:pPr>
              <w:spacing w:before="20" w:after="20" w:line="276" w:lineRule="auto"/>
              <w:ind w:firstLine="0"/>
            </w:pPr>
            <w:r/>
            <w:r>
              <w:rPr>
                <w:rFonts w:ascii="Times New Roman" w:hAnsi="Times New Roman" w:eastAsia="宋体"/>
                <w:b w:val="0"/>
                <w:i w:val="0"/>
                <w:sz w:val="21"/>
              </w:rPr>
              <w:t>应付总额等于全量采购合同总金额；应收总额等于全量销售合同总金额；库存资金占压等于上游货款之和减上游退款之和，再减去下游货款之和加下游保证金之和减下游退款之和；净占压金额等于下游未收加库存资金占压减上游未付；应收应付表顶部 4 张 KPI 卡片分别为应付总额、应收总额、库存资金占压与净占压金额，每张卡片对应一条公式或公式组合</w:t>
            </w:r>
          </w:p>
        </w:tc>
      </w:tr>
      <w:tr>
        <w:tc>
          <w:tcPr>
            <w:tcW w:type="dxa" w:w="1701"/>
          </w:tcPr>
          <w:p>
            <w:pPr>
              <w:spacing w:before="20" w:after="20" w:line="276" w:lineRule="auto"/>
              <w:ind w:firstLine="0"/>
            </w:pPr>
            <w:r/>
            <w:r>
              <w:rPr>
                <w:rFonts w:ascii="Times New Roman" w:hAnsi="Times New Roman" w:eastAsia="宋体"/>
                <w:b w:val="0"/>
                <w:i w:val="0"/>
                <w:sz w:val="21"/>
              </w:rPr>
              <w:t>库存明细取数口径</w:t>
            </w:r>
          </w:p>
        </w:tc>
        <w:tc>
          <w:tcPr>
            <w:tcW w:type="dxa" w:w="7370"/>
          </w:tcPr>
          <w:p>
            <w:pPr>
              <w:spacing w:before="20" w:after="20" w:line="276" w:lineRule="auto"/>
              <w:ind w:firstLine="0"/>
            </w:pPr>
            <w:r/>
            <w:r>
              <w:rPr>
                <w:rFonts w:ascii="Times New Roman" w:hAnsi="Times New Roman" w:eastAsia="宋体"/>
                <w:b w:val="0"/>
                <w:i w:val="0"/>
                <w:sz w:val="21"/>
              </w:rPr>
              <w:t>累计入库与累计出库均等于平台全量出入库记录中货物重量的总和；库存吨位等于累计入库减累计出库总和；库存货值等于库存重量乘当期货物总价；库存明细表按每组 4 个 KPI 组织，表格共 18 列，含仓库名称、库存数量、库存重量、预占库存数量、预占库存重量</w:t>
            </w:r>
          </w:p>
        </w:tc>
      </w:tr>
      <w:tr>
        <w:tc>
          <w:tcPr>
            <w:tcW w:type="dxa" w:w="1701"/>
          </w:tcPr>
          <w:p>
            <w:pPr>
              <w:spacing w:before="20" w:after="20" w:line="276" w:lineRule="auto"/>
              <w:ind w:firstLine="0"/>
            </w:pPr>
            <w:r/>
            <w:r>
              <w:rPr>
                <w:rFonts w:ascii="Times New Roman" w:hAnsi="Times New Roman" w:eastAsia="宋体"/>
                <w:b w:val="0"/>
                <w:i w:val="0"/>
                <w:sz w:val="21"/>
              </w:rPr>
              <w:t>付款与回款时间口径</w:t>
            </w:r>
          </w:p>
        </w:tc>
        <w:tc>
          <w:tcPr>
            <w:tcW w:type="dxa" w:w="7370"/>
          </w:tcPr>
          <w:p>
            <w:pPr>
              <w:spacing w:before="20" w:after="20" w:line="276" w:lineRule="auto"/>
              <w:ind w:firstLine="0"/>
            </w:pPr>
            <w:r/>
            <w:r>
              <w:rPr>
                <w:rFonts w:ascii="Times New Roman" w:hAnsi="Times New Roman" w:eastAsia="宋体"/>
                <w:b w:val="0"/>
                <w:i w:val="0"/>
                <w:sz w:val="21"/>
              </w:rPr>
              <w:t>付款与回款各提供 3 个时间口径：累计为历史上所有已付或已回总额且不区分年份，当年为本年内发生数，本月为当前月份发生数；库存量等于入库总数减已出库数；资金占压表的两个 KPI 分别为上游供应商资金流水与下游采购商资金流水</w:t>
            </w:r>
          </w:p>
        </w:tc>
      </w:tr>
      <w:tr>
        <w:tc>
          <w:tcPr>
            <w:tcW w:type="dxa" w:w="1701"/>
          </w:tcPr>
          <w:p>
            <w:pPr>
              <w:spacing w:before="20" w:after="20" w:line="276" w:lineRule="auto"/>
              <w:ind w:firstLine="0"/>
            </w:pPr>
            <w:r/>
            <w:r>
              <w:rPr>
                <w:rFonts w:ascii="Times New Roman" w:hAnsi="Times New Roman" w:eastAsia="宋体"/>
                <w:b w:val="0"/>
                <w:i w:val="0"/>
                <w:sz w:val="21"/>
              </w:rPr>
              <w:t>风控统计报表</w:t>
            </w:r>
          </w:p>
        </w:tc>
        <w:tc>
          <w:tcPr>
            <w:tcW w:type="dxa" w:w="7370"/>
          </w:tcPr>
          <w:p>
            <w:pPr>
              <w:spacing w:before="20" w:after="20" w:line="276" w:lineRule="auto"/>
              <w:ind w:firstLine="0"/>
            </w:pPr>
            <w:r/>
            <w:r>
              <w:rPr>
                <w:rFonts w:ascii="Times New Roman" w:hAnsi="Times New Roman" w:eastAsia="宋体"/>
                <w:b w:val="0"/>
                <w:i w:val="0"/>
                <w:sz w:val="21"/>
              </w:rPr>
              <w:t>顶部 4 个筛选字段为风险类型、风险等级、处理状态与客户；表格共 9 列；操作列提供查看与处理两个动作，处理动作跳转风险处理页；风险未及时处理的数据以黄色逾期标记提示，风险逾期天数的判定阈值待业务方确认</w:t>
            </w:r>
          </w:p>
        </w:tc>
      </w:tr>
      <w:tr>
        <w:tc>
          <w:tcPr>
            <w:tcW w:type="dxa" w:w="1701"/>
          </w:tcPr>
          <w:p>
            <w:pPr>
              <w:spacing w:before="20" w:after="20" w:line="276" w:lineRule="auto"/>
              <w:ind w:firstLine="0"/>
            </w:pPr>
            <w:r/>
            <w:r>
              <w:rPr>
                <w:rFonts w:ascii="Times New Roman" w:hAnsi="Times New Roman" w:eastAsia="宋体"/>
                <w:b w:val="0"/>
                <w:i w:val="0"/>
                <w:sz w:val="21"/>
              </w:rPr>
              <w:t>合规验证报告</w:t>
            </w:r>
          </w:p>
        </w:tc>
        <w:tc>
          <w:tcPr>
            <w:tcW w:type="dxa" w:w="7370"/>
          </w:tcPr>
          <w:p>
            <w:pPr>
              <w:spacing w:before="20" w:after="20" w:line="276" w:lineRule="auto"/>
              <w:ind w:firstLine="0"/>
            </w:pPr>
            <w:r/>
            <w:r>
              <w:rPr>
                <w:rFonts w:ascii="Times New Roman" w:hAnsi="Times New Roman" w:eastAsia="宋体"/>
                <w:b w:val="0"/>
                <w:i w:val="0"/>
                <w:sz w:val="21"/>
              </w:rPr>
              <w:t>列表页提供编号、企业名称、运输方式、签订日期、交货起始日、业务类型与业务线回款共 7 项筛选，其中业务线回款为已回款与未回款互斥单选，表格共 11 列；详情页顶部 3 个 KPI 摘要为基础信息、合规状态与验证规则；详情页含业务线全景、8 类风险扫描、十不准及四流一致性校验的 25 项以上检查项，以及整改跟踪、实时活动与催办 3 个写操作区；合规状态为 3 档，通过、待补件、不通过</w:t>
            </w:r>
          </w:p>
        </w:tc>
      </w:tr>
      <w:tr>
        <w:tc>
          <w:tcPr>
            <w:tcW w:type="dxa" w:w="1701"/>
          </w:tcPr>
          <w:p>
            <w:pPr>
              <w:spacing w:before="20" w:after="20" w:line="276" w:lineRule="auto"/>
              <w:ind w:firstLine="0"/>
            </w:pPr>
            <w:r/>
            <w:r>
              <w:rPr>
                <w:rFonts w:ascii="Times New Roman" w:hAnsi="Times New Roman" w:eastAsia="宋体"/>
                <w:b w:val="0"/>
                <w:i w:val="0"/>
                <w:sz w:val="21"/>
              </w:rPr>
              <w:t>取数来源与刷新</w:t>
            </w:r>
          </w:p>
        </w:tc>
        <w:tc>
          <w:tcPr>
            <w:tcW w:type="dxa" w:w="7370"/>
          </w:tcPr>
          <w:p>
            <w:pPr>
              <w:spacing w:before="20" w:after="20" w:line="276" w:lineRule="auto"/>
              <w:ind w:firstLine="0"/>
            </w:pPr>
            <w:r/>
            <w:r>
              <w:rPr>
                <w:rFonts w:ascii="Times New Roman" w:hAnsi="Times New Roman" w:eastAsia="宋体"/>
                <w:b w:val="0"/>
                <w:i w:val="0"/>
                <w:sz w:val="21"/>
              </w:rPr>
              <w:t>客户与项目准入完成后更新驾驶舱与业务报表；合同签订与履行后更新业务线台账表与资金占压表；业务线执行后更新业务线台账表与资金占压表；入库与出库后更新库存明细表；付款与回款完成后更新资金占压表与应收应付表；预警触发后更新风控统计报表；库存预警后更新风控统计报表与库存明细表；驾驶舱在数据变化后刷新，刷新频率与推送方式待业务方确认</w:t>
            </w:r>
          </w:p>
        </w:tc>
      </w:tr>
    </w:tbl>
    <w:p>
      <w:pPr>
        <w:spacing w:before="0" w:after="0" w:line="240" w:lineRule="auto"/>
      </w:pPr>
    </w:p>
    <w:p>
      <w:pPr>
        <w:spacing w:before="120" w:after="60" w:line="360" w:lineRule="auto"/>
      </w:pPr>
      <w:r>
        <w:rPr>
          <w:rFonts w:ascii="Times New Roman" w:hAnsi="Times New Roman" w:eastAsia="宋体"/>
          <w:b/>
          <w:i w:val="0"/>
          <w:sz w:val="24"/>
        </w:rPr>
        <w:t>待业务方确认：</w:t>
      </w:r>
    </w:p>
    <w:p>
      <w:pPr>
        <w:spacing w:before="0" w:after="60" w:line="336" w:lineRule="auto"/>
        <w:ind w:left="340" w:firstLine="0"/>
      </w:pPr>
      <w:r>
        <w:rPr>
          <w:rFonts w:ascii="Times New Roman" w:hAnsi="Times New Roman" w:eastAsia="宋体"/>
          <w:b w:val="0"/>
          <w:i w:val="0"/>
          <w:sz w:val="24"/>
        </w:rPr>
        <w:t>· 待业务方确认：驾驶舱的唯一入口页面，驾驶舱与旧版看板两个页面并存，菜单当前指向其中一个，需确认保留哪一个作为正式首页</w:t>
      </w:r>
    </w:p>
    <w:p>
      <w:pPr>
        <w:spacing w:before="0" w:after="60" w:line="336" w:lineRule="auto"/>
        <w:ind w:left="340" w:firstLine="0"/>
      </w:pPr>
      <w:r>
        <w:rPr>
          <w:rFonts w:ascii="Times New Roman" w:hAnsi="Times New Roman" w:eastAsia="宋体"/>
          <w:b w:val="0"/>
          <w:i w:val="0"/>
          <w:sz w:val="24"/>
        </w:rPr>
        <w:t>· 待业务方确认：驾驶舱区块口径，7 列卡片、5 大 KPI 加 4 张图表、9 项业务指标三套描述并存，区块排布与 KPI 与图表的对应关系需统一</w:t>
      </w:r>
    </w:p>
    <w:p>
      <w:pPr>
        <w:spacing w:before="0" w:after="60" w:line="336" w:lineRule="auto"/>
        <w:ind w:left="340" w:firstLine="0"/>
      </w:pPr>
      <w:r>
        <w:rPr>
          <w:rFonts w:ascii="Times New Roman" w:hAnsi="Times New Roman" w:eastAsia="宋体"/>
          <w:b w:val="0"/>
          <w:i w:val="0"/>
          <w:sz w:val="24"/>
        </w:rPr>
        <w:t>· 待业务方确认：风控统计报表与合规验证报告两页的完整列名、筛选枚举与状态取值口径</w:t>
      </w:r>
    </w:p>
    <w:p>
      <w:pPr>
        <w:spacing w:before="0" w:after="60" w:line="336" w:lineRule="auto"/>
        <w:ind w:left="340" w:firstLine="0"/>
      </w:pPr>
      <w:r>
        <w:rPr>
          <w:rFonts w:ascii="Times New Roman" w:hAnsi="Times New Roman" w:eastAsia="宋体"/>
          <w:b w:val="0"/>
          <w:i w:val="0"/>
          <w:sz w:val="24"/>
        </w:rPr>
        <w:t>· 待业务方确认：合规验证报告的十不准 10 条内容、四流的 4 流定义、25 项以上检查项的完整清单、8 类风险的判定规则与关键检查项定义</w:t>
      </w:r>
    </w:p>
    <w:p>
      <w:pPr>
        <w:spacing w:before="0" w:after="60" w:line="336" w:lineRule="auto"/>
        <w:ind w:left="340" w:firstLine="0"/>
      </w:pPr>
      <w:r>
        <w:rPr>
          <w:rFonts w:ascii="Times New Roman" w:hAnsi="Times New Roman" w:eastAsia="宋体"/>
          <w:b w:val="0"/>
          <w:i w:val="0"/>
          <w:sz w:val="24"/>
        </w:rPr>
        <w:t>· 待业务方确认：整改跟踪、实时活动、催办 3 个写操作区的字段、参与角色与确认文案</w:t>
      </w:r>
    </w:p>
    <w:p>
      <w:pPr>
        <w:spacing w:before="0" w:after="60" w:line="336" w:lineRule="auto"/>
        <w:ind w:left="340" w:firstLine="0"/>
      </w:pPr>
      <w:r>
        <w:rPr>
          <w:rFonts w:ascii="Times New Roman" w:hAnsi="Times New Roman" w:eastAsia="宋体"/>
          <w:b w:val="0"/>
          <w:i w:val="0"/>
          <w:sz w:val="24"/>
        </w:rPr>
        <w:t>· 待业务方确认：各报表的数据行级可见范围，即谁能看到哪些项目、业务线与客户；以及数据导出是否受同一范围约束</w:t>
      </w:r>
    </w:p>
    <w:p>
      <w:pPr>
        <w:spacing w:before="0" w:after="60" w:line="336" w:lineRule="auto"/>
        <w:ind w:left="340" w:firstLine="0"/>
      </w:pPr>
      <w:r>
        <w:rPr>
          <w:rFonts w:ascii="Times New Roman" w:hAnsi="Times New Roman" w:eastAsia="宋体"/>
          <w:b w:val="0"/>
          <w:i w:val="0"/>
          <w:sz w:val="24"/>
        </w:rPr>
        <w:t>· 待业务方确认：驾驶舱数据刷新的频率、推送方式与刷新范围</w:t>
      </w:r>
    </w:p>
    <w:p>
      <w:pPr>
        <w:spacing w:before="0" w:after="60" w:line="336" w:lineRule="auto"/>
        <w:ind w:left="340" w:firstLine="0"/>
      </w:pPr>
      <w:r>
        <w:rPr>
          <w:rFonts w:ascii="Times New Roman" w:hAnsi="Times New Roman" w:eastAsia="宋体"/>
          <w:b w:val="0"/>
          <w:i w:val="0"/>
          <w:sz w:val="24"/>
        </w:rPr>
        <w:t>· 待业务方确认：驾驶舱导出报告的文件格式，页面级说明写导出 PDF，与全站仅准入管理整体报告可导出 PDF 的口径不一致</w:t>
      </w:r>
    </w:p>
    <w:p>
      <w:pPr>
        <w:spacing w:before="0" w:after="60" w:line="336" w:lineRule="auto"/>
        <w:ind w:left="340" w:firstLine="0"/>
      </w:pPr>
      <w:r>
        <w:rPr>
          <w:rFonts w:ascii="Times New Roman" w:hAnsi="Times New Roman" w:eastAsia="宋体"/>
          <w:b w:val="0"/>
          <w:i w:val="0"/>
          <w:sz w:val="24"/>
        </w:rPr>
        <w:t>· 待业务方确认：风险未及时处理的逾期天数阈值与库存为负数的判定口径</w:t>
      </w:r>
    </w:p>
    <w:p>
      <w:pPr>
        <w:spacing w:before="0" w:after="60" w:line="336" w:lineRule="auto"/>
        <w:ind w:left="340" w:firstLine="0"/>
      </w:pPr>
      <w:r>
        <w:rPr>
          <w:rFonts w:ascii="Times New Roman" w:hAnsi="Times New Roman" w:eastAsia="宋体"/>
          <w:b w:val="0"/>
          <w:i w:val="0"/>
          <w:sz w:val="24"/>
        </w:rPr>
        <w:t>· 待业务方确认：合规验证报告的合规状态 3 档是否已定稿，以及各状态对应的英文枚举值</w:t>
      </w:r>
    </w:p>
    <w:p>
      <w:r>
        <w:br w:type="page"/>
      </w:r>
    </w:p>
    <w:p>
      <w:pPr>
        <w:pStyle w:val="Heading1"/>
        <w:keepNext/>
        <w:spacing w:before="360" w:after="200" w:line="312" w:lineRule="auto"/>
        <w:ind w:firstLine="0"/>
      </w:pPr>
      <w:r>
        <w:rPr>
          <w:rFonts w:ascii="Times New Roman" w:hAnsi="Times New Roman" w:eastAsia="黑体"/>
          <w:b/>
          <w:i w:val="0"/>
          <w:sz w:val="32"/>
        </w:rPr>
        <w:t>5　跨模块待确认问题清单</w:t>
      </w:r>
    </w:p>
    <w:p>
      <w:pPr>
        <w:spacing w:before="0" w:after="120" w:line="360" w:lineRule="auto"/>
      </w:pPr>
      <w:r>
        <w:rPr>
          <w:rFonts w:ascii="Times New Roman" w:hAnsi="Times New Roman" w:eastAsia="宋体"/>
          <w:b w:val="0"/>
          <w:i w:val="0"/>
          <w:sz w:val="24"/>
        </w:rPr>
        <w:t>以下条目需在需求评审会上逐条闭环，闭环前不进入开发排期。</w:t>
      </w:r>
    </w:p>
    <w:tbl>
      <w:tblPr>
        <w:tblStyle w:val="TableGrid"/>
        <w:tblW w:type="auto" w:w="0"/>
        <w:jc w:val="center"/>
        <w:tblLayout w:type="fixed"/>
        <w:tblLook w:firstColumn="1" w:firstRow="1" w:lastColumn="0" w:lastRow="0" w:noHBand="0" w:noVBand="1" w:val="04A0"/>
      </w:tblPr>
      <w:tblGrid>
        <w:gridCol w:w="4479"/>
        <w:gridCol w:w="4479"/>
      </w:tblGrid>
      <w:tr>
        <w:trPr>
          <w:tblHeader w:val="true"/>
        </w:trPr>
        <w:tc>
          <w:tcPr>
            <w:tcW w:type="dxa" w:w="1701"/>
            <w:shd w:val="clear" w:color="auto" w:fill="DCE6F1"/>
          </w:tcPr>
          <w:p>
            <w:pPr>
              <w:spacing w:before="40" w:after="40" w:line="276" w:lineRule="auto"/>
              <w:jc w:val="center"/>
            </w:pPr>
            <w:r/>
            <w:r>
              <w:rPr>
                <w:rFonts w:ascii="Times New Roman" w:hAnsi="Times New Roman" w:eastAsia="黑体"/>
                <w:b/>
                <w:i w:val="0"/>
                <w:sz w:val="21"/>
              </w:rPr>
              <w:t>模块</w:t>
            </w:r>
          </w:p>
        </w:tc>
        <w:tc>
          <w:tcPr>
            <w:tcW w:type="dxa" w:w="7370"/>
            <w:shd w:val="clear" w:color="auto" w:fill="DCE6F1"/>
          </w:tcPr>
          <w:p>
            <w:pPr>
              <w:spacing w:before="40" w:after="40" w:line="276" w:lineRule="auto"/>
              <w:jc w:val="center"/>
            </w:pPr>
            <w:r/>
            <w:r>
              <w:rPr>
                <w:rFonts w:ascii="Times New Roman" w:hAnsi="Times New Roman" w:eastAsia="黑体"/>
                <w:b/>
                <w:i w:val="0"/>
                <w:sz w:val="21"/>
              </w:rPr>
              <w:t>待确认问题</w:t>
            </w:r>
          </w:p>
        </w:tc>
      </w:tr>
      <w:tr>
        <w:tc>
          <w:tcPr>
            <w:tcW w:type="dxa" w:w="1701"/>
          </w:tcPr>
          <w:p>
            <w:pPr>
              <w:spacing w:before="20" w:after="20" w:line="276" w:lineRule="auto"/>
              <w:ind w:firstLine="0"/>
            </w:pPr>
            <w:r/>
            <w:r>
              <w:rPr>
                <w:rFonts w:ascii="Times New Roman" w:hAnsi="Times New Roman" w:eastAsia="宋体"/>
                <w:b w:val="0"/>
                <w:i w:val="0"/>
                <w:sz w:val="21"/>
              </w:rPr>
              <w:t>项目准入</w:t>
            </w:r>
          </w:p>
        </w:tc>
        <w:tc>
          <w:tcPr>
            <w:tcW w:type="dxa" w:w="7370"/>
          </w:tcPr>
          <w:p>
            <w:pPr>
              <w:spacing w:before="20" w:after="20" w:line="276" w:lineRule="auto"/>
              <w:ind w:firstLine="0"/>
            </w:pPr>
            <w:r/>
            <w:r>
              <w:rPr>
                <w:rFonts w:ascii="Times New Roman" w:hAnsi="Times New Roman" w:eastAsia="宋体"/>
                <w:b w:val="0"/>
                <w:i w:val="0"/>
                <w:sz w:val="21"/>
              </w:rPr>
              <w:t>待业务方确认：业务类型与货物品类的匹配矩阵，现有口径仅明确提示文案「业务类型 X 与品类 Y 不匹配」，各业务类型可搭配的品类清单未给出</w:t>
            </w:r>
          </w:p>
        </w:tc>
      </w:tr>
      <w:tr>
        <w:tc>
          <w:tcPr>
            <w:tcW w:type="dxa" w:w="1701"/>
          </w:tcPr>
          <w:p>
            <w:pPr>
              <w:spacing w:before="20" w:after="20" w:line="276" w:lineRule="auto"/>
              <w:ind w:firstLine="0"/>
            </w:pPr>
            <w:r/>
            <w:r>
              <w:rPr>
                <w:rFonts w:ascii="Times New Roman" w:hAnsi="Times New Roman" w:eastAsia="宋体"/>
                <w:b w:val="0"/>
                <w:i w:val="0"/>
                <w:sz w:val="21"/>
              </w:rPr>
              <w:t>项目准入</w:t>
            </w:r>
          </w:p>
        </w:tc>
        <w:tc>
          <w:tcPr>
            <w:tcW w:type="dxa" w:w="7370"/>
          </w:tcPr>
          <w:p>
            <w:pPr>
              <w:spacing w:before="20" w:after="20" w:line="276" w:lineRule="auto"/>
              <w:ind w:firstLine="0"/>
            </w:pPr>
            <w:r/>
            <w:r>
              <w:rPr>
                <w:rFonts w:ascii="Times New Roman" w:hAnsi="Times New Roman" w:eastAsia="宋体"/>
                <w:b w:val="0"/>
                <w:i w:val="0"/>
                <w:sz w:val="21"/>
              </w:rPr>
              <w:t>待业务方确认：贸易风控合规报告 6 项检查项中「上下游为同一企业或同一实际控制人」与「一方为另一方贸易合同提供连带责任担保」两项的判定规则</w:t>
            </w:r>
          </w:p>
        </w:tc>
      </w:tr>
      <w:tr>
        <w:tc>
          <w:tcPr>
            <w:tcW w:type="dxa" w:w="1701"/>
          </w:tcPr>
          <w:p>
            <w:pPr>
              <w:spacing w:before="20" w:after="20" w:line="276" w:lineRule="auto"/>
              <w:ind w:firstLine="0"/>
            </w:pPr>
            <w:r/>
            <w:r>
              <w:rPr>
                <w:rFonts w:ascii="Times New Roman" w:hAnsi="Times New Roman" w:eastAsia="宋体"/>
                <w:b w:val="0"/>
                <w:i w:val="0"/>
                <w:sz w:val="21"/>
              </w:rPr>
              <w:t>项目准入</w:t>
            </w:r>
          </w:p>
        </w:tc>
        <w:tc>
          <w:tcPr>
            <w:tcW w:type="dxa" w:w="7370"/>
          </w:tcPr>
          <w:p>
            <w:pPr>
              <w:spacing w:before="20" w:after="20" w:line="276" w:lineRule="auto"/>
              <w:ind w:firstLine="0"/>
            </w:pPr>
            <w:r/>
            <w:r>
              <w:rPr>
                <w:rFonts w:ascii="Times New Roman" w:hAnsi="Times New Roman" w:eastAsia="宋体"/>
                <w:b w:val="0"/>
                <w:i w:val="0"/>
                <w:sz w:val="21"/>
              </w:rPr>
              <w:t>待业务方确认：企业风险扫描结果 6 个 Tab 下各自的逐条检查项与结果字段</w:t>
            </w:r>
          </w:p>
        </w:tc>
      </w:tr>
      <w:tr>
        <w:tc>
          <w:tcPr>
            <w:tcW w:type="dxa" w:w="1701"/>
          </w:tcPr>
          <w:p>
            <w:pPr>
              <w:spacing w:before="20" w:after="20" w:line="276" w:lineRule="auto"/>
              <w:ind w:firstLine="0"/>
            </w:pPr>
            <w:r/>
            <w:r>
              <w:rPr>
                <w:rFonts w:ascii="Times New Roman" w:hAnsi="Times New Roman" w:eastAsia="宋体"/>
                <w:b w:val="0"/>
                <w:i w:val="0"/>
                <w:sz w:val="21"/>
              </w:rPr>
              <w:t>项目准入</w:t>
            </w:r>
          </w:p>
        </w:tc>
        <w:tc>
          <w:tcPr>
            <w:tcW w:type="dxa" w:w="7370"/>
          </w:tcPr>
          <w:p>
            <w:pPr>
              <w:spacing w:before="20" w:after="20" w:line="276" w:lineRule="auto"/>
              <w:ind w:firstLine="0"/>
            </w:pPr>
            <w:r/>
            <w:r>
              <w:rPr>
                <w:rFonts w:ascii="Times New Roman" w:hAnsi="Times New Roman" w:eastAsia="宋体"/>
                <w:b w:val="0"/>
                <w:i w:val="0"/>
                <w:sz w:val="21"/>
              </w:rPr>
              <w:t>待业务方确认：项目准入「整体报告」PDF 的内容范围与页面入口位置</w:t>
            </w:r>
          </w:p>
        </w:tc>
      </w:tr>
      <w:tr>
        <w:tc>
          <w:tcPr>
            <w:tcW w:type="dxa" w:w="1701"/>
          </w:tcPr>
          <w:p>
            <w:pPr>
              <w:spacing w:before="20" w:after="20" w:line="276" w:lineRule="auto"/>
              <w:ind w:firstLine="0"/>
            </w:pPr>
            <w:r/>
            <w:r>
              <w:rPr>
                <w:rFonts w:ascii="Times New Roman" w:hAnsi="Times New Roman" w:eastAsia="宋体"/>
                <w:b w:val="0"/>
                <w:i w:val="0"/>
                <w:sz w:val="21"/>
              </w:rPr>
              <w:t>项目准入</w:t>
            </w:r>
          </w:p>
        </w:tc>
        <w:tc>
          <w:tcPr>
            <w:tcW w:type="dxa" w:w="7370"/>
          </w:tcPr>
          <w:p>
            <w:pPr>
              <w:spacing w:before="20" w:after="20" w:line="276" w:lineRule="auto"/>
              <w:ind w:firstLine="0"/>
            </w:pPr>
            <w:r/>
            <w:r>
              <w:rPr>
                <w:rFonts w:ascii="Times New Roman" w:hAnsi="Times New Roman" w:eastAsia="宋体"/>
                <w:b w:val="0"/>
                <w:i w:val="0"/>
                <w:sz w:val="21"/>
              </w:rPr>
              <w:t>待业务方确认：立项流程第 4 步的页面名称，需求口径为「提交审批」，原型页面显示为「审批详情」</w:t>
            </w:r>
          </w:p>
        </w:tc>
      </w:tr>
      <w:tr>
        <w:tc>
          <w:tcPr>
            <w:tcW w:type="dxa" w:w="1701"/>
          </w:tcPr>
          <w:p>
            <w:pPr>
              <w:spacing w:before="20" w:after="20" w:line="276" w:lineRule="auto"/>
              <w:ind w:firstLine="0"/>
            </w:pPr>
            <w:r/>
            <w:r>
              <w:rPr>
                <w:rFonts w:ascii="Times New Roman" w:hAnsi="Times New Roman" w:eastAsia="宋体"/>
                <w:b w:val="0"/>
                <w:i w:val="0"/>
                <w:sz w:val="21"/>
              </w:rPr>
              <w:t>项目准入</w:t>
            </w:r>
          </w:p>
        </w:tc>
        <w:tc>
          <w:tcPr>
            <w:tcW w:type="dxa" w:w="7370"/>
          </w:tcPr>
          <w:p>
            <w:pPr>
              <w:spacing w:before="20" w:after="20" w:line="276" w:lineRule="auto"/>
              <w:ind w:firstLine="0"/>
            </w:pPr>
            <w:r/>
            <w:r>
              <w:rPr>
                <w:rFonts w:ascii="Times New Roman" w:hAnsi="Times New Roman" w:eastAsia="宋体"/>
                <w:b w:val="0"/>
                <w:i w:val="0"/>
                <w:sz w:val="21"/>
              </w:rPr>
              <w:t>待业务方确认：「业务周期」字段的存储形态是月数还是起止日期</w:t>
            </w:r>
          </w:p>
        </w:tc>
      </w:tr>
      <w:tr>
        <w:tc>
          <w:tcPr>
            <w:tcW w:type="dxa" w:w="1701"/>
          </w:tcPr>
          <w:p>
            <w:pPr>
              <w:spacing w:before="20" w:after="20" w:line="276" w:lineRule="auto"/>
              <w:ind w:firstLine="0"/>
            </w:pPr>
            <w:r/>
            <w:r>
              <w:rPr>
                <w:rFonts w:ascii="Times New Roman" w:hAnsi="Times New Roman" w:eastAsia="宋体"/>
                <w:b w:val="0"/>
                <w:i w:val="0"/>
                <w:sz w:val="21"/>
              </w:rPr>
              <w:t>项目准入</w:t>
            </w:r>
          </w:p>
        </w:tc>
        <w:tc>
          <w:tcPr>
            <w:tcW w:type="dxa" w:w="7370"/>
          </w:tcPr>
          <w:p>
            <w:pPr>
              <w:spacing w:before="20" w:after="20" w:line="276" w:lineRule="auto"/>
              <w:ind w:firstLine="0"/>
            </w:pPr>
            <w:r/>
            <w:r>
              <w:rPr>
                <w:rFonts w:ascii="Times New Roman" w:hAnsi="Times New Roman" w:eastAsia="宋体"/>
                <w:b w:val="0"/>
                <w:i w:val="0"/>
                <w:sz w:val="21"/>
              </w:rPr>
              <w:t>待业务方确认：审批流类型的完整取值，当前仅明确对接外部 OA 的一种取值</w:t>
            </w:r>
          </w:p>
        </w:tc>
      </w:tr>
      <w:tr>
        <w:tc>
          <w:tcPr>
            <w:tcW w:type="dxa" w:w="1701"/>
          </w:tcPr>
          <w:p>
            <w:pPr>
              <w:spacing w:before="20" w:after="20" w:line="276" w:lineRule="auto"/>
              <w:ind w:firstLine="0"/>
            </w:pPr>
            <w:r/>
            <w:r>
              <w:rPr>
                <w:rFonts w:ascii="Times New Roman" w:hAnsi="Times New Roman" w:eastAsia="宋体"/>
                <w:b w:val="0"/>
                <w:i w:val="0"/>
                <w:sz w:val="21"/>
              </w:rPr>
              <w:t>项目准入</w:t>
            </w:r>
          </w:p>
        </w:tc>
        <w:tc>
          <w:tcPr>
            <w:tcW w:type="dxa" w:w="7370"/>
          </w:tcPr>
          <w:p>
            <w:pPr>
              <w:spacing w:before="20" w:after="20" w:line="276" w:lineRule="auto"/>
              <w:ind w:firstLine="0"/>
            </w:pPr>
            <w:r/>
            <w:r>
              <w:rPr>
                <w:rFonts w:ascii="Times New Roman" w:hAnsi="Times New Roman" w:eastAsia="宋体"/>
                <w:b w:val="0"/>
                <w:i w:val="0"/>
                <w:sz w:val="21"/>
              </w:rPr>
              <w:t>待业务方确认：模块整页「无访问权限」的兜底文案与处理方式</w:t>
            </w:r>
          </w:p>
        </w:tc>
      </w:tr>
      <w:tr>
        <w:tc>
          <w:tcPr>
            <w:tcW w:type="dxa" w:w="1701"/>
          </w:tcPr>
          <w:p>
            <w:pPr>
              <w:spacing w:before="20" w:after="20" w:line="276" w:lineRule="auto"/>
              <w:ind w:firstLine="0"/>
            </w:pPr>
            <w:r/>
            <w:r>
              <w:rPr>
                <w:rFonts w:ascii="Times New Roman" w:hAnsi="Times New Roman" w:eastAsia="宋体"/>
                <w:b w:val="0"/>
                <w:i w:val="0"/>
                <w:sz w:val="21"/>
              </w:rPr>
              <w:t>客户准入</w:t>
            </w:r>
          </w:p>
        </w:tc>
        <w:tc>
          <w:tcPr>
            <w:tcW w:type="dxa" w:w="7370"/>
          </w:tcPr>
          <w:p>
            <w:pPr>
              <w:spacing w:before="20" w:after="20" w:line="276" w:lineRule="auto"/>
              <w:ind w:firstLine="0"/>
            </w:pPr>
            <w:r/>
            <w:r>
              <w:rPr>
                <w:rFonts w:ascii="Times New Roman" w:hAnsi="Times New Roman" w:eastAsia="宋体"/>
                <w:b w:val="0"/>
                <w:i w:val="0"/>
                <w:sz w:val="21"/>
              </w:rPr>
              <w:t>待业务方确认：客户详情页「客户准入材料」Tab 是否纳入本期交付范围，需求口径为 6 个 Tab，当前原型页渲染 5 个 Tab</w:t>
            </w:r>
          </w:p>
        </w:tc>
      </w:tr>
      <w:tr>
        <w:tc>
          <w:tcPr>
            <w:tcW w:type="dxa" w:w="1701"/>
          </w:tcPr>
          <w:p>
            <w:pPr>
              <w:spacing w:before="20" w:after="20" w:line="276" w:lineRule="auto"/>
              <w:ind w:firstLine="0"/>
            </w:pPr>
            <w:r/>
            <w:r>
              <w:rPr>
                <w:rFonts w:ascii="Times New Roman" w:hAnsi="Times New Roman" w:eastAsia="宋体"/>
                <w:b w:val="0"/>
                <w:i w:val="0"/>
                <w:sz w:val="21"/>
              </w:rPr>
              <w:t>客户准入</w:t>
            </w:r>
          </w:p>
        </w:tc>
        <w:tc>
          <w:tcPr>
            <w:tcW w:type="dxa" w:w="7370"/>
          </w:tcPr>
          <w:p>
            <w:pPr>
              <w:spacing w:before="20" w:after="20" w:line="276" w:lineRule="auto"/>
              <w:ind w:firstLine="0"/>
            </w:pPr>
            <w:r/>
            <w:r>
              <w:rPr>
                <w:rFonts w:ascii="Times New Roman" w:hAnsi="Times New Roman" w:eastAsia="宋体"/>
                <w:b w:val="0"/>
                <w:i w:val="0"/>
                <w:sz w:val="21"/>
              </w:rPr>
              <w:t>待业务方确认：新增客户时关联项目是否强制必填，需求口径为可跳过，页面级文档记为必须关联至少 1 个项目但页面未做校验</w:t>
            </w:r>
          </w:p>
        </w:tc>
      </w:tr>
      <w:tr>
        <w:tc>
          <w:tcPr>
            <w:tcW w:type="dxa" w:w="1701"/>
          </w:tcPr>
          <w:p>
            <w:pPr>
              <w:spacing w:before="20" w:after="20" w:line="276" w:lineRule="auto"/>
              <w:ind w:firstLine="0"/>
            </w:pPr>
            <w:r/>
            <w:r>
              <w:rPr>
                <w:rFonts w:ascii="Times New Roman" w:hAnsi="Times New Roman" w:eastAsia="宋体"/>
                <w:b w:val="0"/>
                <w:i w:val="0"/>
                <w:sz w:val="21"/>
              </w:rPr>
              <w:t>客户准入</w:t>
            </w:r>
          </w:p>
        </w:tc>
        <w:tc>
          <w:tcPr>
            <w:tcW w:type="dxa" w:w="7370"/>
          </w:tcPr>
          <w:p>
            <w:pPr>
              <w:spacing w:before="20" w:after="20" w:line="276" w:lineRule="auto"/>
              <w:ind w:firstLine="0"/>
            </w:pPr>
            <w:r/>
            <w:r>
              <w:rPr>
                <w:rFonts w:ascii="Times New Roman" w:hAnsi="Times New Roman" w:eastAsia="宋体"/>
                <w:b w:val="0"/>
                <w:i w:val="0"/>
                <w:sz w:val="21"/>
              </w:rPr>
              <w:t>待业务方确认：客户详情页顶部用于识别客户的主标识采用何种形式，页面级文档记为客户编号，业务方口径已明确本模块无客户编号字段</w:t>
            </w:r>
          </w:p>
        </w:tc>
      </w:tr>
      <w:tr>
        <w:tc>
          <w:tcPr>
            <w:tcW w:type="dxa" w:w="1701"/>
          </w:tcPr>
          <w:p>
            <w:pPr>
              <w:spacing w:before="20" w:after="20" w:line="276" w:lineRule="auto"/>
              <w:ind w:firstLine="0"/>
            </w:pPr>
            <w:r/>
            <w:r>
              <w:rPr>
                <w:rFonts w:ascii="Times New Roman" w:hAnsi="Times New Roman" w:eastAsia="宋体"/>
                <w:b w:val="0"/>
                <w:i w:val="0"/>
                <w:sz w:val="21"/>
              </w:rPr>
              <w:t>客户准入</w:t>
            </w:r>
          </w:p>
        </w:tc>
        <w:tc>
          <w:tcPr>
            <w:tcW w:type="dxa" w:w="7370"/>
          </w:tcPr>
          <w:p>
            <w:pPr>
              <w:spacing w:before="20" w:after="20" w:line="276" w:lineRule="auto"/>
              <w:ind w:firstLine="0"/>
            </w:pPr>
            <w:r/>
            <w:r>
              <w:rPr>
                <w:rFonts w:ascii="Times New Roman" w:hAnsi="Times New Roman" w:eastAsia="宋体"/>
                <w:b w:val="0"/>
                <w:i w:val="0"/>
                <w:sz w:val="21"/>
              </w:rPr>
              <w:t>待业务方确认：客户详情页风险扫描结果的检查项分类数量口径，页面级文档为 8 类，准入模块口径为 6 个 Tab</w:t>
            </w:r>
          </w:p>
        </w:tc>
      </w:tr>
      <w:tr>
        <w:tc>
          <w:tcPr>
            <w:tcW w:type="dxa" w:w="1701"/>
          </w:tcPr>
          <w:p>
            <w:pPr>
              <w:spacing w:before="20" w:after="20" w:line="276" w:lineRule="auto"/>
              <w:ind w:firstLine="0"/>
            </w:pPr>
            <w:r/>
            <w:r>
              <w:rPr>
                <w:rFonts w:ascii="Times New Roman" w:hAnsi="Times New Roman" w:eastAsia="宋体"/>
                <w:b w:val="0"/>
                <w:i w:val="0"/>
                <w:sz w:val="21"/>
              </w:rPr>
              <w:t>客户准入</w:t>
            </w:r>
          </w:p>
        </w:tc>
        <w:tc>
          <w:tcPr>
            <w:tcW w:type="dxa" w:w="7370"/>
          </w:tcPr>
          <w:p>
            <w:pPr>
              <w:spacing w:before="20" w:after="20" w:line="276" w:lineRule="auto"/>
              <w:ind w:firstLine="0"/>
            </w:pPr>
            <w:r/>
            <w:r>
              <w:rPr>
                <w:rFonts w:ascii="Times New Roman" w:hAnsi="Times New Roman" w:eastAsia="宋体"/>
                <w:b w:val="0"/>
                <w:i w:val="0"/>
                <w:sz w:val="21"/>
              </w:rPr>
              <w:t>待业务方确认：黑名单关注级别中「一般关注」与「低度关注」两种叫法的统一</w:t>
            </w:r>
          </w:p>
        </w:tc>
      </w:tr>
      <w:tr>
        <w:tc>
          <w:tcPr>
            <w:tcW w:type="dxa" w:w="1701"/>
          </w:tcPr>
          <w:p>
            <w:pPr>
              <w:spacing w:before="20" w:after="20" w:line="276" w:lineRule="auto"/>
              <w:ind w:firstLine="0"/>
            </w:pPr>
            <w:r/>
            <w:r>
              <w:rPr>
                <w:rFonts w:ascii="Times New Roman" w:hAnsi="Times New Roman" w:eastAsia="宋体"/>
                <w:b w:val="0"/>
                <w:i w:val="0"/>
                <w:sz w:val="21"/>
              </w:rPr>
              <w:t>客户准入</w:t>
            </w:r>
          </w:p>
        </w:tc>
        <w:tc>
          <w:tcPr>
            <w:tcW w:type="dxa" w:w="7370"/>
          </w:tcPr>
          <w:p>
            <w:pPr>
              <w:spacing w:before="20" w:after="20" w:line="276" w:lineRule="auto"/>
              <w:ind w:firstLine="0"/>
            </w:pPr>
            <w:r/>
            <w:r>
              <w:rPr>
                <w:rFonts w:ascii="Times New Roman" w:hAnsi="Times New Roman" w:eastAsia="宋体"/>
                <w:b w:val="0"/>
                <w:i w:val="0"/>
                <w:sz w:val="21"/>
              </w:rPr>
              <w:t>待业务方确认：客户额度相关能力已由业务方整体删除，但原型仍保留额度展示页与额度 Tab，是否需要一并下线</w:t>
            </w:r>
          </w:p>
        </w:tc>
      </w:tr>
      <w:tr>
        <w:tc>
          <w:tcPr>
            <w:tcW w:type="dxa" w:w="1701"/>
          </w:tcPr>
          <w:p>
            <w:pPr>
              <w:spacing w:before="20" w:after="20" w:line="276" w:lineRule="auto"/>
              <w:ind w:firstLine="0"/>
            </w:pPr>
            <w:r/>
            <w:r>
              <w:rPr>
                <w:rFonts w:ascii="Times New Roman" w:hAnsi="Times New Roman" w:eastAsia="宋体"/>
                <w:b w:val="0"/>
                <w:i w:val="0"/>
                <w:sz w:val="21"/>
              </w:rPr>
              <w:t>黑名单管理</w:t>
            </w:r>
          </w:p>
        </w:tc>
        <w:tc>
          <w:tcPr>
            <w:tcW w:type="dxa" w:w="7370"/>
          </w:tcPr>
          <w:p>
            <w:pPr>
              <w:spacing w:before="20" w:after="20" w:line="276" w:lineRule="auto"/>
              <w:ind w:firstLine="0"/>
            </w:pPr>
            <w:r/>
            <w:r>
              <w:rPr>
                <w:rFonts w:ascii="Times New Roman" w:hAnsi="Times New Roman" w:eastAsia="宋体"/>
                <w:b w:val="0"/>
                <w:i w:val="0"/>
                <w:sz w:val="21"/>
              </w:rPr>
              <w:t>待业务方确认：黑名单关注级别中「一般关注」与「低度关注」两种叫法的统一</w:t>
            </w:r>
          </w:p>
        </w:tc>
      </w:tr>
      <w:tr>
        <w:tc>
          <w:tcPr>
            <w:tcW w:type="dxa" w:w="1701"/>
          </w:tcPr>
          <w:p>
            <w:pPr>
              <w:spacing w:before="20" w:after="20" w:line="276" w:lineRule="auto"/>
              <w:ind w:firstLine="0"/>
            </w:pPr>
            <w:r/>
            <w:r>
              <w:rPr>
                <w:rFonts w:ascii="Times New Roman" w:hAnsi="Times New Roman" w:eastAsia="宋体"/>
                <w:b w:val="0"/>
                <w:i w:val="0"/>
                <w:sz w:val="21"/>
              </w:rPr>
              <w:t>黑名单管理</w:t>
            </w:r>
          </w:p>
        </w:tc>
        <w:tc>
          <w:tcPr>
            <w:tcW w:type="dxa" w:w="7370"/>
          </w:tcPr>
          <w:p>
            <w:pPr>
              <w:spacing w:before="20" w:after="20" w:line="276" w:lineRule="auto"/>
              <w:ind w:firstLine="0"/>
            </w:pPr>
            <w:r/>
            <w:r>
              <w:rPr>
                <w:rFonts w:ascii="Times New Roman" w:hAnsi="Times New Roman" w:eastAsia="宋体"/>
                <w:b w:val="0"/>
                <w:i w:val="0"/>
                <w:sz w:val="21"/>
              </w:rPr>
              <w:t>待业务方确认：名单的 4 个状态与落库标识的对应关系</w:t>
            </w:r>
          </w:p>
        </w:tc>
      </w:tr>
      <w:tr>
        <w:tc>
          <w:tcPr>
            <w:tcW w:type="dxa" w:w="1701"/>
          </w:tcPr>
          <w:p>
            <w:pPr>
              <w:spacing w:before="20" w:after="20" w:line="276" w:lineRule="auto"/>
              <w:ind w:firstLine="0"/>
            </w:pPr>
            <w:r/>
            <w:r>
              <w:rPr>
                <w:rFonts w:ascii="Times New Roman" w:hAnsi="Times New Roman" w:eastAsia="宋体"/>
                <w:b w:val="0"/>
                <w:i w:val="0"/>
                <w:sz w:val="21"/>
              </w:rPr>
              <w:t>黑名单管理</w:t>
            </w:r>
          </w:p>
        </w:tc>
        <w:tc>
          <w:tcPr>
            <w:tcW w:type="dxa" w:w="7370"/>
          </w:tcPr>
          <w:p>
            <w:pPr>
              <w:spacing w:before="20" w:after="20" w:line="276" w:lineRule="auto"/>
              <w:ind w:firstLine="0"/>
            </w:pPr>
            <w:r/>
            <w:r>
              <w:rPr>
                <w:rFonts w:ascii="Times New Roman" w:hAnsi="Times New Roman" w:eastAsia="宋体"/>
                <w:b w:val="0"/>
                <w:i w:val="0"/>
                <w:sz w:val="21"/>
              </w:rPr>
              <w:t>待业务方确认：黑名单命中提示的具体展示位置与文案，当前仅明确提示不阻断</w:t>
            </w:r>
          </w:p>
        </w:tc>
      </w:tr>
      <w:tr>
        <w:tc>
          <w:tcPr>
            <w:tcW w:type="dxa" w:w="1701"/>
          </w:tcPr>
          <w:p>
            <w:pPr>
              <w:spacing w:before="20" w:after="20" w:line="276" w:lineRule="auto"/>
              <w:ind w:firstLine="0"/>
            </w:pPr>
            <w:r/>
            <w:r>
              <w:rPr>
                <w:rFonts w:ascii="Times New Roman" w:hAnsi="Times New Roman" w:eastAsia="宋体"/>
                <w:b w:val="0"/>
                <w:i w:val="0"/>
                <w:sz w:val="21"/>
              </w:rPr>
              <w:t>黑名单管理</w:t>
            </w:r>
          </w:p>
        </w:tc>
        <w:tc>
          <w:tcPr>
            <w:tcW w:type="dxa" w:w="7370"/>
          </w:tcPr>
          <w:p>
            <w:pPr>
              <w:spacing w:before="20" w:after="20" w:line="276" w:lineRule="auto"/>
              <w:ind w:firstLine="0"/>
            </w:pPr>
            <w:r/>
            <w:r>
              <w:rPr>
                <w:rFonts w:ascii="Times New Roman" w:hAnsi="Times New Roman" w:eastAsia="宋体"/>
                <w:b w:val="0"/>
                <w:i w:val="0"/>
                <w:sz w:val="21"/>
              </w:rPr>
              <w:t>待业务方确认：新增名单接口失败时的提示文案</w:t>
            </w:r>
          </w:p>
        </w:tc>
      </w:tr>
      <w:tr>
        <w:tc>
          <w:tcPr>
            <w:tcW w:type="dxa" w:w="1701"/>
          </w:tcPr>
          <w:p>
            <w:pPr>
              <w:spacing w:before="20" w:after="20" w:line="276" w:lineRule="auto"/>
              <w:ind w:firstLine="0"/>
            </w:pPr>
            <w:r/>
            <w:r>
              <w:rPr>
                <w:rFonts w:ascii="Times New Roman" w:hAnsi="Times New Roman" w:eastAsia="宋体"/>
                <w:b w:val="0"/>
                <w:i w:val="0"/>
                <w:sz w:val="21"/>
              </w:rPr>
              <w:t>黑名单管理</w:t>
            </w:r>
          </w:p>
        </w:tc>
        <w:tc>
          <w:tcPr>
            <w:tcW w:type="dxa" w:w="7370"/>
          </w:tcPr>
          <w:p>
            <w:pPr>
              <w:spacing w:before="20" w:after="20" w:line="276" w:lineRule="auto"/>
              <w:ind w:firstLine="0"/>
            </w:pPr>
            <w:r/>
            <w:r>
              <w:rPr>
                <w:rFonts w:ascii="Times New Roman" w:hAnsi="Times New Roman" w:eastAsia="宋体"/>
                <w:b w:val="0"/>
                <w:i w:val="0"/>
                <w:sz w:val="21"/>
              </w:rPr>
              <w:t>待业务方确认：批量删除名单的确认文案与是否需要二次确认</w:t>
            </w:r>
          </w:p>
        </w:tc>
      </w:tr>
      <w:tr>
        <w:tc>
          <w:tcPr>
            <w:tcW w:type="dxa" w:w="1701"/>
          </w:tcPr>
          <w:p>
            <w:pPr>
              <w:spacing w:before="20" w:after="20" w:line="276" w:lineRule="auto"/>
              <w:ind w:firstLine="0"/>
            </w:pPr>
            <w:r/>
            <w:r>
              <w:rPr>
                <w:rFonts w:ascii="Times New Roman" w:hAnsi="Times New Roman" w:eastAsia="宋体"/>
                <w:b w:val="0"/>
                <w:i w:val="0"/>
                <w:sz w:val="21"/>
              </w:rPr>
              <w:t>工作台</w:t>
            </w:r>
          </w:p>
        </w:tc>
        <w:tc>
          <w:tcPr>
            <w:tcW w:type="dxa" w:w="7370"/>
          </w:tcPr>
          <w:p>
            <w:pPr>
              <w:spacing w:before="20" w:after="20" w:line="276" w:lineRule="auto"/>
              <w:ind w:firstLine="0"/>
            </w:pPr>
            <w:r/>
            <w:r>
              <w:rPr>
                <w:rFonts w:ascii="Times New Roman" w:hAnsi="Times New Roman" w:eastAsia="宋体"/>
                <w:b w:val="0"/>
                <w:i w:val="0"/>
                <w:sz w:val="21"/>
              </w:rPr>
              <w:t>待业务方确认：工作台顶部区块在原型中仍为「公告」，但本期无公告管理模块，该位置应为通知中心，前端文案与功能需对齐</w:t>
            </w:r>
          </w:p>
        </w:tc>
      </w:tr>
      <w:tr>
        <w:tc>
          <w:tcPr>
            <w:tcW w:type="dxa" w:w="1701"/>
          </w:tcPr>
          <w:p>
            <w:pPr>
              <w:spacing w:before="20" w:after="20" w:line="276" w:lineRule="auto"/>
              <w:ind w:firstLine="0"/>
            </w:pPr>
            <w:r/>
            <w:r>
              <w:rPr>
                <w:rFonts w:ascii="Times New Roman" w:hAnsi="Times New Roman" w:eastAsia="宋体"/>
                <w:b w:val="0"/>
                <w:i w:val="0"/>
                <w:sz w:val="21"/>
              </w:rPr>
              <w:t>工作台</w:t>
            </w:r>
          </w:p>
        </w:tc>
        <w:tc>
          <w:tcPr>
            <w:tcW w:type="dxa" w:w="7370"/>
          </w:tcPr>
          <w:p>
            <w:pPr>
              <w:spacing w:before="20" w:after="20" w:line="276" w:lineRule="auto"/>
              <w:ind w:firstLine="0"/>
            </w:pPr>
            <w:r/>
            <w:r>
              <w:rPr>
                <w:rFonts w:ascii="Times New Roman" w:hAnsi="Times New Roman" w:eastAsia="宋体"/>
                <w:b w:val="0"/>
                <w:i w:val="0"/>
                <w:sz w:val="21"/>
              </w:rPr>
              <w:t>待业务方确认：待办事项第 6 个 Tab 的名称，需求口径为「待上传货转生效单据」，原型页面显示为「待上传上下游货转生效单据」</w:t>
            </w:r>
          </w:p>
        </w:tc>
      </w:tr>
      <w:tr>
        <w:tc>
          <w:tcPr>
            <w:tcW w:type="dxa" w:w="1701"/>
          </w:tcPr>
          <w:p>
            <w:pPr>
              <w:spacing w:before="20" w:after="20" w:line="276" w:lineRule="auto"/>
              <w:ind w:firstLine="0"/>
            </w:pPr>
            <w:r/>
            <w:r>
              <w:rPr>
                <w:rFonts w:ascii="Times New Roman" w:hAnsi="Times New Roman" w:eastAsia="宋体"/>
                <w:b w:val="0"/>
                <w:i w:val="0"/>
                <w:sz w:val="21"/>
              </w:rPr>
              <w:t>工作台</w:t>
            </w:r>
          </w:p>
        </w:tc>
        <w:tc>
          <w:tcPr>
            <w:tcW w:type="dxa" w:w="7370"/>
          </w:tcPr>
          <w:p>
            <w:pPr>
              <w:spacing w:before="20" w:after="20" w:line="276" w:lineRule="auto"/>
              <w:ind w:firstLine="0"/>
            </w:pPr>
            <w:r/>
            <w:r>
              <w:rPr>
                <w:rFonts w:ascii="Times New Roman" w:hAnsi="Times New Roman" w:eastAsia="宋体"/>
                <w:b w:val="0"/>
                <w:i w:val="0"/>
                <w:sz w:val="21"/>
              </w:rPr>
              <w:t>待业务方确认：工作台各聚合区块的刷新策略，是进入页面一次性拉取并缓存 5 分钟，还是 30 秒轮询，还是实时推送</w:t>
            </w:r>
          </w:p>
        </w:tc>
      </w:tr>
      <w:tr>
        <w:tc>
          <w:tcPr>
            <w:tcW w:type="dxa" w:w="1701"/>
          </w:tcPr>
          <w:p>
            <w:pPr>
              <w:spacing w:before="20" w:after="20" w:line="276" w:lineRule="auto"/>
              <w:ind w:firstLine="0"/>
            </w:pPr>
            <w:r/>
            <w:r>
              <w:rPr>
                <w:rFonts w:ascii="Times New Roman" w:hAnsi="Times New Roman" w:eastAsia="宋体"/>
                <w:b w:val="0"/>
                <w:i w:val="0"/>
                <w:sz w:val="21"/>
              </w:rPr>
              <w:t>工作台</w:t>
            </w:r>
          </w:p>
        </w:tc>
        <w:tc>
          <w:tcPr>
            <w:tcW w:type="dxa" w:w="7370"/>
          </w:tcPr>
          <w:p>
            <w:pPr>
              <w:spacing w:before="20" w:after="20" w:line="276" w:lineRule="auto"/>
              <w:ind w:firstLine="0"/>
            </w:pPr>
            <w:r/>
            <w:r>
              <w:rPr>
                <w:rFonts w:ascii="Times New Roman" w:hAnsi="Times New Roman" w:eastAsia="宋体"/>
                <w:b w:val="0"/>
                <w:i w:val="0"/>
                <w:sz w:val="21"/>
              </w:rPr>
              <w:t>待业务方确认：资金区块是否需要按本年、本季等维度细分切换</w:t>
            </w:r>
          </w:p>
        </w:tc>
      </w:tr>
      <w:tr>
        <w:tc>
          <w:tcPr>
            <w:tcW w:type="dxa" w:w="1701"/>
          </w:tcPr>
          <w:p>
            <w:pPr>
              <w:spacing w:before="20" w:after="20" w:line="276" w:lineRule="auto"/>
              <w:ind w:firstLine="0"/>
            </w:pPr>
            <w:r/>
            <w:r>
              <w:rPr>
                <w:rFonts w:ascii="Times New Roman" w:hAnsi="Times New Roman" w:eastAsia="宋体"/>
                <w:b w:val="0"/>
                <w:i w:val="0"/>
                <w:sz w:val="21"/>
              </w:rPr>
              <w:t>工作台</w:t>
            </w:r>
          </w:p>
        </w:tc>
        <w:tc>
          <w:tcPr>
            <w:tcW w:type="dxa" w:w="7370"/>
          </w:tcPr>
          <w:p>
            <w:pPr>
              <w:spacing w:before="20" w:after="20" w:line="276" w:lineRule="auto"/>
              <w:ind w:firstLine="0"/>
            </w:pPr>
            <w:r/>
            <w:r>
              <w:rPr>
                <w:rFonts w:ascii="Times New Roman" w:hAnsi="Times New Roman" w:eastAsia="宋体"/>
                <w:b w:val="0"/>
                <w:i w:val="0"/>
                <w:sz w:val="21"/>
              </w:rPr>
              <w:t>待业务方确认：驾驶舱页面在页面清单中同时存在 cockpit.html 与 dashboard.html 两个入口，应以哪个为准</w:t>
            </w:r>
          </w:p>
        </w:tc>
      </w:tr>
      <w:tr>
        <w:tc>
          <w:tcPr>
            <w:tcW w:type="dxa" w:w="1701"/>
          </w:tcPr>
          <w:p>
            <w:pPr>
              <w:spacing w:before="20" w:after="20" w:line="276" w:lineRule="auto"/>
              <w:ind w:firstLine="0"/>
            </w:pPr>
            <w:r/>
            <w:r>
              <w:rPr>
                <w:rFonts w:ascii="Times New Roman" w:hAnsi="Times New Roman" w:eastAsia="宋体"/>
                <w:b w:val="0"/>
                <w:i w:val="0"/>
                <w:sz w:val="21"/>
              </w:rPr>
              <w:t>个人管理</w:t>
            </w:r>
          </w:p>
        </w:tc>
        <w:tc>
          <w:tcPr>
            <w:tcW w:type="dxa" w:w="7370"/>
          </w:tcPr>
          <w:p>
            <w:pPr>
              <w:spacing w:before="20" w:after="20" w:line="276" w:lineRule="auto"/>
              <w:ind w:firstLine="0"/>
            </w:pPr>
            <w:r/>
            <w:r>
              <w:rPr>
                <w:rFonts w:ascii="Times New Roman" w:hAnsi="Times New Roman" w:eastAsia="宋体"/>
                <w:b w:val="0"/>
                <w:i w:val="0"/>
                <w:sz w:val="21"/>
              </w:rPr>
              <w:t>待业务方确认：个人管理本期交付的功能点与页面结构，当前页面为功能建设中的缺省状态，仅列出 5 项预期能力</w:t>
            </w:r>
          </w:p>
        </w:tc>
      </w:tr>
      <w:tr>
        <w:tc>
          <w:tcPr>
            <w:tcW w:type="dxa" w:w="1701"/>
          </w:tcPr>
          <w:p>
            <w:pPr>
              <w:spacing w:before="20" w:after="20" w:line="276" w:lineRule="auto"/>
              <w:ind w:firstLine="0"/>
            </w:pPr>
            <w:r/>
            <w:r>
              <w:rPr>
                <w:rFonts w:ascii="Times New Roman" w:hAnsi="Times New Roman" w:eastAsia="宋体"/>
                <w:b w:val="0"/>
                <w:i w:val="0"/>
                <w:sz w:val="21"/>
              </w:rPr>
              <w:t>个人管理</w:t>
            </w:r>
          </w:p>
        </w:tc>
        <w:tc>
          <w:tcPr>
            <w:tcW w:type="dxa" w:w="7370"/>
          </w:tcPr>
          <w:p>
            <w:pPr>
              <w:spacing w:before="20" w:after="20" w:line="276" w:lineRule="auto"/>
              <w:ind w:firstLine="0"/>
            </w:pPr>
            <w:r/>
            <w:r>
              <w:rPr>
                <w:rFonts w:ascii="Times New Roman" w:hAnsi="Times New Roman" w:eastAsia="宋体"/>
                <w:b w:val="0"/>
                <w:i w:val="0"/>
                <w:sz w:val="21"/>
              </w:rPr>
              <w:t>待业务方确认：个人管理的字段清单、必填口径与校验规则，现有字段来自线上系统口径，原型尚未实施</w:t>
            </w:r>
          </w:p>
        </w:tc>
      </w:tr>
      <w:tr>
        <w:tc>
          <w:tcPr>
            <w:tcW w:type="dxa" w:w="1701"/>
          </w:tcPr>
          <w:p>
            <w:pPr>
              <w:spacing w:before="20" w:after="20" w:line="276" w:lineRule="auto"/>
              <w:ind w:firstLine="0"/>
            </w:pPr>
            <w:r/>
            <w:r>
              <w:rPr>
                <w:rFonts w:ascii="Times New Roman" w:hAnsi="Times New Roman" w:eastAsia="宋体"/>
                <w:b w:val="0"/>
                <w:i w:val="0"/>
                <w:sz w:val="21"/>
              </w:rPr>
              <w:t>个人管理</w:t>
            </w:r>
          </w:p>
        </w:tc>
        <w:tc>
          <w:tcPr>
            <w:tcW w:type="dxa" w:w="7370"/>
          </w:tcPr>
          <w:p>
            <w:pPr>
              <w:spacing w:before="20" w:after="20" w:line="276" w:lineRule="auto"/>
              <w:ind w:firstLine="0"/>
            </w:pPr>
            <w:r/>
            <w:r>
              <w:rPr>
                <w:rFonts w:ascii="Times New Roman" w:hAnsi="Times New Roman" w:eastAsia="宋体"/>
                <w:b w:val="0"/>
                <w:i w:val="0"/>
                <w:sz w:val="21"/>
              </w:rPr>
              <w:t>待业务方确认：页面标题与面包屑的最终命名，文档口径为「个人账户管理」，原型页面为「个人中心」</w:t>
            </w:r>
          </w:p>
        </w:tc>
      </w:tr>
      <w:tr>
        <w:tc>
          <w:tcPr>
            <w:tcW w:type="dxa" w:w="1701"/>
          </w:tcPr>
          <w:p>
            <w:pPr>
              <w:spacing w:before="20" w:after="20" w:line="276" w:lineRule="auto"/>
              <w:ind w:firstLine="0"/>
            </w:pPr>
            <w:r/>
            <w:r>
              <w:rPr>
                <w:rFonts w:ascii="Times New Roman" w:hAnsi="Times New Roman" w:eastAsia="宋体"/>
                <w:b w:val="0"/>
                <w:i w:val="0"/>
                <w:sz w:val="21"/>
              </w:rPr>
              <w:t>个人管理</w:t>
            </w:r>
          </w:p>
        </w:tc>
        <w:tc>
          <w:tcPr>
            <w:tcW w:type="dxa" w:w="7370"/>
          </w:tcPr>
          <w:p>
            <w:pPr>
              <w:spacing w:before="20" w:after="20" w:line="276" w:lineRule="auto"/>
              <w:ind w:firstLine="0"/>
            </w:pPr>
            <w:r/>
            <w:r>
              <w:rPr>
                <w:rFonts w:ascii="Times New Roman" w:hAnsi="Times New Roman" w:eastAsia="宋体"/>
                <w:b w:val="0"/>
                <w:i w:val="0"/>
                <w:sz w:val="21"/>
              </w:rPr>
              <w:t>待业务方确认：个人页内的消息通知中心与平台级通知中心的边界与入口关系</w:t>
            </w:r>
          </w:p>
        </w:tc>
      </w:tr>
      <w:tr>
        <w:tc>
          <w:tcPr>
            <w:tcW w:type="dxa" w:w="1701"/>
          </w:tcPr>
          <w:p>
            <w:pPr>
              <w:spacing w:before="20" w:after="20" w:line="276" w:lineRule="auto"/>
              <w:ind w:firstLine="0"/>
            </w:pPr>
            <w:r/>
            <w:r>
              <w:rPr>
                <w:rFonts w:ascii="Times New Roman" w:hAnsi="Times New Roman" w:eastAsia="宋体"/>
                <w:b w:val="0"/>
                <w:i w:val="0"/>
                <w:sz w:val="21"/>
              </w:rPr>
              <w:t>个人管理</w:t>
            </w:r>
          </w:p>
        </w:tc>
        <w:tc>
          <w:tcPr>
            <w:tcW w:type="dxa" w:w="7370"/>
          </w:tcPr>
          <w:p>
            <w:pPr>
              <w:spacing w:before="20" w:after="20" w:line="276" w:lineRule="auto"/>
              <w:ind w:firstLine="0"/>
            </w:pPr>
            <w:r/>
            <w:r>
              <w:rPr>
                <w:rFonts w:ascii="Times New Roman" w:hAnsi="Times New Roman" w:eastAsia="宋体"/>
                <w:b w:val="0"/>
                <w:i w:val="0"/>
                <w:sz w:val="21"/>
              </w:rPr>
              <w:t>待业务方确认：修改密码的复杂度具体规则，以及双因素认证是否强制绑定</w:t>
            </w:r>
          </w:p>
        </w:tc>
      </w:tr>
      <w:tr>
        <w:tc>
          <w:tcPr>
            <w:tcW w:type="dxa" w:w="1701"/>
          </w:tcPr>
          <w:p>
            <w:pPr>
              <w:spacing w:before="20" w:after="20" w:line="276" w:lineRule="auto"/>
              <w:ind w:firstLine="0"/>
            </w:pPr>
            <w:r/>
            <w:r>
              <w:rPr>
                <w:rFonts w:ascii="Times New Roman" w:hAnsi="Times New Roman" w:eastAsia="宋体"/>
                <w:b w:val="0"/>
                <w:i w:val="0"/>
                <w:sz w:val="21"/>
              </w:rPr>
              <w:t>企业管理</w:t>
            </w:r>
          </w:p>
        </w:tc>
        <w:tc>
          <w:tcPr>
            <w:tcW w:type="dxa" w:w="7370"/>
          </w:tcPr>
          <w:p>
            <w:pPr>
              <w:spacing w:before="20" w:after="20" w:line="276" w:lineRule="auto"/>
              <w:ind w:firstLine="0"/>
            </w:pPr>
            <w:r/>
            <w:r>
              <w:rPr>
                <w:rFonts w:ascii="Times New Roman" w:hAnsi="Times New Roman" w:eastAsia="宋体"/>
                <w:b w:val="0"/>
                <w:i w:val="0"/>
                <w:sz w:val="21"/>
              </w:rPr>
              <w:t>待业务方确认：企业管理本期交付的功能点与页面结构，当前页面为功能建设中的缺省状态，仅列出 5 项预期能力</w:t>
            </w:r>
          </w:p>
        </w:tc>
      </w:tr>
      <w:tr>
        <w:tc>
          <w:tcPr>
            <w:tcW w:type="dxa" w:w="1701"/>
          </w:tcPr>
          <w:p>
            <w:pPr>
              <w:spacing w:before="20" w:after="20" w:line="276" w:lineRule="auto"/>
              <w:ind w:firstLine="0"/>
            </w:pPr>
            <w:r/>
            <w:r>
              <w:rPr>
                <w:rFonts w:ascii="Times New Roman" w:hAnsi="Times New Roman" w:eastAsia="宋体"/>
                <w:b w:val="0"/>
                <w:i w:val="0"/>
                <w:sz w:val="21"/>
              </w:rPr>
              <w:t>企业管理</w:t>
            </w:r>
          </w:p>
        </w:tc>
        <w:tc>
          <w:tcPr>
            <w:tcW w:type="dxa" w:w="7370"/>
          </w:tcPr>
          <w:p>
            <w:pPr>
              <w:spacing w:before="20" w:after="20" w:line="276" w:lineRule="auto"/>
              <w:ind w:firstLine="0"/>
            </w:pPr>
            <w:r/>
            <w:r>
              <w:rPr>
                <w:rFonts w:ascii="Times New Roman" w:hAnsi="Times New Roman" w:eastAsia="宋体"/>
                <w:b w:val="0"/>
                <w:i w:val="0"/>
                <w:sz w:val="21"/>
              </w:rPr>
              <w:t>待业务方确认：员工账号的角色枚举与权限分配的最终取值，现有取值来自线上系统口径，原型尚未实施</w:t>
            </w:r>
          </w:p>
        </w:tc>
      </w:tr>
      <w:tr>
        <w:tc>
          <w:tcPr>
            <w:tcW w:type="dxa" w:w="1701"/>
          </w:tcPr>
          <w:p>
            <w:pPr>
              <w:spacing w:before="20" w:after="20" w:line="276" w:lineRule="auto"/>
              <w:ind w:firstLine="0"/>
            </w:pPr>
            <w:r/>
            <w:r>
              <w:rPr>
                <w:rFonts w:ascii="Times New Roman" w:hAnsi="Times New Roman" w:eastAsia="宋体"/>
                <w:b w:val="0"/>
                <w:i w:val="0"/>
                <w:sz w:val="21"/>
              </w:rPr>
              <w:t>企业管理</w:t>
            </w:r>
          </w:p>
        </w:tc>
        <w:tc>
          <w:tcPr>
            <w:tcW w:type="dxa" w:w="7370"/>
          </w:tcPr>
          <w:p>
            <w:pPr>
              <w:spacing w:before="20" w:after="20" w:line="276" w:lineRule="auto"/>
              <w:ind w:firstLine="0"/>
            </w:pPr>
            <w:r/>
            <w:r>
              <w:rPr>
                <w:rFonts w:ascii="Times New Roman" w:hAnsi="Times New Roman" w:eastAsia="宋体"/>
                <w:b w:val="0"/>
                <w:i w:val="0"/>
                <w:sz w:val="21"/>
              </w:rPr>
              <w:t>待业务方确认：页面标题与面包屑的最终命名，文档口径为「企业账户管理」，原型页面为「企业中心」</w:t>
            </w:r>
          </w:p>
        </w:tc>
      </w:tr>
      <w:tr>
        <w:tc>
          <w:tcPr>
            <w:tcW w:type="dxa" w:w="1701"/>
          </w:tcPr>
          <w:p>
            <w:pPr>
              <w:spacing w:before="20" w:after="20" w:line="276" w:lineRule="auto"/>
              <w:ind w:firstLine="0"/>
            </w:pPr>
            <w:r/>
            <w:r>
              <w:rPr>
                <w:rFonts w:ascii="Times New Roman" w:hAnsi="Times New Roman" w:eastAsia="宋体"/>
                <w:b w:val="0"/>
                <w:i w:val="0"/>
                <w:sz w:val="21"/>
              </w:rPr>
              <w:t>企业管理</w:t>
            </w:r>
          </w:p>
        </w:tc>
        <w:tc>
          <w:tcPr>
            <w:tcW w:type="dxa" w:w="7370"/>
          </w:tcPr>
          <w:p>
            <w:pPr>
              <w:spacing w:before="20" w:after="20" w:line="276" w:lineRule="auto"/>
              <w:ind w:firstLine="0"/>
            </w:pPr>
            <w:r/>
            <w:r>
              <w:rPr>
                <w:rFonts w:ascii="Times New Roman" w:hAnsi="Times New Roman" w:eastAsia="宋体"/>
                <w:b w:val="0"/>
                <w:i w:val="0"/>
                <w:sz w:val="21"/>
              </w:rPr>
              <w:t>待业务方确认：操作日志详情页是否纳入本期交付范围，文档记为后续迭代，页面清单中尚无该页</w:t>
            </w:r>
          </w:p>
        </w:tc>
      </w:tr>
      <w:tr>
        <w:tc>
          <w:tcPr>
            <w:tcW w:type="dxa" w:w="1701"/>
          </w:tcPr>
          <w:p>
            <w:pPr>
              <w:spacing w:before="20" w:after="20" w:line="276" w:lineRule="auto"/>
              <w:ind w:firstLine="0"/>
            </w:pPr>
            <w:r/>
            <w:r>
              <w:rPr>
                <w:rFonts w:ascii="Times New Roman" w:hAnsi="Times New Roman" w:eastAsia="宋体"/>
                <w:b w:val="0"/>
                <w:i w:val="0"/>
                <w:sz w:val="21"/>
              </w:rPr>
              <w:t>企业管理</w:t>
            </w:r>
          </w:p>
        </w:tc>
        <w:tc>
          <w:tcPr>
            <w:tcW w:type="dxa" w:w="7370"/>
          </w:tcPr>
          <w:p>
            <w:pPr>
              <w:spacing w:before="20" w:after="20" w:line="276" w:lineRule="auto"/>
              <w:ind w:firstLine="0"/>
            </w:pPr>
            <w:r/>
            <w:r>
              <w:rPr>
                <w:rFonts w:ascii="Times New Roman" w:hAnsi="Times New Roman" w:eastAsia="宋体"/>
                <w:b w:val="0"/>
                <w:i w:val="0"/>
                <w:sz w:val="21"/>
              </w:rPr>
              <w:t>待业务方确认：员工账号的创建入口是否仅在准入管理新增客户时触发，还是在企业管理页独立提供</w:t>
            </w:r>
          </w:p>
        </w:tc>
      </w:tr>
      <w:tr>
        <w:tc>
          <w:tcPr>
            <w:tcW w:type="dxa" w:w="1701"/>
          </w:tcPr>
          <w:p>
            <w:pPr>
              <w:spacing w:before="20" w:after="20" w:line="276" w:lineRule="auto"/>
              <w:ind w:firstLine="0"/>
            </w:pPr>
            <w:r/>
            <w:r>
              <w:rPr>
                <w:rFonts w:ascii="Times New Roman" w:hAnsi="Times New Roman" w:eastAsia="宋体"/>
                <w:b w:val="0"/>
                <w:i w:val="0"/>
                <w:sz w:val="21"/>
              </w:rPr>
              <w:t>合同管理</w:t>
            </w:r>
          </w:p>
        </w:tc>
        <w:tc>
          <w:tcPr>
            <w:tcW w:type="dxa" w:w="7370"/>
          </w:tcPr>
          <w:p>
            <w:pPr>
              <w:spacing w:before="20" w:after="20" w:line="276" w:lineRule="auto"/>
              <w:ind w:firstLine="0"/>
            </w:pPr>
            <w:r/>
            <w:r>
              <w:rPr>
                <w:rFonts w:ascii="Times New Roman" w:hAnsi="Times New Roman" w:eastAsia="宋体"/>
                <w:b w:val="0"/>
                <w:i w:val="0"/>
                <w:sz w:val="21"/>
              </w:rPr>
              <w:t>待业务方确认：合同状态的枚举命名需与 7 态状态机一一对应，源文档存在 4 套并行命名（13 值版、7 值版、另 1 套 9 值版、页面实现版），实施前需确认以哪一套为唯一口径</w:t>
            </w:r>
          </w:p>
        </w:tc>
      </w:tr>
      <w:tr>
        <w:tc>
          <w:tcPr>
            <w:tcW w:type="dxa" w:w="1701"/>
          </w:tcPr>
          <w:p>
            <w:pPr>
              <w:spacing w:before="20" w:after="20" w:line="276" w:lineRule="auto"/>
              <w:ind w:firstLine="0"/>
            </w:pPr>
            <w:r/>
            <w:r>
              <w:rPr>
                <w:rFonts w:ascii="Times New Roman" w:hAnsi="Times New Roman" w:eastAsia="宋体"/>
                <w:b w:val="0"/>
                <w:i w:val="0"/>
                <w:sz w:val="21"/>
              </w:rPr>
              <w:t>合同管理</w:t>
            </w:r>
          </w:p>
        </w:tc>
        <w:tc>
          <w:tcPr>
            <w:tcW w:type="dxa" w:w="7370"/>
          </w:tcPr>
          <w:p>
            <w:pPr>
              <w:spacing w:before="20" w:after="20" w:line="276" w:lineRule="auto"/>
              <w:ind w:firstLine="0"/>
            </w:pPr>
            <w:r/>
            <w:r>
              <w:rPr>
                <w:rFonts w:ascii="Times New Roman" w:hAnsi="Times New Roman" w:eastAsia="宋体"/>
                <w:b w:val="0"/>
                <w:i w:val="0"/>
                <w:sz w:val="21"/>
              </w:rPr>
              <w:t>待业务方确认：合同是否需要在 PRD 中区分业务分类维度（销售 / 采购 / 运输 × 框架 / 订单 / 补充协议），若需要，具体分类取值是哪几种</w:t>
            </w:r>
          </w:p>
        </w:tc>
      </w:tr>
      <w:tr>
        <w:tc>
          <w:tcPr>
            <w:tcW w:type="dxa" w:w="1701"/>
          </w:tcPr>
          <w:p>
            <w:pPr>
              <w:spacing w:before="20" w:after="20" w:line="276" w:lineRule="auto"/>
              <w:ind w:firstLine="0"/>
            </w:pPr>
            <w:r/>
            <w:r>
              <w:rPr>
                <w:rFonts w:ascii="Times New Roman" w:hAnsi="Times New Roman" w:eastAsia="宋体"/>
                <w:b w:val="0"/>
                <w:i w:val="0"/>
                <w:sz w:val="21"/>
              </w:rPr>
              <w:t>合同管理</w:t>
            </w:r>
          </w:p>
        </w:tc>
        <w:tc>
          <w:tcPr>
            <w:tcW w:type="dxa" w:w="7370"/>
          </w:tcPr>
          <w:p>
            <w:pPr>
              <w:spacing w:before="20" w:after="20" w:line="276" w:lineRule="auto"/>
              <w:ind w:firstLine="0"/>
            </w:pPr>
            <w:r/>
            <w:r>
              <w:rPr>
                <w:rFonts w:ascii="Times New Roman" w:hAnsi="Times New Roman" w:eastAsia="宋体"/>
                <w:b w:val="0"/>
                <w:i w:val="0"/>
                <w:sz w:val="21"/>
              </w:rPr>
              <w:t>待业务方确认：合同详情页与业务线关联卡展示的「卖方企业 / 买方」分别对应哪一方</w:t>
            </w:r>
          </w:p>
        </w:tc>
      </w:tr>
      <w:tr>
        <w:tc>
          <w:tcPr>
            <w:tcW w:type="dxa" w:w="1701"/>
          </w:tcPr>
          <w:p>
            <w:pPr>
              <w:spacing w:before="20" w:after="20" w:line="276" w:lineRule="auto"/>
              <w:ind w:firstLine="0"/>
            </w:pPr>
            <w:r/>
            <w:r>
              <w:rPr>
                <w:rFonts w:ascii="Times New Roman" w:hAnsi="Times New Roman" w:eastAsia="宋体"/>
                <w:b w:val="0"/>
                <w:i w:val="0"/>
                <w:sz w:val="21"/>
              </w:rPr>
              <w:t>合同管理</w:t>
            </w:r>
          </w:p>
        </w:tc>
        <w:tc>
          <w:tcPr>
            <w:tcW w:type="dxa" w:w="7370"/>
          </w:tcPr>
          <w:p>
            <w:pPr>
              <w:spacing w:before="20" w:after="20" w:line="276" w:lineRule="auto"/>
              <w:ind w:firstLine="0"/>
            </w:pPr>
            <w:r/>
            <w:r>
              <w:rPr>
                <w:rFonts w:ascii="Times New Roman" w:hAnsi="Times New Roman" w:eastAsia="宋体"/>
                <w:b w:val="0"/>
                <w:i w:val="0"/>
                <w:sz w:val="21"/>
              </w:rPr>
              <w:t>待业务方确认：合同号第 1 段（项目代码）与第 2 段（业务类型）的具体含义</w:t>
            </w:r>
          </w:p>
        </w:tc>
      </w:tr>
      <w:tr>
        <w:tc>
          <w:tcPr>
            <w:tcW w:type="dxa" w:w="1701"/>
          </w:tcPr>
          <w:p>
            <w:pPr>
              <w:spacing w:before="20" w:after="20" w:line="276" w:lineRule="auto"/>
              <w:ind w:firstLine="0"/>
            </w:pPr>
            <w:r/>
            <w:r>
              <w:rPr>
                <w:rFonts w:ascii="Times New Roman" w:hAnsi="Times New Roman" w:eastAsia="宋体"/>
                <w:b w:val="0"/>
                <w:i w:val="0"/>
                <w:sz w:val="21"/>
              </w:rPr>
              <w:t>合同管理</w:t>
            </w:r>
          </w:p>
        </w:tc>
        <w:tc>
          <w:tcPr>
            <w:tcW w:type="dxa" w:w="7370"/>
          </w:tcPr>
          <w:p>
            <w:pPr>
              <w:spacing w:before="20" w:after="20" w:line="276" w:lineRule="auto"/>
              <w:ind w:firstLine="0"/>
            </w:pPr>
            <w:r/>
            <w:r>
              <w:rPr>
                <w:rFonts w:ascii="Times New Roman" w:hAnsi="Times New Roman" w:eastAsia="宋体"/>
                <w:b w:val="0"/>
                <w:i w:val="0"/>
                <w:sz w:val="21"/>
              </w:rPr>
              <w:t>待业务方确认：合同详情页开票进度指标的取数口径</w:t>
            </w:r>
          </w:p>
        </w:tc>
      </w:tr>
      <w:tr>
        <w:tc>
          <w:tcPr>
            <w:tcW w:type="dxa" w:w="1701"/>
          </w:tcPr>
          <w:p>
            <w:pPr>
              <w:spacing w:before="20" w:after="20" w:line="276" w:lineRule="auto"/>
              <w:ind w:firstLine="0"/>
            </w:pPr>
            <w:r/>
            <w:r>
              <w:rPr>
                <w:rFonts w:ascii="Times New Roman" w:hAnsi="Times New Roman" w:eastAsia="宋体"/>
                <w:b w:val="0"/>
                <w:i w:val="0"/>
                <w:sz w:val="21"/>
              </w:rPr>
              <w:t>合同管理</w:t>
            </w:r>
          </w:p>
        </w:tc>
        <w:tc>
          <w:tcPr>
            <w:tcW w:type="dxa" w:w="7370"/>
          </w:tcPr>
          <w:p>
            <w:pPr>
              <w:spacing w:before="20" w:after="20" w:line="276" w:lineRule="auto"/>
              <w:ind w:firstLine="0"/>
            </w:pPr>
            <w:r/>
            <w:r>
              <w:rPr>
                <w:rFonts w:ascii="Times New Roman" w:hAnsi="Times New Roman" w:eastAsia="宋体"/>
                <w:b w:val="0"/>
                <w:i w:val="0"/>
                <w:sz w:val="21"/>
              </w:rPr>
              <w:t>待业务方确认：补充协议调价后，合同总金额按重算还是与原合同累加</w:t>
            </w:r>
          </w:p>
        </w:tc>
      </w:tr>
      <w:tr>
        <w:tc>
          <w:tcPr>
            <w:tcW w:type="dxa" w:w="1701"/>
          </w:tcPr>
          <w:p>
            <w:pPr>
              <w:spacing w:before="20" w:after="20" w:line="276" w:lineRule="auto"/>
              <w:ind w:firstLine="0"/>
            </w:pPr>
            <w:r/>
            <w:r>
              <w:rPr>
                <w:rFonts w:ascii="Times New Roman" w:hAnsi="Times New Roman" w:eastAsia="宋体"/>
                <w:b w:val="0"/>
                <w:i w:val="0"/>
                <w:sz w:val="21"/>
              </w:rPr>
              <w:t>合同管理</w:t>
            </w:r>
          </w:p>
        </w:tc>
        <w:tc>
          <w:tcPr>
            <w:tcW w:type="dxa" w:w="7370"/>
          </w:tcPr>
          <w:p>
            <w:pPr>
              <w:spacing w:before="20" w:after="20" w:line="276" w:lineRule="auto"/>
              <w:ind w:firstLine="0"/>
            </w:pPr>
            <w:r/>
            <w:r>
              <w:rPr>
                <w:rFonts w:ascii="Times New Roman" w:hAnsi="Times New Roman" w:eastAsia="宋体"/>
                <w:b w:val="0"/>
                <w:i w:val="0"/>
                <w:sz w:val="21"/>
              </w:rPr>
              <w:t>待业务方确认：付款 / 回款 / 退款金额是否受合同总金额上限约束，超额是否允许</w:t>
            </w:r>
          </w:p>
        </w:tc>
      </w:tr>
      <w:tr>
        <w:tc>
          <w:tcPr>
            <w:tcW w:type="dxa" w:w="1701"/>
          </w:tcPr>
          <w:p>
            <w:pPr>
              <w:spacing w:before="20" w:after="20" w:line="276" w:lineRule="auto"/>
              <w:ind w:firstLine="0"/>
            </w:pPr>
            <w:r/>
            <w:r>
              <w:rPr>
                <w:rFonts w:ascii="Times New Roman" w:hAnsi="Times New Roman" w:eastAsia="宋体"/>
                <w:b w:val="0"/>
                <w:i w:val="0"/>
                <w:sz w:val="21"/>
              </w:rPr>
              <w:t>合同管理</w:t>
            </w:r>
          </w:p>
        </w:tc>
        <w:tc>
          <w:tcPr>
            <w:tcW w:type="dxa" w:w="7370"/>
          </w:tcPr>
          <w:p>
            <w:pPr>
              <w:spacing w:before="20" w:after="20" w:line="276" w:lineRule="auto"/>
              <w:ind w:firstLine="0"/>
            </w:pPr>
            <w:r/>
            <w:r>
              <w:rPr>
                <w:rFonts w:ascii="Times New Roman" w:hAnsi="Times New Roman" w:eastAsia="宋体"/>
                <w:b w:val="0"/>
                <w:i w:val="0"/>
                <w:sz w:val="21"/>
              </w:rPr>
              <w:t>待业务方确认：货物进度上限 120% 的业务含义与进度条颜色分段规则</w:t>
            </w:r>
          </w:p>
        </w:tc>
      </w:tr>
      <w:tr>
        <w:tc>
          <w:tcPr>
            <w:tcW w:type="dxa" w:w="1701"/>
          </w:tcPr>
          <w:p>
            <w:pPr>
              <w:spacing w:before="20" w:after="20" w:line="276" w:lineRule="auto"/>
              <w:ind w:firstLine="0"/>
            </w:pPr>
            <w:r/>
            <w:r>
              <w:rPr>
                <w:rFonts w:ascii="Times New Roman" w:hAnsi="Times New Roman" w:eastAsia="宋体"/>
                <w:b w:val="0"/>
                <w:i w:val="0"/>
                <w:sz w:val="21"/>
              </w:rPr>
              <w:t>合同管理</w:t>
            </w:r>
          </w:p>
        </w:tc>
        <w:tc>
          <w:tcPr>
            <w:tcW w:type="dxa" w:w="7370"/>
          </w:tcPr>
          <w:p>
            <w:pPr>
              <w:spacing w:before="20" w:after="20" w:line="276" w:lineRule="auto"/>
              <w:ind w:firstLine="0"/>
            </w:pPr>
            <w:r/>
            <w:r>
              <w:rPr>
                <w:rFonts w:ascii="Times New Roman" w:hAnsi="Times New Roman" w:eastAsia="宋体"/>
                <w:b w:val="0"/>
                <w:i w:val="0"/>
                <w:sz w:val="21"/>
              </w:rPr>
              <w:t>待业务方确认：运输合同页面级字段清单是否与采销合同同构，是否包含合同签署状态下拉与付款 / 发货 / 开票按钮</w:t>
            </w:r>
          </w:p>
        </w:tc>
      </w:tr>
      <w:tr>
        <w:tc>
          <w:tcPr>
            <w:tcW w:type="dxa" w:w="1701"/>
          </w:tcPr>
          <w:p>
            <w:pPr>
              <w:spacing w:before="20" w:after="20" w:line="276" w:lineRule="auto"/>
              <w:ind w:firstLine="0"/>
            </w:pPr>
            <w:r/>
            <w:r>
              <w:rPr>
                <w:rFonts w:ascii="Times New Roman" w:hAnsi="Times New Roman" w:eastAsia="宋体"/>
                <w:b w:val="0"/>
                <w:i w:val="0"/>
                <w:sz w:val="21"/>
              </w:rPr>
              <w:t>合同管理</w:t>
            </w:r>
          </w:p>
        </w:tc>
        <w:tc>
          <w:tcPr>
            <w:tcW w:type="dxa" w:w="7370"/>
          </w:tcPr>
          <w:p>
            <w:pPr>
              <w:spacing w:before="20" w:after="20" w:line="276" w:lineRule="auto"/>
              <w:ind w:firstLine="0"/>
            </w:pPr>
            <w:r/>
            <w:r>
              <w:rPr>
                <w:rFonts w:ascii="Times New Roman" w:hAnsi="Times New Roman" w:eastAsia="宋体"/>
                <w:b w:val="0"/>
                <w:i w:val="0"/>
                <w:sz w:val="21"/>
              </w:rPr>
              <w:t>待业务方确认：列表各状态 Tab 标题上的动态计数是否随筛选条件联动刷新</w:t>
            </w:r>
          </w:p>
        </w:tc>
      </w:tr>
      <w:tr>
        <w:tc>
          <w:tcPr>
            <w:tcW w:type="dxa" w:w="1701"/>
          </w:tcPr>
          <w:p>
            <w:pPr>
              <w:spacing w:before="20" w:after="20" w:line="276" w:lineRule="auto"/>
              <w:ind w:firstLine="0"/>
            </w:pPr>
            <w:r/>
            <w:r>
              <w:rPr>
                <w:rFonts w:ascii="Times New Roman" w:hAnsi="Times New Roman" w:eastAsia="宋体"/>
                <w:b w:val="0"/>
                <w:i w:val="0"/>
                <w:sz w:val="21"/>
              </w:rPr>
              <w:t>业务线管理</w:t>
            </w:r>
          </w:p>
        </w:tc>
        <w:tc>
          <w:tcPr>
            <w:tcW w:type="dxa" w:w="7370"/>
          </w:tcPr>
          <w:p>
            <w:pPr>
              <w:spacing w:before="20" w:after="20" w:line="276" w:lineRule="auto"/>
              <w:ind w:firstLine="0"/>
            </w:pPr>
            <w:r/>
            <w:r>
              <w:rPr>
                <w:rFonts w:ascii="Times New Roman" w:hAnsi="Times New Roman" w:eastAsia="宋体"/>
                <w:b w:val="0"/>
                <w:i w:val="0"/>
                <w:sz w:val="21"/>
              </w:rPr>
              <w:t>待业务方确认：业务线的业务类型有哪几种取值，现行文档并列了 4 值口径与 5 值口径两套说法</w:t>
            </w:r>
          </w:p>
        </w:tc>
      </w:tr>
      <w:tr>
        <w:tc>
          <w:tcPr>
            <w:tcW w:type="dxa" w:w="1701"/>
          </w:tcPr>
          <w:p>
            <w:pPr>
              <w:spacing w:before="20" w:after="20" w:line="276" w:lineRule="auto"/>
              <w:ind w:firstLine="0"/>
            </w:pPr>
            <w:r/>
            <w:r>
              <w:rPr>
                <w:rFonts w:ascii="Times New Roman" w:hAnsi="Times New Roman" w:eastAsia="宋体"/>
                <w:b w:val="0"/>
                <w:i w:val="0"/>
                <w:sz w:val="21"/>
              </w:rPr>
              <w:t>业务线管理</w:t>
            </w:r>
          </w:p>
        </w:tc>
        <w:tc>
          <w:tcPr>
            <w:tcW w:type="dxa" w:w="7370"/>
          </w:tcPr>
          <w:p>
            <w:pPr>
              <w:spacing w:before="20" w:after="20" w:line="276" w:lineRule="auto"/>
              <w:ind w:firstLine="0"/>
            </w:pPr>
            <w:r/>
            <w:r>
              <w:rPr>
                <w:rFonts w:ascii="Times New Roman" w:hAnsi="Times New Roman" w:eastAsia="宋体"/>
                <w:b w:val="0"/>
                <w:i w:val="0"/>
                <w:sz w:val="21"/>
              </w:rPr>
              <w:t>待业务方确认：业务线详情页区块 2 的合同签署状态、货转数量、付款回款、采销结算、进销项发票 5 个指标，各自显示什么值、取数口径是什么</w:t>
            </w:r>
          </w:p>
        </w:tc>
      </w:tr>
      <w:tr>
        <w:tc>
          <w:tcPr>
            <w:tcW w:type="dxa" w:w="1701"/>
          </w:tcPr>
          <w:p>
            <w:pPr>
              <w:spacing w:before="20" w:after="20" w:line="276" w:lineRule="auto"/>
              <w:ind w:firstLine="0"/>
            </w:pPr>
            <w:r/>
            <w:r>
              <w:rPr>
                <w:rFonts w:ascii="Times New Roman" w:hAnsi="Times New Roman" w:eastAsia="宋体"/>
                <w:b w:val="0"/>
                <w:i w:val="0"/>
                <w:sz w:val="21"/>
              </w:rPr>
              <w:t>业务线管理</w:t>
            </w:r>
          </w:p>
        </w:tc>
        <w:tc>
          <w:tcPr>
            <w:tcW w:type="dxa" w:w="7370"/>
          </w:tcPr>
          <w:p>
            <w:pPr>
              <w:spacing w:before="20" w:after="20" w:line="276" w:lineRule="auto"/>
              <w:ind w:firstLine="0"/>
            </w:pPr>
            <w:r/>
            <w:r>
              <w:rPr>
                <w:rFonts w:ascii="Times New Roman" w:hAnsi="Times New Roman" w:eastAsia="宋体"/>
                <w:b w:val="0"/>
                <w:i w:val="0"/>
                <w:sz w:val="21"/>
              </w:rPr>
              <w:t>待业务方确认：业务线台账需展示哪几类指标，原文存在 4 维度、6 大指标、9 个内容块三套体系且映射未定义</w:t>
            </w:r>
          </w:p>
        </w:tc>
      </w:tr>
      <w:tr>
        <w:tc>
          <w:tcPr>
            <w:tcW w:type="dxa" w:w="1701"/>
          </w:tcPr>
          <w:p>
            <w:pPr>
              <w:spacing w:before="20" w:after="20" w:line="276" w:lineRule="auto"/>
              <w:ind w:firstLine="0"/>
            </w:pPr>
            <w:r/>
            <w:r>
              <w:rPr>
                <w:rFonts w:ascii="Times New Roman" w:hAnsi="Times New Roman" w:eastAsia="宋体"/>
                <w:b w:val="0"/>
                <w:i w:val="0"/>
                <w:sz w:val="21"/>
              </w:rPr>
              <w:t>业务线管理</w:t>
            </w:r>
          </w:p>
        </w:tc>
        <w:tc>
          <w:tcPr>
            <w:tcW w:type="dxa" w:w="7370"/>
          </w:tcPr>
          <w:p>
            <w:pPr>
              <w:spacing w:before="20" w:after="20" w:line="276" w:lineRule="auto"/>
              <w:ind w:firstLine="0"/>
            </w:pPr>
            <w:r/>
            <w:r>
              <w:rPr>
                <w:rFonts w:ascii="Times New Roman" w:hAnsi="Times New Roman" w:eastAsia="宋体"/>
                <w:b w:val="0"/>
                <w:i w:val="0"/>
                <w:sz w:val="21"/>
              </w:rPr>
              <w:t>待业务方确认：业务线状态枚举的落地命名，现行文档存在 finished / done、purchase_finished / purchase_done、sales_finished / sales_done 三组分歧</w:t>
            </w:r>
          </w:p>
        </w:tc>
      </w:tr>
      <w:tr>
        <w:tc>
          <w:tcPr>
            <w:tcW w:type="dxa" w:w="1701"/>
          </w:tcPr>
          <w:p>
            <w:pPr>
              <w:spacing w:before="20" w:after="20" w:line="276" w:lineRule="auto"/>
              <w:ind w:firstLine="0"/>
            </w:pPr>
            <w:r/>
            <w:r>
              <w:rPr>
                <w:rFonts w:ascii="Times New Roman" w:hAnsi="Times New Roman" w:eastAsia="宋体"/>
                <w:b w:val="0"/>
                <w:i w:val="0"/>
                <w:sz w:val="21"/>
              </w:rPr>
              <w:t>业务线管理</w:t>
            </w:r>
          </w:p>
        </w:tc>
        <w:tc>
          <w:tcPr>
            <w:tcW w:type="dxa" w:w="7370"/>
          </w:tcPr>
          <w:p>
            <w:pPr>
              <w:spacing w:before="20" w:after="20" w:line="276" w:lineRule="auto"/>
              <w:ind w:firstLine="0"/>
            </w:pPr>
            <w:r/>
            <w:r>
              <w:rPr>
                <w:rFonts w:ascii="Times New Roman" w:hAnsi="Times New Roman" w:eastAsia="宋体"/>
                <w:b w:val="0"/>
                <w:i w:val="0"/>
                <w:sz w:val="21"/>
              </w:rPr>
              <w:t>待业务方确认：货物进度按上游货转数量除以销售合同量计算，与账面库存的加减算法并非同一个数，两者关系如何界定</w:t>
            </w:r>
          </w:p>
        </w:tc>
      </w:tr>
      <w:tr>
        <w:tc>
          <w:tcPr>
            <w:tcW w:type="dxa" w:w="1701"/>
          </w:tcPr>
          <w:p>
            <w:pPr>
              <w:spacing w:before="20" w:after="20" w:line="276" w:lineRule="auto"/>
              <w:ind w:firstLine="0"/>
            </w:pPr>
            <w:r/>
            <w:r>
              <w:rPr>
                <w:rFonts w:ascii="Times New Roman" w:hAnsi="Times New Roman" w:eastAsia="宋体"/>
                <w:b w:val="0"/>
                <w:i w:val="0"/>
                <w:sz w:val="21"/>
              </w:rPr>
              <w:t>业务线管理</w:t>
            </w:r>
          </w:p>
        </w:tc>
        <w:tc>
          <w:tcPr>
            <w:tcW w:type="dxa" w:w="7370"/>
          </w:tcPr>
          <w:p>
            <w:pPr>
              <w:spacing w:before="20" w:after="20" w:line="276" w:lineRule="auto"/>
              <w:ind w:firstLine="0"/>
            </w:pPr>
            <w:r/>
            <w:r>
              <w:rPr>
                <w:rFonts w:ascii="Times New Roman" w:hAnsi="Times New Roman" w:eastAsia="宋体"/>
                <w:b w:val="0"/>
                <w:i w:val="0"/>
                <w:sz w:val="21"/>
              </w:rPr>
              <w:t>待业务方确认：解除业务线被阻止时的提示文案</w:t>
            </w:r>
          </w:p>
        </w:tc>
      </w:tr>
      <w:tr>
        <w:tc>
          <w:tcPr>
            <w:tcW w:type="dxa" w:w="1701"/>
          </w:tcPr>
          <w:p>
            <w:pPr>
              <w:spacing w:before="20" w:after="20" w:line="276" w:lineRule="auto"/>
              <w:ind w:firstLine="0"/>
            </w:pPr>
            <w:r/>
            <w:r>
              <w:rPr>
                <w:rFonts w:ascii="Times New Roman" w:hAnsi="Times New Roman" w:eastAsia="宋体"/>
                <w:b w:val="0"/>
                <w:i w:val="0"/>
                <w:sz w:val="21"/>
              </w:rPr>
              <w:t>业务线管理</w:t>
            </w:r>
          </w:p>
        </w:tc>
        <w:tc>
          <w:tcPr>
            <w:tcW w:type="dxa" w:w="7370"/>
          </w:tcPr>
          <w:p>
            <w:pPr>
              <w:spacing w:before="20" w:after="20" w:line="276" w:lineRule="auto"/>
              <w:ind w:firstLine="0"/>
            </w:pPr>
            <w:r/>
            <w:r>
              <w:rPr>
                <w:rFonts w:ascii="Times New Roman" w:hAnsi="Times New Roman" w:eastAsia="宋体"/>
                <w:b w:val="0"/>
                <w:i w:val="0"/>
                <w:sz w:val="21"/>
              </w:rPr>
              <w:t>待业务方确认：业务线名称按品名缩写的具体取字方式与字符数上限</w:t>
            </w:r>
          </w:p>
        </w:tc>
      </w:tr>
      <w:tr>
        <w:tc>
          <w:tcPr>
            <w:tcW w:type="dxa" w:w="1701"/>
          </w:tcPr>
          <w:p>
            <w:pPr>
              <w:spacing w:before="20" w:after="20" w:line="276" w:lineRule="auto"/>
              <w:ind w:firstLine="0"/>
            </w:pPr>
            <w:r/>
            <w:r>
              <w:rPr>
                <w:rFonts w:ascii="Times New Roman" w:hAnsi="Times New Roman" w:eastAsia="宋体"/>
                <w:b w:val="0"/>
                <w:i w:val="0"/>
                <w:sz w:val="21"/>
              </w:rPr>
              <w:t>业务线管理</w:t>
            </w:r>
          </w:p>
        </w:tc>
        <w:tc>
          <w:tcPr>
            <w:tcW w:type="dxa" w:w="7370"/>
          </w:tcPr>
          <w:p>
            <w:pPr>
              <w:spacing w:before="20" w:after="20" w:line="276" w:lineRule="auto"/>
              <w:ind w:firstLine="0"/>
            </w:pPr>
            <w:r/>
            <w:r>
              <w:rPr>
                <w:rFonts w:ascii="Times New Roman" w:hAnsi="Times New Roman" w:eastAsia="宋体"/>
                <w:b w:val="0"/>
                <w:i w:val="0"/>
                <w:sz w:val="21"/>
              </w:rPr>
              <w:t>待业务方确认：业务线关联页已关联与待关联两个状态 Tab 的划分口径</w:t>
            </w:r>
          </w:p>
        </w:tc>
      </w:tr>
      <w:tr>
        <w:tc>
          <w:tcPr>
            <w:tcW w:type="dxa" w:w="1701"/>
          </w:tcPr>
          <w:p>
            <w:pPr>
              <w:spacing w:before="20" w:after="20" w:line="276" w:lineRule="auto"/>
              <w:ind w:firstLine="0"/>
            </w:pPr>
            <w:r/>
            <w:r>
              <w:rPr>
                <w:rFonts w:ascii="Times New Roman" w:hAnsi="Times New Roman" w:eastAsia="宋体"/>
                <w:b w:val="0"/>
                <w:i w:val="0"/>
                <w:sz w:val="21"/>
              </w:rPr>
              <w:t>业务线管理</w:t>
            </w:r>
          </w:p>
        </w:tc>
        <w:tc>
          <w:tcPr>
            <w:tcW w:type="dxa" w:w="7370"/>
          </w:tcPr>
          <w:p>
            <w:pPr>
              <w:spacing w:before="20" w:after="20" w:line="276" w:lineRule="auto"/>
              <w:ind w:firstLine="0"/>
            </w:pPr>
            <w:r/>
            <w:r>
              <w:rPr>
                <w:rFonts w:ascii="Times New Roman" w:hAnsi="Times New Roman" w:eastAsia="宋体"/>
                <w:b w:val="0"/>
                <w:i w:val="0"/>
                <w:sz w:val="21"/>
              </w:rPr>
              <w:t>待业务方确认：重复关联同一对采购合同与销售合同的校验规则与提示文案</w:t>
            </w:r>
          </w:p>
        </w:tc>
      </w:tr>
      <w:tr>
        <w:tc>
          <w:tcPr>
            <w:tcW w:type="dxa" w:w="1701"/>
          </w:tcPr>
          <w:p>
            <w:pPr>
              <w:spacing w:before="20" w:after="20" w:line="276" w:lineRule="auto"/>
              <w:ind w:firstLine="0"/>
            </w:pPr>
            <w:r/>
            <w:r>
              <w:rPr>
                <w:rFonts w:ascii="Times New Roman" w:hAnsi="Times New Roman" w:eastAsia="宋体"/>
                <w:b w:val="0"/>
                <w:i w:val="0"/>
                <w:sz w:val="21"/>
              </w:rPr>
              <w:t>收发货管理</w:t>
            </w:r>
          </w:p>
        </w:tc>
        <w:tc>
          <w:tcPr>
            <w:tcW w:type="dxa" w:w="7370"/>
          </w:tcPr>
          <w:p>
            <w:pPr>
              <w:spacing w:before="20" w:after="20" w:line="276" w:lineRule="auto"/>
              <w:ind w:firstLine="0"/>
            </w:pPr>
            <w:r/>
            <w:r>
              <w:rPr>
                <w:rFonts w:ascii="Times New Roman" w:hAnsi="Times New Roman" w:eastAsia="宋体"/>
                <w:b w:val="0"/>
                <w:i w:val="0"/>
                <w:sz w:val="21"/>
              </w:rPr>
              <w:t>待业务方确认：收发货管理本期包含哪几个页面与菜单项，请直接列出页面名称</w:t>
            </w:r>
          </w:p>
        </w:tc>
      </w:tr>
      <w:tr>
        <w:tc>
          <w:tcPr>
            <w:tcW w:type="dxa" w:w="1701"/>
          </w:tcPr>
          <w:p>
            <w:pPr>
              <w:spacing w:before="20" w:after="20" w:line="276" w:lineRule="auto"/>
              <w:ind w:firstLine="0"/>
            </w:pPr>
            <w:r/>
            <w:r>
              <w:rPr>
                <w:rFonts w:ascii="Times New Roman" w:hAnsi="Times New Roman" w:eastAsia="宋体"/>
                <w:b w:val="0"/>
                <w:i w:val="0"/>
                <w:sz w:val="21"/>
              </w:rPr>
              <w:t>收发货管理</w:t>
            </w:r>
          </w:p>
        </w:tc>
        <w:tc>
          <w:tcPr>
            <w:tcW w:type="dxa" w:w="7370"/>
          </w:tcPr>
          <w:p>
            <w:pPr>
              <w:spacing w:before="20" w:after="20" w:line="276" w:lineRule="auto"/>
              <w:ind w:firstLine="0"/>
            </w:pPr>
            <w:r/>
            <w:r>
              <w:rPr>
                <w:rFonts w:ascii="Times New Roman" w:hAnsi="Times New Roman" w:eastAsia="宋体"/>
                <w:b w:val="0"/>
                <w:i w:val="0"/>
                <w:sz w:val="21"/>
              </w:rPr>
              <w:t>待业务方确认：入库、出库、盘点三类操作是否各自有一套独立的状态流转，请分别列出</w:t>
            </w:r>
          </w:p>
        </w:tc>
      </w:tr>
      <w:tr>
        <w:tc>
          <w:tcPr>
            <w:tcW w:type="dxa" w:w="1701"/>
          </w:tcPr>
          <w:p>
            <w:pPr>
              <w:spacing w:before="20" w:after="20" w:line="276" w:lineRule="auto"/>
              <w:ind w:firstLine="0"/>
            </w:pPr>
            <w:r/>
            <w:r>
              <w:rPr>
                <w:rFonts w:ascii="Times New Roman" w:hAnsi="Times New Roman" w:eastAsia="宋体"/>
                <w:b w:val="0"/>
                <w:i w:val="0"/>
                <w:sz w:val="21"/>
              </w:rPr>
              <w:t>收发货管理</w:t>
            </w:r>
          </w:p>
        </w:tc>
        <w:tc>
          <w:tcPr>
            <w:tcW w:type="dxa" w:w="7370"/>
          </w:tcPr>
          <w:p>
            <w:pPr>
              <w:spacing w:before="20" w:after="20" w:line="276" w:lineRule="auto"/>
              <w:ind w:firstLine="0"/>
            </w:pPr>
            <w:r/>
            <w:r>
              <w:rPr>
                <w:rFonts w:ascii="Times New Roman" w:hAnsi="Times New Roman" w:eastAsia="宋体"/>
                <w:b w:val="0"/>
                <w:i w:val="0"/>
                <w:sz w:val="21"/>
              </w:rPr>
              <w:t>待业务方确认：收货数量是否必须大于 0</w:t>
            </w:r>
          </w:p>
        </w:tc>
      </w:tr>
      <w:tr>
        <w:tc>
          <w:tcPr>
            <w:tcW w:type="dxa" w:w="1701"/>
          </w:tcPr>
          <w:p>
            <w:pPr>
              <w:spacing w:before="20" w:after="20" w:line="276" w:lineRule="auto"/>
              <w:ind w:firstLine="0"/>
            </w:pPr>
            <w:r/>
            <w:r>
              <w:rPr>
                <w:rFonts w:ascii="Times New Roman" w:hAnsi="Times New Roman" w:eastAsia="宋体"/>
                <w:b w:val="0"/>
                <w:i w:val="0"/>
                <w:sz w:val="21"/>
              </w:rPr>
              <w:t>收发货管理</w:t>
            </w:r>
          </w:p>
        </w:tc>
        <w:tc>
          <w:tcPr>
            <w:tcW w:type="dxa" w:w="7370"/>
          </w:tcPr>
          <w:p>
            <w:pPr>
              <w:spacing w:before="20" w:after="20" w:line="276" w:lineRule="auto"/>
              <w:ind w:firstLine="0"/>
            </w:pPr>
            <w:r/>
            <w:r>
              <w:rPr>
                <w:rFonts w:ascii="Times New Roman" w:hAnsi="Times New Roman" w:eastAsia="宋体"/>
                <w:b w:val="0"/>
                <w:i w:val="0"/>
                <w:sz w:val="21"/>
              </w:rPr>
              <w:t>待业务方确认：业务凭证附件支持的文件格式白名单</w:t>
            </w:r>
          </w:p>
        </w:tc>
      </w:tr>
      <w:tr>
        <w:tc>
          <w:tcPr>
            <w:tcW w:type="dxa" w:w="1701"/>
          </w:tcPr>
          <w:p>
            <w:pPr>
              <w:spacing w:before="20" w:after="20" w:line="276" w:lineRule="auto"/>
              <w:ind w:firstLine="0"/>
            </w:pPr>
            <w:r/>
            <w:r>
              <w:rPr>
                <w:rFonts w:ascii="Times New Roman" w:hAnsi="Times New Roman" w:eastAsia="宋体"/>
                <w:b w:val="0"/>
                <w:i w:val="0"/>
                <w:sz w:val="21"/>
              </w:rPr>
              <w:t>收发货管理</w:t>
            </w:r>
          </w:p>
        </w:tc>
        <w:tc>
          <w:tcPr>
            <w:tcW w:type="dxa" w:w="7370"/>
          </w:tcPr>
          <w:p>
            <w:pPr>
              <w:spacing w:before="20" w:after="20" w:line="276" w:lineRule="auto"/>
              <w:ind w:firstLine="0"/>
            </w:pPr>
            <w:r/>
            <w:r>
              <w:rPr>
                <w:rFonts w:ascii="Times New Roman" w:hAnsi="Times New Roman" w:eastAsia="宋体"/>
                <w:b w:val="0"/>
                <w:i w:val="0"/>
                <w:sz w:val="21"/>
              </w:rPr>
              <w:t>待业务方确认：收货确认页第三个必填项「收货单据」的上传控件与校验规则</w:t>
            </w:r>
          </w:p>
        </w:tc>
      </w:tr>
      <w:tr>
        <w:tc>
          <w:tcPr>
            <w:tcW w:type="dxa" w:w="1701"/>
          </w:tcPr>
          <w:p>
            <w:pPr>
              <w:spacing w:before="20" w:after="20" w:line="276" w:lineRule="auto"/>
              <w:ind w:firstLine="0"/>
            </w:pPr>
            <w:r/>
            <w:r>
              <w:rPr>
                <w:rFonts w:ascii="Times New Roman" w:hAnsi="Times New Roman" w:eastAsia="宋体"/>
                <w:b w:val="0"/>
                <w:i w:val="0"/>
                <w:sz w:val="21"/>
              </w:rPr>
              <w:t>收发货管理</w:t>
            </w:r>
          </w:p>
        </w:tc>
        <w:tc>
          <w:tcPr>
            <w:tcW w:type="dxa" w:w="7370"/>
          </w:tcPr>
          <w:p>
            <w:pPr>
              <w:spacing w:before="20" w:after="20" w:line="276" w:lineRule="auto"/>
              <w:ind w:firstLine="0"/>
            </w:pPr>
            <w:r/>
            <w:r>
              <w:rPr>
                <w:rFonts w:ascii="Times New Roman" w:hAnsi="Times New Roman" w:eastAsia="宋体"/>
                <w:b w:val="0"/>
                <w:i w:val="0"/>
                <w:sz w:val="21"/>
              </w:rPr>
              <w:t>待业务方确认：新增发货页「发货日期、发货数量、货运车数」三个字段的最终必填清单</w:t>
            </w:r>
          </w:p>
        </w:tc>
      </w:tr>
      <w:tr>
        <w:tc>
          <w:tcPr>
            <w:tcW w:type="dxa" w:w="1701"/>
          </w:tcPr>
          <w:p>
            <w:pPr>
              <w:spacing w:before="20" w:after="20" w:line="276" w:lineRule="auto"/>
              <w:ind w:firstLine="0"/>
            </w:pPr>
            <w:r/>
            <w:r>
              <w:rPr>
                <w:rFonts w:ascii="Times New Roman" w:hAnsi="Times New Roman" w:eastAsia="宋体"/>
                <w:b w:val="0"/>
                <w:i w:val="0"/>
                <w:sz w:val="21"/>
              </w:rPr>
              <w:t>收发货管理</w:t>
            </w:r>
          </w:p>
        </w:tc>
        <w:tc>
          <w:tcPr>
            <w:tcW w:type="dxa" w:w="7370"/>
          </w:tcPr>
          <w:p>
            <w:pPr>
              <w:spacing w:before="20" w:after="20" w:line="276" w:lineRule="auto"/>
              <w:ind w:firstLine="0"/>
            </w:pPr>
            <w:r/>
            <w:r>
              <w:rPr>
                <w:rFonts w:ascii="Times New Roman" w:hAnsi="Times New Roman" w:eastAsia="宋体"/>
                <w:b w:val="0"/>
                <w:i w:val="0"/>
                <w:sz w:val="21"/>
              </w:rPr>
              <w:t>待业务方确认：提货申请单、提货单、放货指令三个单号的具体业务前缀</w:t>
            </w:r>
          </w:p>
        </w:tc>
      </w:tr>
      <w:tr>
        <w:tc>
          <w:tcPr>
            <w:tcW w:type="dxa" w:w="1701"/>
          </w:tcPr>
          <w:p>
            <w:pPr>
              <w:spacing w:before="20" w:after="20" w:line="276" w:lineRule="auto"/>
              <w:ind w:firstLine="0"/>
            </w:pPr>
            <w:r/>
            <w:r>
              <w:rPr>
                <w:rFonts w:ascii="Times New Roman" w:hAnsi="Times New Roman" w:eastAsia="宋体"/>
                <w:b w:val="0"/>
                <w:i w:val="0"/>
                <w:sz w:val="21"/>
              </w:rPr>
              <w:t>收发货管理</w:t>
            </w:r>
          </w:p>
        </w:tc>
        <w:tc>
          <w:tcPr>
            <w:tcW w:type="dxa" w:w="7370"/>
          </w:tcPr>
          <w:p>
            <w:pPr>
              <w:spacing w:before="20" w:after="20" w:line="276" w:lineRule="auto"/>
              <w:ind w:firstLine="0"/>
            </w:pPr>
            <w:r/>
            <w:r>
              <w:rPr>
                <w:rFonts w:ascii="Times New Roman" w:hAnsi="Times New Roman" w:eastAsia="宋体"/>
                <w:b w:val="0"/>
                <w:i w:val="0"/>
                <w:sz w:val="21"/>
              </w:rPr>
              <w:t>待业务方确认：装车数量、发车时间、预计到站时间三个运输信息字段的落库位置</w:t>
            </w:r>
          </w:p>
        </w:tc>
      </w:tr>
      <w:tr>
        <w:tc>
          <w:tcPr>
            <w:tcW w:type="dxa" w:w="1701"/>
          </w:tcPr>
          <w:p>
            <w:pPr>
              <w:spacing w:before="20" w:after="20" w:line="276" w:lineRule="auto"/>
              <w:ind w:firstLine="0"/>
            </w:pPr>
            <w:r/>
            <w:r>
              <w:rPr>
                <w:rFonts w:ascii="Times New Roman" w:hAnsi="Times New Roman" w:eastAsia="宋体"/>
                <w:b w:val="0"/>
                <w:i w:val="0"/>
                <w:sz w:val="21"/>
              </w:rPr>
              <w:t>收发货管理</w:t>
            </w:r>
          </w:p>
        </w:tc>
        <w:tc>
          <w:tcPr>
            <w:tcW w:type="dxa" w:w="7370"/>
          </w:tcPr>
          <w:p>
            <w:pPr>
              <w:spacing w:before="20" w:after="20" w:line="276" w:lineRule="auto"/>
              <w:ind w:firstLine="0"/>
            </w:pPr>
            <w:r/>
            <w:r>
              <w:rPr>
                <w:rFonts w:ascii="Times New Roman" w:hAnsi="Times New Roman" w:eastAsia="宋体"/>
                <w:b w:val="0"/>
                <w:i w:val="0"/>
                <w:sz w:val="21"/>
              </w:rPr>
              <w:t>待业务方确认：并发收货的并发控制方案与发货登记重复提交的幂等策略</w:t>
            </w:r>
          </w:p>
        </w:tc>
      </w:tr>
      <w:tr>
        <w:tc>
          <w:tcPr>
            <w:tcW w:type="dxa" w:w="1701"/>
          </w:tcPr>
          <w:p>
            <w:pPr>
              <w:spacing w:before="20" w:after="20" w:line="276" w:lineRule="auto"/>
              <w:ind w:firstLine="0"/>
            </w:pPr>
            <w:r/>
            <w:r>
              <w:rPr>
                <w:rFonts w:ascii="Times New Roman" w:hAnsi="Times New Roman" w:eastAsia="宋体"/>
                <w:b w:val="0"/>
                <w:i w:val="0"/>
                <w:sz w:val="21"/>
              </w:rPr>
              <w:t>货转管理</w:t>
            </w:r>
          </w:p>
        </w:tc>
        <w:tc>
          <w:tcPr>
            <w:tcW w:type="dxa" w:w="7370"/>
          </w:tcPr>
          <w:p>
            <w:pPr>
              <w:spacing w:before="20" w:after="20" w:line="276" w:lineRule="auto"/>
              <w:ind w:firstLine="0"/>
            </w:pPr>
            <w:r/>
            <w:r>
              <w:rPr>
                <w:rFonts w:ascii="Times New Roman" w:hAnsi="Times New Roman" w:eastAsia="宋体"/>
                <w:b w:val="0"/>
                <w:i w:val="0"/>
                <w:sz w:val="21"/>
              </w:rPr>
              <w:t>待业务方确认：货转主列表 6 态的枚举命名，源文档取值与页面实现取值在审批中、待上传已生效单据、已作废三项上不一致</w:t>
            </w:r>
          </w:p>
        </w:tc>
      </w:tr>
      <w:tr>
        <w:tc>
          <w:tcPr>
            <w:tcW w:type="dxa" w:w="1701"/>
          </w:tcPr>
          <w:p>
            <w:pPr>
              <w:spacing w:before="20" w:after="20" w:line="276" w:lineRule="auto"/>
              <w:ind w:firstLine="0"/>
            </w:pPr>
            <w:r/>
            <w:r>
              <w:rPr>
                <w:rFonts w:ascii="Times New Roman" w:hAnsi="Times New Roman" w:eastAsia="宋体"/>
                <w:b w:val="0"/>
                <w:i w:val="0"/>
                <w:sz w:val="21"/>
              </w:rPr>
              <w:t>货转管理</w:t>
            </w:r>
          </w:p>
        </w:tc>
        <w:tc>
          <w:tcPr>
            <w:tcW w:type="dxa" w:w="7370"/>
          </w:tcPr>
          <w:p>
            <w:pPr>
              <w:spacing w:before="20" w:after="20" w:line="276" w:lineRule="auto"/>
              <w:ind w:firstLine="0"/>
            </w:pPr>
            <w:r/>
            <w:r>
              <w:rPr>
                <w:rFonts w:ascii="Times New Roman" w:hAnsi="Times New Roman" w:eastAsia="宋体"/>
                <w:b w:val="0"/>
                <w:i w:val="0"/>
                <w:sz w:val="21"/>
              </w:rPr>
              <w:t>待业务方确认：货转类型与货转方向的映射关系，上游货转是否固定对应入库货转、下游货转是否固定对应出库货转</w:t>
            </w:r>
          </w:p>
        </w:tc>
      </w:tr>
      <w:tr>
        <w:tc>
          <w:tcPr>
            <w:tcW w:type="dxa" w:w="1701"/>
          </w:tcPr>
          <w:p>
            <w:pPr>
              <w:spacing w:before="20" w:after="20" w:line="276" w:lineRule="auto"/>
              <w:ind w:firstLine="0"/>
            </w:pPr>
            <w:r/>
            <w:r>
              <w:rPr>
                <w:rFonts w:ascii="Times New Roman" w:hAnsi="Times New Roman" w:eastAsia="宋体"/>
                <w:b w:val="0"/>
                <w:i w:val="0"/>
                <w:sz w:val="21"/>
              </w:rPr>
              <w:t>货转管理</w:t>
            </w:r>
          </w:p>
        </w:tc>
        <w:tc>
          <w:tcPr>
            <w:tcW w:type="dxa" w:w="7370"/>
          </w:tcPr>
          <w:p>
            <w:pPr>
              <w:spacing w:before="20" w:after="20" w:line="276" w:lineRule="auto"/>
              <w:ind w:firstLine="0"/>
            </w:pPr>
            <w:r/>
            <w:r>
              <w:rPr>
                <w:rFonts w:ascii="Times New Roman" w:hAnsi="Times New Roman" w:eastAsia="宋体"/>
                <w:b w:val="0"/>
                <w:i w:val="0"/>
                <w:sz w:val="21"/>
              </w:rPr>
              <w:t>待业务方确认：驳回后的货转能否修改后重新提交，若可以则重提后回到哪个状态</w:t>
            </w:r>
          </w:p>
        </w:tc>
      </w:tr>
      <w:tr>
        <w:tc>
          <w:tcPr>
            <w:tcW w:type="dxa" w:w="1701"/>
          </w:tcPr>
          <w:p>
            <w:pPr>
              <w:spacing w:before="20" w:after="20" w:line="276" w:lineRule="auto"/>
              <w:ind w:firstLine="0"/>
            </w:pPr>
            <w:r/>
            <w:r>
              <w:rPr>
                <w:rFonts w:ascii="Times New Roman" w:hAnsi="Times New Roman" w:eastAsia="宋体"/>
                <w:b w:val="0"/>
                <w:i w:val="0"/>
                <w:sz w:val="21"/>
              </w:rPr>
              <w:t>货转管理</w:t>
            </w:r>
          </w:p>
        </w:tc>
        <w:tc>
          <w:tcPr>
            <w:tcW w:type="dxa" w:w="7370"/>
          </w:tcPr>
          <w:p>
            <w:pPr>
              <w:spacing w:before="20" w:after="20" w:line="276" w:lineRule="auto"/>
              <w:ind w:firstLine="0"/>
            </w:pPr>
            <w:r/>
            <w:r>
              <w:rPr>
                <w:rFonts w:ascii="Times New Roman" w:hAnsi="Times New Roman" w:eastAsia="宋体"/>
                <w:b w:val="0"/>
                <w:i w:val="0"/>
                <w:sz w:val="21"/>
              </w:rPr>
              <w:t>待业务方确认：已生效是审核通过后一步到位还是需先进入待上传已生效单据两步流转</w:t>
            </w:r>
          </w:p>
        </w:tc>
      </w:tr>
      <w:tr>
        <w:tc>
          <w:tcPr>
            <w:tcW w:type="dxa" w:w="1701"/>
          </w:tcPr>
          <w:p>
            <w:pPr>
              <w:spacing w:before="20" w:after="20" w:line="276" w:lineRule="auto"/>
              <w:ind w:firstLine="0"/>
            </w:pPr>
            <w:r/>
            <w:r>
              <w:rPr>
                <w:rFonts w:ascii="Times New Roman" w:hAnsi="Times New Roman" w:eastAsia="宋体"/>
                <w:b w:val="0"/>
                <w:i w:val="0"/>
                <w:sz w:val="21"/>
              </w:rPr>
              <w:t>货转管理</w:t>
            </w:r>
          </w:p>
        </w:tc>
        <w:tc>
          <w:tcPr>
            <w:tcW w:type="dxa" w:w="7370"/>
          </w:tcPr>
          <w:p>
            <w:pPr>
              <w:spacing w:before="20" w:after="20" w:line="276" w:lineRule="auto"/>
              <w:ind w:firstLine="0"/>
            </w:pPr>
            <w:r/>
            <w:r>
              <w:rPr>
                <w:rFonts w:ascii="Times New Roman" w:hAnsi="Times New Roman" w:eastAsia="宋体"/>
                <w:b w:val="0"/>
                <w:i w:val="0"/>
                <w:sz w:val="21"/>
              </w:rPr>
              <w:t>待业务方确认：数量校验是按合同剩余数量还是按可用库存，或两级校验并明确先后关系</w:t>
            </w:r>
          </w:p>
        </w:tc>
      </w:tr>
      <w:tr>
        <w:tc>
          <w:tcPr>
            <w:tcW w:type="dxa" w:w="1701"/>
          </w:tcPr>
          <w:p>
            <w:pPr>
              <w:spacing w:before="20" w:after="20" w:line="276" w:lineRule="auto"/>
              <w:ind w:firstLine="0"/>
            </w:pPr>
            <w:r/>
            <w:r>
              <w:rPr>
                <w:rFonts w:ascii="Times New Roman" w:hAnsi="Times New Roman" w:eastAsia="宋体"/>
                <w:b w:val="0"/>
                <w:i w:val="0"/>
                <w:sz w:val="21"/>
              </w:rPr>
              <w:t>货转管理</w:t>
            </w:r>
          </w:p>
        </w:tc>
        <w:tc>
          <w:tcPr>
            <w:tcW w:type="dxa" w:w="7370"/>
          </w:tcPr>
          <w:p>
            <w:pPr>
              <w:spacing w:before="20" w:after="20" w:line="276" w:lineRule="auto"/>
              <w:ind w:firstLine="0"/>
            </w:pPr>
            <w:r/>
            <w:r>
              <w:rPr>
                <w:rFonts w:ascii="Times New Roman" w:hAnsi="Times New Roman" w:eastAsia="宋体"/>
                <w:b w:val="0"/>
                <w:i w:val="0"/>
                <w:sz w:val="21"/>
              </w:rPr>
              <w:t>待业务方确认：已生效货转不能作废时提示的解除流程具体内容</w:t>
            </w:r>
          </w:p>
        </w:tc>
      </w:tr>
      <w:tr>
        <w:tc>
          <w:tcPr>
            <w:tcW w:type="dxa" w:w="1701"/>
          </w:tcPr>
          <w:p>
            <w:pPr>
              <w:spacing w:before="20" w:after="20" w:line="276" w:lineRule="auto"/>
              <w:ind w:firstLine="0"/>
            </w:pPr>
            <w:r/>
            <w:r>
              <w:rPr>
                <w:rFonts w:ascii="Times New Roman" w:hAnsi="Times New Roman" w:eastAsia="宋体"/>
                <w:b w:val="0"/>
                <w:i w:val="0"/>
                <w:sz w:val="21"/>
              </w:rPr>
              <w:t>货转管理</w:t>
            </w:r>
          </w:p>
        </w:tc>
        <w:tc>
          <w:tcPr>
            <w:tcW w:type="dxa" w:w="7370"/>
          </w:tcPr>
          <w:p>
            <w:pPr>
              <w:spacing w:before="20" w:after="20" w:line="276" w:lineRule="auto"/>
              <w:ind w:firstLine="0"/>
            </w:pPr>
            <w:r/>
            <w:r>
              <w:rPr>
                <w:rFonts w:ascii="Times New Roman" w:hAnsi="Times New Roman" w:eastAsia="宋体"/>
                <w:b w:val="0"/>
                <w:i w:val="0"/>
                <w:sz w:val="21"/>
              </w:rPr>
              <w:t>待业务方确认：货转编号前缀的具体含义与两段流水的取号规则</w:t>
            </w:r>
          </w:p>
        </w:tc>
      </w:tr>
      <w:tr>
        <w:tc>
          <w:tcPr>
            <w:tcW w:type="dxa" w:w="1701"/>
          </w:tcPr>
          <w:p>
            <w:pPr>
              <w:spacing w:before="20" w:after="20" w:line="276" w:lineRule="auto"/>
              <w:ind w:firstLine="0"/>
            </w:pPr>
            <w:r/>
            <w:r>
              <w:rPr>
                <w:rFonts w:ascii="Times New Roman" w:hAnsi="Times New Roman" w:eastAsia="宋体"/>
                <w:b w:val="0"/>
                <w:i w:val="0"/>
                <w:sz w:val="21"/>
              </w:rPr>
              <w:t>货转管理</w:t>
            </w:r>
          </w:p>
        </w:tc>
        <w:tc>
          <w:tcPr>
            <w:tcW w:type="dxa" w:w="7370"/>
          </w:tcPr>
          <w:p>
            <w:pPr>
              <w:spacing w:before="20" w:after="20" w:line="276" w:lineRule="auto"/>
              <w:ind w:firstLine="0"/>
            </w:pPr>
            <w:r/>
            <w:r>
              <w:rPr>
                <w:rFonts w:ascii="Times New Roman" w:hAnsi="Times New Roman" w:eastAsia="宋体"/>
                <w:b w:val="0"/>
                <w:i w:val="0"/>
                <w:sz w:val="21"/>
              </w:rPr>
              <w:t>待业务方确认：搜索条件的完整清单，现行文档标题写 7 项但只列出 5 项</w:t>
            </w:r>
          </w:p>
        </w:tc>
      </w:tr>
      <w:tr>
        <w:tc>
          <w:tcPr>
            <w:tcW w:type="dxa" w:w="1701"/>
          </w:tcPr>
          <w:p>
            <w:pPr>
              <w:spacing w:before="20" w:after="20" w:line="276" w:lineRule="auto"/>
              <w:ind w:firstLine="0"/>
            </w:pPr>
            <w:r/>
            <w:r>
              <w:rPr>
                <w:rFonts w:ascii="Times New Roman" w:hAnsi="Times New Roman" w:eastAsia="宋体"/>
                <w:b w:val="0"/>
                <w:i w:val="0"/>
                <w:sz w:val="21"/>
              </w:rPr>
              <w:t>货转管理</w:t>
            </w:r>
          </w:p>
        </w:tc>
        <w:tc>
          <w:tcPr>
            <w:tcW w:type="dxa" w:w="7370"/>
          </w:tcPr>
          <w:p>
            <w:pPr>
              <w:spacing w:before="20" w:after="20" w:line="276" w:lineRule="auto"/>
              <w:ind w:firstLine="0"/>
            </w:pPr>
            <w:r/>
            <w:r>
              <w:rPr>
                <w:rFonts w:ascii="Times New Roman" w:hAnsi="Times New Roman" w:eastAsia="宋体"/>
                <w:b w:val="0"/>
                <w:i w:val="0"/>
                <w:sz w:val="21"/>
              </w:rPr>
              <w:t>待业务方确认：主列表是否保留数据导出按钮，页面现状仅有批量下载</w:t>
            </w:r>
          </w:p>
        </w:tc>
      </w:tr>
      <w:tr>
        <w:tc>
          <w:tcPr>
            <w:tcW w:type="dxa" w:w="1701"/>
          </w:tcPr>
          <w:p>
            <w:pPr>
              <w:spacing w:before="20" w:after="20" w:line="276" w:lineRule="auto"/>
              <w:ind w:firstLine="0"/>
            </w:pPr>
            <w:r/>
            <w:r>
              <w:rPr>
                <w:rFonts w:ascii="Times New Roman" w:hAnsi="Times New Roman" w:eastAsia="宋体"/>
                <w:b w:val="0"/>
                <w:i w:val="0"/>
                <w:sz w:val="21"/>
              </w:rPr>
              <w:t>货转管理</w:t>
            </w:r>
          </w:p>
        </w:tc>
        <w:tc>
          <w:tcPr>
            <w:tcW w:type="dxa" w:w="7370"/>
          </w:tcPr>
          <w:p>
            <w:pPr>
              <w:spacing w:before="20" w:after="20" w:line="276" w:lineRule="auto"/>
              <w:ind w:firstLine="0"/>
            </w:pPr>
            <w:r/>
            <w:r>
              <w:rPr>
                <w:rFonts w:ascii="Times New Roman" w:hAnsi="Times New Roman" w:eastAsia="宋体"/>
                <w:b w:val="0"/>
                <w:i w:val="0"/>
                <w:sz w:val="21"/>
              </w:rPr>
              <w:t>待业务方确认：货转非必填附件的类型取值</w:t>
            </w:r>
          </w:p>
        </w:tc>
      </w:tr>
      <w:tr>
        <w:tc>
          <w:tcPr>
            <w:tcW w:type="dxa" w:w="1701"/>
          </w:tcPr>
          <w:p>
            <w:pPr>
              <w:spacing w:before="20" w:after="20" w:line="276" w:lineRule="auto"/>
              <w:ind w:firstLine="0"/>
            </w:pPr>
            <w:r/>
            <w:r>
              <w:rPr>
                <w:rFonts w:ascii="Times New Roman" w:hAnsi="Times New Roman" w:eastAsia="宋体"/>
                <w:b w:val="0"/>
                <w:i w:val="0"/>
                <w:sz w:val="21"/>
              </w:rPr>
              <w:t>货转管理</w:t>
            </w:r>
          </w:p>
        </w:tc>
        <w:tc>
          <w:tcPr>
            <w:tcW w:type="dxa" w:w="7370"/>
          </w:tcPr>
          <w:p>
            <w:pPr>
              <w:spacing w:before="20" w:after="20" w:line="276" w:lineRule="auto"/>
              <w:ind w:firstLine="0"/>
            </w:pPr>
            <w:r/>
            <w:r>
              <w:rPr>
                <w:rFonts w:ascii="Times New Roman" w:hAnsi="Times New Roman" w:eastAsia="宋体"/>
                <w:b w:val="0"/>
                <w:i w:val="0"/>
                <w:sz w:val="21"/>
              </w:rPr>
              <w:t>待业务方确认：识别结果 JSON 的字段结构，以及其脱敏范围</w:t>
            </w:r>
          </w:p>
        </w:tc>
      </w:tr>
      <w:tr>
        <w:tc>
          <w:tcPr>
            <w:tcW w:type="dxa" w:w="1701"/>
          </w:tcPr>
          <w:p>
            <w:pPr>
              <w:spacing w:before="20" w:after="20" w:line="276" w:lineRule="auto"/>
              <w:ind w:firstLine="0"/>
            </w:pPr>
            <w:r/>
            <w:r>
              <w:rPr>
                <w:rFonts w:ascii="Times New Roman" w:hAnsi="Times New Roman" w:eastAsia="宋体"/>
                <w:b w:val="0"/>
                <w:i w:val="0"/>
                <w:sz w:val="21"/>
              </w:rPr>
              <w:t>货转管理</w:t>
            </w:r>
          </w:p>
        </w:tc>
        <w:tc>
          <w:tcPr>
            <w:tcW w:type="dxa" w:w="7370"/>
          </w:tcPr>
          <w:p>
            <w:pPr>
              <w:spacing w:before="20" w:after="20" w:line="276" w:lineRule="auto"/>
              <w:ind w:firstLine="0"/>
            </w:pPr>
            <w:r/>
            <w:r>
              <w:rPr>
                <w:rFonts w:ascii="Times New Roman" w:hAnsi="Times New Roman" w:eastAsia="宋体"/>
                <w:b w:val="0"/>
                <w:i w:val="0"/>
                <w:sz w:val="21"/>
              </w:rPr>
              <w:t>待业务方确认：超期自动作废的定时任务频率与判定时点</w:t>
            </w:r>
          </w:p>
        </w:tc>
      </w:tr>
      <w:tr>
        <w:tc>
          <w:tcPr>
            <w:tcW w:type="dxa" w:w="1701"/>
          </w:tcPr>
          <w:p>
            <w:pPr>
              <w:spacing w:before="20" w:after="20" w:line="276" w:lineRule="auto"/>
              <w:ind w:firstLine="0"/>
            </w:pPr>
            <w:r/>
            <w:r>
              <w:rPr>
                <w:rFonts w:ascii="Times New Roman" w:hAnsi="Times New Roman" w:eastAsia="宋体"/>
                <w:b w:val="0"/>
                <w:i w:val="0"/>
                <w:sz w:val="21"/>
              </w:rPr>
              <w:t>货转管理</w:t>
            </w:r>
          </w:p>
        </w:tc>
        <w:tc>
          <w:tcPr>
            <w:tcW w:type="dxa" w:w="7370"/>
          </w:tcPr>
          <w:p>
            <w:pPr>
              <w:spacing w:before="20" w:after="20" w:line="276" w:lineRule="auto"/>
              <w:ind w:firstLine="0"/>
            </w:pPr>
            <w:r/>
            <w:r>
              <w:rPr>
                <w:rFonts w:ascii="Times New Roman" w:hAnsi="Times New Roman" w:eastAsia="宋体"/>
                <w:b w:val="0"/>
                <w:i w:val="0"/>
                <w:sz w:val="21"/>
              </w:rPr>
              <w:t>待业务方确认：货转生效后四条联动链路任一路失败时的回滚与重试策略</w:t>
            </w:r>
          </w:p>
        </w:tc>
      </w:tr>
      <w:tr>
        <w:tc>
          <w:tcPr>
            <w:tcW w:type="dxa" w:w="1701"/>
          </w:tcPr>
          <w:p>
            <w:pPr>
              <w:spacing w:before="20" w:after="20" w:line="276" w:lineRule="auto"/>
              <w:ind w:firstLine="0"/>
            </w:pPr>
            <w:r/>
            <w:r>
              <w:rPr>
                <w:rFonts w:ascii="Times New Roman" w:hAnsi="Times New Roman" w:eastAsia="宋体"/>
                <w:b w:val="0"/>
                <w:i w:val="0"/>
                <w:sz w:val="21"/>
              </w:rPr>
              <w:t>付款管理</w:t>
            </w:r>
          </w:p>
        </w:tc>
        <w:tc>
          <w:tcPr>
            <w:tcW w:type="dxa" w:w="7370"/>
          </w:tcPr>
          <w:p>
            <w:pPr>
              <w:spacing w:before="20" w:after="20" w:line="276" w:lineRule="auto"/>
              <w:ind w:firstLine="0"/>
            </w:pPr>
            <w:r/>
            <w:r>
              <w:rPr>
                <w:rFonts w:ascii="Times New Roman" w:hAnsi="Times New Roman" w:eastAsia="宋体"/>
                <w:b w:val="0"/>
                <w:i w:val="0"/>
                <w:sz w:val="21"/>
              </w:rPr>
              <w:t>待业务方确认：付款终态口径——资金管理模块 2026-10-08 业务方裁决 D3 规定平台仅作登记方、终态为「已付款」并删除「已确认」，但同一文档的线下资金流转章节与流程图仍保留「发起方打款 → 上传凭证 → 收款方系统内确认 → 不存在线上扣款」四步表述与「已确认」终态，两套口径需统一。</w:t>
            </w:r>
          </w:p>
        </w:tc>
      </w:tr>
      <w:tr>
        <w:tc>
          <w:tcPr>
            <w:tcW w:type="dxa" w:w="1701"/>
          </w:tcPr>
          <w:p>
            <w:pPr>
              <w:spacing w:before="20" w:after="20" w:line="276" w:lineRule="auto"/>
              <w:ind w:firstLine="0"/>
            </w:pPr>
            <w:r/>
            <w:r>
              <w:rPr>
                <w:rFonts w:ascii="Times New Roman" w:hAnsi="Times New Roman" w:eastAsia="宋体"/>
                <w:b w:val="0"/>
                <w:i w:val="0"/>
                <w:sz w:val="21"/>
              </w:rPr>
              <w:t>付款管理</w:t>
            </w:r>
          </w:p>
        </w:tc>
        <w:tc>
          <w:tcPr>
            <w:tcW w:type="dxa" w:w="7370"/>
          </w:tcPr>
          <w:p>
            <w:pPr>
              <w:spacing w:before="20" w:after="20" w:line="276" w:lineRule="auto"/>
              <w:ind w:firstLine="0"/>
            </w:pPr>
            <w:r/>
            <w:r>
              <w:rPr>
                <w:rFonts w:ascii="Times New Roman" w:hAnsi="Times New Roman" w:eastAsia="宋体"/>
                <w:b w:val="0"/>
                <w:i w:val="0"/>
                <w:sz w:val="21"/>
              </w:rPr>
              <w:t>待业务方确认：付款单状态字段的枚举值未定义，仅有待线下付款、已付款、已驳回、已确认四个中文标签；且「实际金额 ≠ 申请金额 → 状态变为 warning」与「黄灯提醒但不改变状态」两种表述并存。</w:t>
            </w:r>
          </w:p>
        </w:tc>
      </w:tr>
      <w:tr>
        <w:tc>
          <w:tcPr>
            <w:tcW w:type="dxa" w:w="1701"/>
          </w:tcPr>
          <w:p>
            <w:pPr>
              <w:spacing w:before="20" w:after="20" w:line="276" w:lineRule="auto"/>
              <w:ind w:firstLine="0"/>
            </w:pPr>
            <w:r/>
            <w:r>
              <w:rPr>
                <w:rFonts w:ascii="Times New Roman" w:hAnsi="Times New Roman" w:eastAsia="宋体"/>
                <w:b w:val="0"/>
                <w:i w:val="0"/>
                <w:sz w:val="21"/>
              </w:rPr>
              <w:t>付款管理</w:t>
            </w:r>
          </w:p>
        </w:tc>
        <w:tc>
          <w:tcPr>
            <w:tcW w:type="dxa" w:w="7370"/>
          </w:tcPr>
          <w:p>
            <w:pPr>
              <w:spacing w:before="20" w:after="20" w:line="276" w:lineRule="auto"/>
              <w:ind w:firstLine="0"/>
            </w:pPr>
            <w:r/>
            <w:r>
              <w:rPr>
                <w:rFonts w:ascii="Times New Roman" w:hAnsi="Times New Roman" w:eastAsia="宋体"/>
                <w:b w:val="0"/>
                <w:i w:val="0"/>
                <w:sz w:val="21"/>
              </w:rPr>
              <w:t>待业务方确认：客户额度模块整体删除后，付款前置校验中「额度可用」的取数口径。</w:t>
            </w:r>
          </w:p>
        </w:tc>
      </w:tr>
      <w:tr>
        <w:tc>
          <w:tcPr>
            <w:tcW w:type="dxa" w:w="1701"/>
          </w:tcPr>
          <w:p>
            <w:pPr>
              <w:spacing w:before="20" w:after="20" w:line="276" w:lineRule="auto"/>
              <w:ind w:firstLine="0"/>
            </w:pPr>
            <w:r/>
            <w:r>
              <w:rPr>
                <w:rFonts w:ascii="Times New Roman" w:hAnsi="Times New Roman" w:eastAsia="宋体"/>
                <w:b w:val="0"/>
                <w:i w:val="0"/>
                <w:sz w:val="21"/>
              </w:rPr>
              <w:t>付款管理</w:t>
            </w:r>
          </w:p>
        </w:tc>
        <w:tc>
          <w:tcPr>
            <w:tcW w:type="dxa" w:w="7370"/>
          </w:tcPr>
          <w:p>
            <w:pPr>
              <w:spacing w:before="20" w:after="20" w:line="276" w:lineRule="auto"/>
              <w:ind w:firstLine="0"/>
            </w:pPr>
            <w:r/>
            <w:r>
              <w:rPr>
                <w:rFonts w:ascii="Times New Roman" w:hAnsi="Times New Roman" w:eastAsia="宋体"/>
                <w:b w:val="0"/>
                <w:i w:val="0"/>
                <w:sz w:val="21"/>
              </w:rPr>
              <w:t>待业务方确认：付款申请单号的编号前缀、日期段与流水位数。</w:t>
            </w:r>
          </w:p>
        </w:tc>
      </w:tr>
      <w:tr>
        <w:tc>
          <w:tcPr>
            <w:tcW w:type="dxa" w:w="1701"/>
          </w:tcPr>
          <w:p>
            <w:pPr>
              <w:spacing w:before="20" w:after="20" w:line="276" w:lineRule="auto"/>
              <w:ind w:firstLine="0"/>
            </w:pPr>
            <w:r/>
            <w:r>
              <w:rPr>
                <w:rFonts w:ascii="Times New Roman" w:hAnsi="Times New Roman" w:eastAsia="宋体"/>
                <w:b w:val="0"/>
                <w:i w:val="0"/>
                <w:sz w:val="21"/>
              </w:rPr>
              <w:t>付款管理</w:t>
            </w:r>
          </w:p>
        </w:tc>
        <w:tc>
          <w:tcPr>
            <w:tcW w:type="dxa" w:w="7370"/>
          </w:tcPr>
          <w:p>
            <w:pPr>
              <w:spacing w:before="20" w:after="20" w:line="276" w:lineRule="auto"/>
              <w:ind w:firstLine="0"/>
            </w:pPr>
            <w:r/>
            <w:r>
              <w:rPr>
                <w:rFonts w:ascii="Times New Roman" w:hAnsi="Times New Roman" w:eastAsia="宋体"/>
                <w:b w:val="0"/>
                <w:i w:val="0"/>
                <w:sz w:val="21"/>
              </w:rPr>
              <w:t>待业务方确认：审批 SLA 时长与超时后的动作，以及同一节点多人并发审批的抢占规则。</w:t>
            </w:r>
          </w:p>
        </w:tc>
      </w:tr>
      <w:tr>
        <w:tc>
          <w:tcPr>
            <w:tcW w:type="dxa" w:w="1701"/>
          </w:tcPr>
          <w:p>
            <w:pPr>
              <w:spacing w:before="20" w:after="20" w:line="276" w:lineRule="auto"/>
              <w:ind w:firstLine="0"/>
            </w:pPr>
            <w:r/>
            <w:r>
              <w:rPr>
                <w:rFonts w:ascii="Times New Roman" w:hAnsi="Times New Roman" w:eastAsia="宋体"/>
                <w:b w:val="0"/>
                <w:i w:val="0"/>
                <w:sz w:val="21"/>
              </w:rPr>
              <w:t>付款管理</w:t>
            </w:r>
          </w:p>
        </w:tc>
        <w:tc>
          <w:tcPr>
            <w:tcW w:type="dxa" w:w="7370"/>
          </w:tcPr>
          <w:p>
            <w:pPr>
              <w:spacing w:before="20" w:after="20" w:line="276" w:lineRule="auto"/>
              <w:ind w:firstLine="0"/>
            </w:pPr>
            <w:r/>
            <w:r>
              <w:rPr>
                <w:rFonts w:ascii="Times New Roman" w:hAnsi="Times New Roman" w:eastAsia="宋体"/>
                <w:b w:val="0"/>
                <w:i w:val="0"/>
                <w:sz w:val="21"/>
              </w:rPr>
              <w:t>待业务方确认：业务员能否查看他人创建的付款单，即数据维度的可见性范围。</w:t>
            </w:r>
          </w:p>
        </w:tc>
      </w:tr>
      <w:tr>
        <w:tc>
          <w:tcPr>
            <w:tcW w:type="dxa" w:w="1701"/>
          </w:tcPr>
          <w:p>
            <w:pPr>
              <w:spacing w:before="20" w:after="20" w:line="276" w:lineRule="auto"/>
              <w:ind w:firstLine="0"/>
            </w:pPr>
            <w:r/>
            <w:r>
              <w:rPr>
                <w:rFonts w:ascii="Times New Roman" w:hAnsi="Times New Roman" w:eastAsia="宋体"/>
                <w:b w:val="0"/>
                <w:i w:val="0"/>
                <w:sz w:val="21"/>
              </w:rPr>
              <w:t>退款管理</w:t>
            </w:r>
          </w:p>
        </w:tc>
        <w:tc>
          <w:tcPr>
            <w:tcW w:type="dxa" w:w="7370"/>
          </w:tcPr>
          <w:p>
            <w:pPr>
              <w:spacing w:before="20" w:after="20" w:line="276" w:lineRule="auto"/>
              <w:ind w:firstLine="0"/>
            </w:pPr>
            <w:r/>
            <w:r>
              <w:rPr>
                <w:rFonts w:ascii="Times New Roman" w:hAnsi="Times New Roman" w:eastAsia="宋体"/>
                <w:b w:val="0"/>
                <w:i w:val="0"/>
                <w:sz w:val="21"/>
              </w:rPr>
              <w:t>待业务方确认：退款单状态字段的枚举值未定义，仅有待线下退款、已退款、已驳回三个中文标签。</w:t>
            </w:r>
          </w:p>
        </w:tc>
      </w:tr>
      <w:tr>
        <w:tc>
          <w:tcPr>
            <w:tcW w:type="dxa" w:w="1701"/>
          </w:tcPr>
          <w:p>
            <w:pPr>
              <w:spacing w:before="20" w:after="20" w:line="276" w:lineRule="auto"/>
              <w:ind w:firstLine="0"/>
            </w:pPr>
            <w:r/>
            <w:r>
              <w:rPr>
                <w:rFonts w:ascii="Times New Roman" w:hAnsi="Times New Roman" w:eastAsia="宋体"/>
                <w:b w:val="0"/>
                <w:i w:val="0"/>
                <w:sz w:val="21"/>
              </w:rPr>
              <w:t>退款管理</w:t>
            </w:r>
          </w:p>
        </w:tc>
        <w:tc>
          <w:tcPr>
            <w:tcW w:type="dxa" w:w="7370"/>
          </w:tcPr>
          <w:p>
            <w:pPr>
              <w:spacing w:before="20" w:after="20" w:line="276" w:lineRule="auto"/>
              <w:ind w:firstLine="0"/>
            </w:pPr>
            <w:r/>
            <w:r>
              <w:rPr>
                <w:rFonts w:ascii="Times New Roman" w:hAnsi="Times New Roman" w:eastAsia="宋体"/>
                <w:b w:val="0"/>
                <w:i w:val="0"/>
                <w:sz w:val="21"/>
              </w:rPr>
              <w:t>待业务方确认：退款单缺少实际退款金额与线下退款完成日期的字段，无法对齐付款侧的「实际金额 + 线下完成日期」留痕口径。</w:t>
            </w:r>
          </w:p>
        </w:tc>
      </w:tr>
      <w:tr>
        <w:tc>
          <w:tcPr>
            <w:tcW w:type="dxa" w:w="1701"/>
          </w:tcPr>
          <w:p>
            <w:pPr>
              <w:spacing w:before="20" w:after="20" w:line="276" w:lineRule="auto"/>
              <w:ind w:firstLine="0"/>
            </w:pPr>
            <w:r/>
            <w:r>
              <w:rPr>
                <w:rFonts w:ascii="Times New Roman" w:hAnsi="Times New Roman" w:eastAsia="宋体"/>
                <w:b w:val="0"/>
                <w:i w:val="0"/>
                <w:sz w:val="21"/>
              </w:rPr>
              <w:t>退款管理</w:t>
            </w:r>
          </w:p>
        </w:tc>
        <w:tc>
          <w:tcPr>
            <w:tcW w:type="dxa" w:w="7370"/>
          </w:tcPr>
          <w:p>
            <w:pPr>
              <w:spacing w:before="20" w:after="20" w:line="276" w:lineRule="auto"/>
              <w:ind w:firstLine="0"/>
            </w:pPr>
            <w:r/>
            <w:r>
              <w:rPr>
                <w:rFonts w:ascii="Times New Roman" w:hAnsi="Times New Roman" w:eastAsia="宋体"/>
                <w:b w:val="0"/>
                <w:i w:val="0"/>
                <w:sz w:val="21"/>
              </w:rPr>
              <w:t>待业务方确认：退款是否需要独立的操作记录表与审批记录区块。</w:t>
            </w:r>
          </w:p>
        </w:tc>
      </w:tr>
      <w:tr>
        <w:tc>
          <w:tcPr>
            <w:tcW w:type="dxa" w:w="1701"/>
          </w:tcPr>
          <w:p>
            <w:pPr>
              <w:spacing w:before="20" w:after="20" w:line="276" w:lineRule="auto"/>
              <w:ind w:firstLine="0"/>
            </w:pPr>
            <w:r/>
            <w:r>
              <w:rPr>
                <w:rFonts w:ascii="Times New Roman" w:hAnsi="Times New Roman" w:eastAsia="宋体"/>
                <w:b w:val="0"/>
                <w:i w:val="0"/>
                <w:sz w:val="21"/>
              </w:rPr>
              <w:t>退款管理</w:t>
            </w:r>
          </w:p>
        </w:tc>
        <w:tc>
          <w:tcPr>
            <w:tcW w:type="dxa" w:w="7370"/>
          </w:tcPr>
          <w:p>
            <w:pPr>
              <w:spacing w:before="20" w:after="20" w:line="276" w:lineRule="auto"/>
              <w:ind w:firstLine="0"/>
            </w:pPr>
            <w:r/>
            <w:r>
              <w:rPr>
                <w:rFonts w:ascii="Times New Roman" w:hAnsi="Times New Roman" w:eastAsia="宋体"/>
                <w:b w:val="0"/>
                <w:i w:val="0"/>
                <w:sz w:val="21"/>
              </w:rPr>
              <w:t>待业务方确认：退款申请单号是否与付款申请单共用同一套流水序列。</w:t>
            </w:r>
          </w:p>
        </w:tc>
      </w:tr>
      <w:tr>
        <w:tc>
          <w:tcPr>
            <w:tcW w:type="dxa" w:w="1701"/>
          </w:tcPr>
          <w:p>
            <w:pPr>
              <w:spacing w:before="20" w:after="20" w:line="276" w:lineRule="auto"/>
              <w:ind w:firstLine="0"/>
            </w:pPr>
            <w:r/>
            <w:r>
              <w:rPr>
                <w:rFonts w:ascii="Times New Roman" w:hAnsi="Times New Roman" w:eastAsia="宋体"/>
                <w:b w:val="0"/>
                <w:i w:val="0"/>
                <w:sz w:val="21"/>
              </w:rPr>
              <w:t>退款管理</w:t>
            </w:r>
          </w:p>
        </w:tc>
        <w:tc>
          <w:tcPr>
            <w:tcW w:type="dxa" w:w="7370"/>
          </w:tcPr>
          <w:p>
            <w:pPr>
              <w:spacing w:before="20" w:after="20" w:line="276" w:lineRule="auto"/>
              <w:ind w:firstLine="0"/>
            </w:pPr>
            <w:r/>
            <w:r>
              <w:rPr>
                <w:rFonts w:ascii="Times New Roman" w:hAnsi="Times New Roman" w:eastAsia="宋体"/>
                <w:b w:val="0"/>
                <w:i w:val="0"/>
                <w:sz w:val="21"/>
              </w:rPr>
              <w:t>待业务方确认：退款页面的完整列表列定义、筛选条件与排序规则。</w:t>
            </w:r>
          </w:p>
        </w:tc>
      </w:tr>
      <w:tr>
        <w:tc>
          <w:tcPr>
            <w:tcW w:type="dxa" w:w="1701"/>
          </w:tcPr>
          <w:p>
            <w:pPr>
              <w:spacing w:before="20" w:after="20" w:line="276" w:lineRule="auto"/>
              <w:ind w:firstLine="0"/>
            </w:pPr>
            <w:r/>
            <w:r>
              <w:rPr>
                <w:rFonts w:ascii="Times New Roman" w:hAnsi="Times New Roman" w:eastAsia="宋体"/>
                <w:b w:val="0"/>
                <w:i w:val="0"/>
                <w:sz w:val="21"/>
              </w:rPr>
              <w:t>回款管理</w:t>
            </w:r>
          </w:p>
        </w:tc>
        <w:tc>
          <w:tcPr>
            <w:tcW w:type="dxa" w:w="7370"/>
          </w:tcPr>
          <w:p>
            <w:pPr>
              <w:spacing w:before="20" w:after="20" w:line="276" w:lineRule="auto"/>
              <w:ind w:firstLine="0"/>
            </w:pPr>
            <w:r/>
            <w:r>
              <w:rPr>
                <w:rFonts w:ascii="Times New Roman" w:hAnsi="Times New Roman" w:eastAsia="宋体"/>
                <w:b w:val="0"/>
                <w:i w:val="0"/>
                <w:sz w:val="21"/>
              </w:rPr>
              <w:t>待业务方确认：回款状态口径——模块文档记录认领状态为待认领与已认领两态（对应四个枚举值），原型页面按 7 态实现（待提交、审批中、未认领、部分认领、已认领、驳回、无效），列表展示用词也由待认领变为未认领，两套口径需统一。</w:t>
            </w:r>
          </w:p>
        </w:tc>
      </w:tr>
      <w:tr>
        <w:tc>
          <w:tcPr>
            <w:tcW w:type="dxa" w:w="1701"/>
          </w:tcPr>
          <w:p>
            <w:pPr>
              <w:spacing w:before="20" w:after="20" w:line="276" w:lineRule="auto"/>
              <w:ind w:firstLine="0"/>
            </w:pPr>
            <w:r/>
            <w:r>
              <w:rPr>
                <w:rFonts w:ascii="Times New Roman" w:hAnsi="Times New Roman" w:eastAsia="宋体"/>
                <w:b w:val="0"/>
                <w:i w:val="0"/>
                <w:sz w:val="21"/>
              </w:rPr>
              <w:t>回款管理</w:t>
            </w:r>
          </w:p>
        </w:tc>
        <w:tc>
          <w:tcPr>
            <w:tcW w:type="dxa" w:w="7370"/>
          </w:tcPr>
          <w:p>
            <w:pPr>
              <w:spacing w:before="20" w:after="20" w:line="276" w:lineRule="auto"/>
              <w:ind w:firstLine="0"/>
            </w:pPr>
            <w:r/>
            <w:r>
              <w:rPr>
                <w:rFonts w:ascii="Times New Roman" w:hAnsi="Times New Roman" w:eastAsia="宋体"/>
                <w:b w:val="0"/>
                <w:i w:val="0"/>
                <w:sz w:val="21"/>
              </w:rPr>
              <w:t>待业务方确认：回款方式 4 种中文口径与底层字段 3 个枚举值无法一一对应。</w:t>
            </w:r>
          </w:p>
        </w:tc>
      </w:tr>
      <w:tr>
        <w:tc>
          <w:tcPr>
            <w:tcW w:type="dxa" w:w="1701"/>
          </w:tcPr>
          <w:p>
            <w:pPr>
              <w:spacing w:before="20" w:after="20" w:line="276" w:lineRule="auto"/>
              <w:ind w:firstLine="0"/>
            </w:pPr>
            <w:r/>
            <w:r>
              <w:rPr>
                <w:rFonts w:ascii="Times New Roman" w:hAnsi="Times New Roman" w:eastAsia="宋体"/>
                <w:b w:val="0"/>
                <w:i w:val="0"/>
                <w:sz w:val="21"/>
              </w:rPr>
              <w:t>回款管理</w:t>
            </w:r>
          </w:p>
        </w:tc>
        <w:tc>
          <w:tcPr>
            <w:tcW w:type="dxa" w:w="7370"/>
          </w:tcPr>
          <w:p>
            <w:pPr>
              <w:spacing w:before="20" w:after="20" w:line="276" w:lineRule="auto"/>
              <w:ind w:firstLine="0"/>
            </w:pPr>
            <w:r/>
            <w:r>
              <w:rPr>
                <w:rFonts w:ascii="Times New Roman" w:hAnsi="Times New Roman" w:eastAsia="宋体"/>
                <w:b w:val="0"/>
                <w:i w:val="0"/>
                <w:sz w:val="21"/>
              </w:rPr>
              <w:t>待业务方确认：保证金冲抵选项在回款方式中保留但业务上已不再走保证金，该选项是置灰不可提交还是可提交不生效。</w:t>
            </w:r>
          </w:p>
        </w:tc>
      </w:tr>
      <w:tr>
        <w:tc>
          <w:tcPr>
            <w:tcW w:type="dxa" w:w="1701"/>
          </w:tcPr>
          <w:p>
            <w:pPr>
              <w:spacing w:before="20" w:after="20" w:line="276" w:lineRule="auto"/>
              <w:ind w:firstLine="0"/>
            </w:pPr>
            <w:r/>
            <w:r>
              <w:rPr>
                <w:rFonts w:ascii="Times New Roman" w:hAnsi="Times New Roman" w:eastAsia="宋体"/>
                <w:b w:val="0"/>
                <w:i w:val="0"/>
                <w:sz w:val="21"/>
              </w:rPr>
              <w:t>回款管理</w:t>
            </w:r>
          </w:p>
        </w:tc>
        <w:tc>
          <w:tcPr>
            <w:tcW w:type="dxa" w:w="7370"/>
          </w:tcPr>
          <w:p>
            <w:pPr>
              <w:spacing w:before="20" w:after="20" w:line="276" w:lineRule="auto"/>
              <w:ind w:firstLine="0"/>
            </w:pPr>
            <w:r/>
            <w:r>
              <w:rPr>
                <w:rFonts w:ascii="Times New Roman" w:hAnsi="Times New Roman" w:eastAsia="宋体"/>
                <w:b w:val="0"/>
                <w:i w:val="0"/>
                <w:sz w:val="21"/>
              </w:rPr>
              <w:t>待业务方确认：被认领合同所要求的「执行中 / 待上传双签合同」状态对应的字段枚举值。</w:t>
            </w:r>
          </w:p>
        </w:tc>
      </w:tr>
      <w:tr>
        <w:tc>
          <w:tcPr>
            <w:tcW w:type="dxa" w:w="1701"/>
          </w:tcPr>
          <w:p>
            <w:pPr>
              <w:spacing w:before="20" w:after="20" w:line="276" w:lineRule="auto"/>
              <w:ind w:firstLine="0"/>
            </w:pPr>
            <w:r/>
            <w:r>
              <w:rPr>
                <w:rFonts w:ascii="Times New Roman" w:hAnsi="Times New Roman" w:eastAsia="宋体"/>
                <w:b w:val="0"/>
                <w:i w:val="0"/>
                <w:sz w:val="21"/>
              </w:rPr>
              <w:t>回款管理</w:t>
            </w:r>
          </w:p>
        </w:tc>
        <w:tc>
          <w:tcPr>
            <w:tcW w:type="dxa" w:w="7370"/>
          </w:tcPr>
          <w:p>
            <w:pPr>
              <w:spacing w:before="20" w:after="20" w:line="276" w:lineRule="auto"/>
              <w:ind w:firstLine="0"/>
            </w:pPr>
            <w:r/>
            <w:r>
              <w:rPr>
                <w:rFonts w:ascii="Times New Roman" w:hAnsi="Times New Roman" w:eastAsia="宋体"/>
                <w:b w:val="0"/>
                <w:i w:val="0"/>
                <w:sz w:val="21"/>
              </w:rPr>
              <w:t>待业务方确认：回款凭证附件大小上限 100MB 与全站附件上限 10MB 的适用范围。</w:t>
            </w:r>
          </w:p>
        </w:tc>
      </w:tr>
      <w:tr>
        <w:tc>
          <w:tcPr>
            <w:tcW w:type="dxa" w:w="1701"/>
          </w:tcPr>
          <w:p>
            <w:pPr>
              <w:spacing w:before="20" w:after="20" w:line="276" w:lineRule="auto"/>
              <w:ind w:firstLine="0"/>
            </w:pPr>
            <w:r/>
            <w:r>
              <w:rPr>
                <w:rFonts w:ascii="Times New Roman" w:hAnsi="Times New Roman" w:eastAsia="宋体"/>
                <w:b w:val="0"/>
                <w:i w:val="0"/>
                <w:sz w:val="21"/>
              </w:rPr>
              <w:t>回款管理</w:t>
            </w:r>
          </w:p>
        </w:tc>
        <w:tc>
          <w:tcPr>
            <w:tcW w:type="dxa" w:w="7370"/>
          </w:tcPr>
          <w:p>
            <w:pPr>
              <w:spacing w:before="20" w:after="20" w:line="276" w:lineRule="auto"/>
              <w:ind w:firstLine="0"/>
            </w:pPr>
            <w:r/>
            <w:r>
              <w:rPr>
                <w:rFonts w:ascii="Times New Roman" w:hAnsi="Times New Roman" w:eastAsia="宋体"/>
                <w:b w:val="0"/>
                <w:i w:val="0"/>
                <w:sz w:val="21"/>
              </w:rPr>
              <w:t>待业务方确认：银行流水与回款流水的匹配键，以及自动认领与人工认领同时发生时的仲裁规则。</w:t>
            </w:r>
          </w:p>
        </w:tc>
      </w:tr>
      <w:tr>
        <w:tc>
          <w:tcPr>
            <w:tcW w:type="dxa" w:w="1701"/>
          </w:tcPr>
          <w:p>
            <w:pPr>
              <w:spacing w:before="20" w:after="20" w:line="276" w:lineRule="auto"/>
              <w:ind w:firstLine="0"/>
            </w:pPr>
            <w:r/>
            <w:r>
              <w:rPr>
                <w:rFonts w:ascii="Times New Roman" w:hAnsi="Times New Roman" w:eastAsia="宋体"/>
                <w:b w:val="0"/>
                <w:i w:val="0"/>
                <w:sz w:val="21"/>
              </w:rPr>
              <w:t>回款管理</w:t>
            </w:r>
          </w:p>
        </w:tc>
        <w:tc>
          <w:tcPr>
            <w:tcW w:type="dxa" w:w="7370"/>
          </w:tcPr>
          <w:p>
            <w:pPr>
              <w:spacing w:before="20" w:after="20" w:line="276" w:lineRule="auto"/>
              <w:ind w:firstLine="0"/>
            </w:pPr>
            <w:r/>
            <w:r>
              <w:rPr>
                <w:rFonts w:ascii="Times New Roman" w:hAnsi="Times New Roman" w:eastAsia="宋体"/>
                <w:b w:val="0"/>
                <w:i w:val="0"/>
                <w:sz w:val="21"/>
              </w:rPr>
              <w:t>待业务方确认：回款侧「收款方在系统内确认」是否需要独立落地页面——模块文档推测现有 receipt-confirm.html 即该环节，但该页面实际是收发货管理的「填写收货信息 / 收货确认」页，页面文件名与回款域重名，回款侧无对应确认页面。</w:t>
            </w:r>
          </w:p>
        </w:tc>
      </w:tr>
      <w:tr>
        <w:tc>
          <w:tcPr>
            <w:tcW w:type="dxa" w:w="1701"/>
          </w:tcPr>
          <w:p>
            <w:pPr>
              <w:spacing w:before="20" w:after="20" w:line="276" w:lineRule="auto"/>
              <w:ind w:firstLine="0"/>
            </w:pPr>
            <w:r/>
            <w:r>
              <w:rPr>
                <w:rFonts w:ascii="Times New Roman" w:hAnsi="Times New Roman" w:eastAsia="宋体"/>
                <w:b w:val="0"/>
                <w:i w:val="0"/>
                <w:sz w:val="21"/>
              </w:rPr>
              <w:t>保证金管理</w:t>
            </w:r>
          </w:p>
        </w:tc>
        <w:tc>
          <w:tcPr>
            <w:tcW w:type="dxa" w:w="7370"/>
          </w:tcPr>
          <w:p>
            <w:pPr>
              <w:spacing w:before="20" w:after="20" w:line="276" w:lineRule="auto"/>
              <w:ind w:firstLine="0"/>
            </w:pPr>
            <w:r/>
            <w:r>
              <w:rPr>
                <w:rFonts w:ascii="Times New Roman" w:hAnsi="Times New Roman" w:eastAsia="宋体"/>
                <w:b w:val="0"/>
                <w:i w:val="0"/>
                <w:sz w:val="21"/>
              </w:rPr>
              <w:t>待业务方确认：保证金列表的组织维度——源文档 v1.0 口径为按客户维度 6 列，v1.7.99.x 与原型页面为按合同维度 13 列，两套维度需统一。</w:t>
            </w:r>
          </w:p>
        </w:tc>
      </w:tr>
      <w:tr>
        <w:tc>
          <w:tcPr>
            <w:tcW w:type="dxa" w:w="1701"/>
          </w:tcPr>
          <w:p>
            <w:pPr>
              <w:spacing w:before="20" w:after="20" w:line="276" w:lineRule="auto"/>
              <w:ind w:firstLine="0"/>
            </w:pPr>
            <w:r/>
            <w:r>
              <w:rPr>
                <w:rFonts w:ascii="Times New Roman" w:hAnsi="Times New Roman" w:eastAsia="宋体"/>
                <w:b w:val="0"/>
                <w:i w:val="0"/>
                <w:sz w:val="21"/>
              </w:rPr>
              <w:t>保证金管理</w:t>
            </w:r>
          </w:p>
        </w:tc>
        <w:tc>
          <w:tcPr>
            <w:tcW w:type="dxa" w:w="7370"/>
          </w:tcPr>
          <w:p>
            <w:pPr>
              <w:spacing w:before="20" w:after="20" w:line="276" w:lineRule="auto"/>
              <w:ind w:firstLine="0"/>
            </w:pPr>
            <w:r/>
            <w:r>
              <w:rPr>
                <w:rFonts w:ascii="Times New Roman" w:hAnsi="Times New Roman" w:eastAsia="宋体"/>
                <w:b w:val="0"/>
                <w:i w:val="0"/>
                <w:sz w:val="21"/>
              </w:rPr>
              <w:t>待业务方确认：KPI 统计范围——手册口径为平台中所有采购与销售合同的汇总，列表字段口径为业务线上游与下游合同，且「已回款总金额」在两处同名不同义。</w:t>
            </w:r>
          </w:p>
        </w:tc>
      </w:tr>
      <w:tr>
        <w:tc>
          <w:tcPr>
            <w:tcW w:type="dxa" w:w="1701"/>
          </w:tcPr>
          <w:p>
            <w:pPr>
              <w:spacing w:before="20" w:after="20" w:line="276" w:lineRule="auto"/>
              <w:ind w:firstLine="0"/>
            </w:pPr>
            <w:r/>
            <w:r>
              <w:rPr>
                <w:rFonts w:ascii="Times New Roman" w:hAnsi="Times New Roman" w:eastAsia="宋体"/>
                <w:b w:val="0"/>
                <w:i w:val="0"/>
                <w:sz w:val="21"/>
              </w:rPr>
              <w:t>保证金管理</w:t>
            </w:r>
          </w:p>
        </w:tc>
        <w:tc>
          <w:tcPr>
            <w:tcW w:type="dxa" w:w="7370"/>
          </w:tcPr>
          <w:p>
            <w:pPr>
              <w:spacing w:before="20" w:after="20" w:line="276" w:lineRule="auto"/>
              <w:ind w:firstLine="0"/>
            </w:pPr>
            <w:r/>
            <w:r>
              <w:rPr>
                <w:rFonts w:ascii="Times New Roman" w:hAnsi="Times New Roman" w:eastAsia="宋体"/>
                <w:b w:val="0"/>
                <w:i w:val="0"/>
                <w:sz w:val="21"/>
              </w:rPr>
              <w:t>待业务方确认：保证金调整单的状态机——源文档存在 4 状态、6 状态、3 个页签与单一「已调整」共四种说法，完整状态枚举、页签结构与状态色需确定。</w:t>
            </w:r>
          </w:p>
        </w:tc>
      </w:tr>
      <w:tr>
        <w:tc>
          <w:tcPr>
            <w:tcW w:type="dxa" w:w="1701"/>
          </w:tcPr>
          <w:p>
            <w:pPr>
              <w:spacing w:before="20" w:after="20" w:line="276" w:lineRule="auto"/>
              <w:ind w:firstLine="0"/>
            </w:pPr>
            <w:r/>
            <w:r>
              <w:rPr>
                <w:rFonts w:ascii="Times New Roman" w:hAnsi="Times New Roman" w:eastAsia="宋体"/>
                <w:b w:val="0"/>
                <w:i w:val="0"/>
                <w:sz w:val="21"/>
              </w:rPr>
              <w:t>保证金管理</w:t>
            </w:r>
          </w:p>
        </w:tc>
        <w:tc>
          <w:tcPr>
            <w:tcW w:type="dxa" w:w="7370"/>
          </w:tcPr>
          <w:p>
            <w:pPr>
              <w:spacing w:before="20" w:after="20" w:line="276" w:lineRule="auto"/>
              <w:ind w:firstLine="0"/>
            </w:pPr>
            <w:r/>
            <w:r>
              <w:rPr>
                <w:rFonts w:ascii="Times New Roman" w:hAnsi="Times New Roman" w:eastAsia="宋体"/>
                <w:b w:val="0"/>
                <w:i w:val="0"/>
                <w:sz w:val="21"/>
              </w:rPr>
              <w:t>待业务方确认：保证金余额预警线与红线的具体数值、配置入口，以及保证金比例 30%、20%、10% 三档分别对应的颜色与动作。</w:t>
            </w:r>
          </w:p>
        </w:tc>
      </w:tr>
      <w:tr>
        <w:tc>
          <w:tcPr>
            <w:tcW w:type="dxa" w:w="1701"/>
          </w:tcPr>
          <w:p>
            <w:pPr>
              <w:spacing w:before="20" w:after="20" w:line="276" w:lineRule="auto"/>
              <w:ind w:firstLine="0"/>
            </w:pPr>
            <w:r/>
            <w:r>
              <w:rPr>
                <w:rFonts w:ascii="Times New Roman" w:hAnsi="Times New Roman" w:eastAsia="宋体"/>
                <w:b w:val="0"/>
                <w:i w:val="0"/>
                <w:sz w:val="21"/>
              </w:rPr>
              <w:t>保证金管理</w:t>
            </w:r>
          </w:p>
        </w:tc>
        <w:tc>
          <w:tcPr>
            <w:tcW w:type="dxa" w:w="7370"/>
          </w:tcPr>
          <w:p>
            <w:pPr>
              <w:spacing w:before="20" w:after="20" w:line="276" w:lineRule="auto"/>
              <w:ind w:firstLine="0"/>
            </w:pPr>
            <w:r/>
            <w:r>
              <w:rPr>
                <w:rFonts w:ascii="Times New Roman" w:hAnsi="Times New Roman" w:eastAsia="宋体"/>
                <w:b w:val="0"/>
                <w:i w:val="0"/>
                <w:sz w:val="21"/>
              </w:rPr>
              <w:t>待业务方确认：客户额度是否随保证金余额变化重算——源文档两代口径直接对立。</w:t>
            </w:r>
          </w:p>
        </w:tc>
      </w:tr>
      <w:tr>
        <w:tc>
          <w:tcPr>
            <w:tcW w:type="dxa" w:w="1701"/>
          </w:tcPr>
          <w:p>
            <w:pPr>
              <w:spacing w:before="20" w:after="20" w:line="276" w:lineRule="auto"/>
              <w:ind w:firstLine="0"/>
            </w:pPr>
            <w:r/>
            <w:r>
              <w:rPr>
                <w:rFonts w:ascii="Times New Roman" w:hAnsi="Times New Roman" w:eastAsia="宋体"/>
                <w:b w:val="0"/>
                <w:i w:val="0"/>
                <w:sz w:val="21"/>
              </w:rPr>
              <w:t>保证金管理</w:t>
            </w:r>
          </w:p>
        </w:tc>
        <w:tc>
          <w:tcPr>
            <w:tcW w:type="dxa" w:w="7370"/>
          </w:tcPr>
          <w:p>
            <w:pPr>
              <w:spacing w:before="20" w:after="20" w:line="276" w:lineRule="auto"/>
              <w:ind w:firstLine="0"/>
            </w:pPr>
            <w:r/>
            <w:r>
              <w:rPr>
                <w:rFonts w:ascii="Times New Roman" w:hAnsi="Times New Roman" w:eastAsia="宋体"/>
                <w:b w:val="0"/>
                <w:i w:val="0"/>
                <w:sz w:val="21"/>
              </w:rPr>
              <w:t>待业务方确认：等比例冲抵比例的修改入口是否唯一在保证金池页，调整详情页是否保留写入能力。</w:t>
            </w:r>
          </w:p>
        </w:tc>
      </w:tr>
      <w:tr>
        <w:tc>
          <w:tcPr>
            <w:tcW w:type="dxa" w:w="1701"/>
          </w:tcPr>
          <w:p>
            <w:pPr>
              <w:spacing w:before="20" w:after="20" w:line="276" w:lineRule="auto"/>
              <w:ind w:firstLine="0"/>
            </w:pPr>
            <w:r/>
            <w:r>
              <w:rPr>
                <w:rFonts w:ascii="Times New Roman" w:hAnsi="Times New Roman" w:eastAsia="宋体"/>
                <w:b w:val="0"/>
                <w:i w:val="0"/>
                <w:sz w:val="21"/>
              </w:rPr>
              <w:t>保证金管理</w:t>
            </w:r>
          </w:p>
        </w:tc>
        <w:tc>
          <w:tcPr>
            <w:tcW w:type="dxa" w:w="7370"/>
          </w:tcPr>
          <w:p>
            <w:pPr>
              <w:spacing w:before="20" w:after="20" w:line="276" w:lineRule="auto"/>
              <w:ind w:firstLine="0"/>
            </w:pPr>
            <w:r/>
            <w:r>
              <w:rPr>
                <w:rFonts w:ascii="Times New Roman" w:hAnsi="Times New Roman" w:eastAsia="宋体"/>
                <w:b w:val="0"/>
                <w:i w:val="0"/>
                <w:sz w:val="21"/>
              </w:rPr>
              <w:t>待业务方确认：保证金调整单的审核人角色、审批 SLA 与超时动作。</w:t>
            </w:r>
          </w:p>
        </w:tc>
      </w:tr>
      <w:tr>
        <w:tc>
          <w:tcPr>
            <w:tcW w:type="dxa" w:w="1701"/>
          </w:tcPr>
          <w:p>
            <w:pPr>
              <w:spacing w:before="20" w:after="20" w:line="276" w:lineRule="auto"/>
              <w:ind w:firstLine="0"/>
            </w:pPr>
            <w:r/>
            <w:r>
              <w:rPr>
                <w:rFonts w:ascii="Times New Roman" w:hAnsi="Times New Roman" w:eastAsia="宋体"/>
                <w:b w:val="0"/>
                <w:i w:val="0"/>
                <w:sz w:val="21"/>
              </w:rPr>
              <w:t>结算单管理</w:t>
            </w:r>
          </w:p>
        </w:tc>
        <w:tc>
          <w:tcPr>
            <w:tcW w:type="dxa" w:w="7370"/>
          </w:tcPr>
          <w:p>
            <w:pPr>
              <w:spacing w:before="20" w:after="20" w:line="276" w:lineRule="auto"/>
              <w:ind w:firstLine="0"/>
            </w:pPr>
            <w:r/>
            <w:r>
              <w:rPr>
                <w:rFonts w:ascii="Times New Roman" w:hAnsi="Times New Roman" w:eastAsia="宋体"/>
                <w:b w:val="0"/>
                <w:i w:val="0"/>
                <w:sz w:val="21"/>
              </w:rPr>
              <w:t>待业务方确认：审批体系口径——源文档 v1.0 为业务、风控、财务三级内部审批，v1.7.99.82 为推送外部系统单级审核，用户手册则为内部串行审批且已双签跳过审批；审批级数与是否推送外部系统需统一。</w:t>
            </w:r>
          </w:p>
        </w:tc>
      </w:tr>
      <w:tr>
        <w:tc>
          <w:tcPr>
            <w:tcW w:type="dxa" w:w="1701"/>
          </w:tcPr>
          <w:p>
            <w:pPr>
              <w:spacing w:before="20" w:after="20" w:line="276" w:lineRule="auto"/>
              <w:ind w:firstLine="0"/>
            </w:pPr>
            <w:r/>
            <w:r>
              <w:rPr>
                <w:rFonts w:ascii="Times New Roman" w:hAnsi="Times New Roman" w:eastAsia="宋体"/>
                <w:b w:val="0"/>
                <w:i w:val="0"/>
                <w:sz w:val="21"/>
              </w:rPr>
              <w:t>结算单管理</w:t>
            </w:r>
          </w:p>
        </w:tc>
        <w:tc>
          <w:tcPr>
            <w:tcW w:type="dxa" w:w="7370"/>
          </w:tcPr>
          <w:p>
            <w:pPr>
              <w:spacing w:before="20" w:after="20" w:line="276" w:lineRule="auto"/>
              <w:ind w:firstLine="0"/>
            </w:pPr>
            <w:r/>
            <w:r>
              <w:rPr>
                <w:rFonts w:ascii="Times New Roman" w:hAnsi="Times New Roman" w:eastAsia="宋体"/>
                <w:b w:val="0"/>
                <w:i w:val="0"/>
                <w:sz w:val="21"/>
              </w:rPr>
              <w:t>待业务方确认：结算单状态机——销售结算存在 7 状态与另一套含待发起、待盖章、已双签的 7 状态两套并列口径，采购结算的 6 状态与页面 5 页签也不一致。</w:t>
            </w:r>
          </w:p>
        </w:tc>
      </w:tr>
      <w:tr>
        <w:tc>
          <w:tcPr>
            <w:tcW w:type="dxa" w:w="1701"/>
          </w:tcPr>
          <w:p>
            <w:pPr>
              <w:spacing w:before="20" w:after="20" w:line="276" w:lineRule="auto"/>
              <w:ind w:firstLine="0"/>
            </w:pPr>
            <w:r/>
            <w:r>
              <w:rPr>
                <w:rFonts w:ascii="Times New Roman" w:hAnsi="Times New Roman" w:eastAsia="宋体"/>
                <w:b w:val="0"/>
                <w:i w:val="0"/>
                <w:sz w:val="21"/>
              </w:rPr>
              <w:t>结算单管理</w:t>
            </w:r>
          </w:p>
        </w:tc>
        <w:tc>
          <w:tcPr>
            <w:tcW w:type="dxa" w:w="7370"/>
          </w:tcPr>
          <w:p>
            <w:pPr>
              <w:spacing w:before="20" w:after="20" w:line="276" w:lineRule="auto"/>
              <w:ind w:firstLine="0"/>
            </w:pPr>
            <w:r/>
            <w:r>
              <w:rPr>
                <w:rFonts w:ascii="Times New Roman" w:hAnsi="Times New Roman" w:eastAsia="宋体"/>
                <w:b w:val="0"/>
                <w:i w:val="0"/>
                <w:sz w:val="21"/>
              </w:rPr>
              <w:t>待业务方确认：是否保留「关联订单」与「结算阶段」字段——用户手册六步流程中没有这两项。</w:t>
            </w:r>
          </w:p>
        </w:tc>
      </w:tr>
      <w:tr>
        <w:tc>
          <w:tcPr>
            <w:tcW w:type="dxa" w:w="1701"/>
          </w:tcPr>
          <w:p>
            <w:pPr>
              <w:spacing w:before="20" w:after="20" w:line="276" w:lineRule="auto"/>
              <w:ind w:firstLine="0"/>
            </w:pPr>
            <w:r/>
            <w:r>
              <w:rPr>
                <w:rFonts w:ascii="Times New Roman" w:hAnsi="Times New Roman" w:eastAsia="宋体"/>
                <w:b w:val="0"/>
                <w:i w:val="0"/>
                <w:sz w:val="21"/>
              </w:rPr>
              <w:t>结算单管理</w:t>
            </w:r>
          </w:p>
        </w:tc>
        <w:tc>
          <w:tcPr>
            <w:tcW w:type="dxa" w:w="7370"/>
          </w:tcPr>
          <w:p>
            <w:pPr>
              <w:spacing w:before="20" w:after="20" w:line="276" w:lineRule="auto"/>
              <w:ind w:firstLine="0"/>
            </w:pPr>
            <w:r/>
            <w:r>
              <w:rPr>
                <w:rFonts w:ascii="Times New Roman" w:hAnsi="Times New Roman" w:eastAsia="宋体"/>
                <w:b w:val="0"/>
                <w:i w:val="0"/>
                <w:sz w:val="21"/>
              </w:rPr>
              <w:t>待业务方确认：「合同剩余金额」在合同侧的取数字段。</w:t>
            </w:r>
          </w:p>
        </w:tc>
      </w:tr>
      <w:tr>
        <w:tc>
          <w:tcPr>
            <w:tcW w:type="dxa" w:w="1701"/>
          </w:tcPr>
          <w:p>
            <w:pPr>
              <w:spacing w:before="20" w:after="20" w:line="276" w:lineRule="auto"/>
              <w:ind w:firstLine="0"/>
            </w:pPr>
            <w:r/>
            <w:r>
              <w:rPr>
                <w:rFonts w:ascii="Times New Roman" w:hAnsi="Times New Roman" w:eastAsia="宋体"/>
                <w:b w:val="0"/>
                <w:i w:val="0"/>
                <w:sz w:val="21"/>
              </w:rPr>
              <w:t>结算单管理</w:t>
            </w:r>
          </w:p>
        </w:tc>
        <w:tc>
          <w:tcPr>
            <w:tcW w:type="dxa" w:w="7370"/>
          </w:tcPr>
          <w:p>
            <w:pPr>
              <w:spacing w:before="20" w:after="20" w:line="276" w:lineRule="auto"/>
              <w:ind w:firstLine="0"/>
            </w:pPr>
            <w:r/>
            <w:r>
              <w:rPr>
                <w:rFonts w:ascii="Times New Roman" w:hAnsi="Times New Roman" w:eastAsia="宋体"/>
                <w:b w:val="0"/>
                <w:i w:val="0"/>
                <w:sz w:val="21"/>
              </w:rPr>
              <w:t>待业务方确认：采购结算列表的完整列定义、列宽、筛选与排序规则。</w:t>
            </w:r>
          </w:p>
        </w:tc>
      </w:tr>
      <w:tr>
        <w:tc>
          <w:tcPr>
            <w:tcW w:type="dxa" w:w="1701"/>
          </w:tcPr>
          <w:p>
            <w:pPr>
              <w:spacing w:before="20" w:after="20" w:line="276" w:lineRule="auto"/>
              <w:ind w:firstLine="0"/>
            </w:pPr>
            <w:r/>
            <w:r>
              <w:rPr>
                <w:rFonts w:ascii="Times New Roman" w:hAnsi="Times New Roman" w:eastAsia="宋体"/>
                <w:b w:val="0"/>
                <w:i w:val="0"/>
                <w:sz w:val="21"/>
              </w:rPr>
              <w:t>结算单管理</w:t>
            </w:r>
          </w:p>
        </w:tc>
        <w:tc>
          <w:tcPr>
            <w:tcW w:type="dxa" w:w="7370"/>
          </w:tcPr>
          <w:p>
            <w:pPr>
              <w:spacing w:before="20" w:after="20" w:line="276" w:lineRule="auto"/>
              <w:ind w:firstLine="0"/>
            </w:pPr>
            <w:r/>
            <w:r>
              <w:rPr>
                <w:rFonts w:ascii="Times New Roman" w:hAnsi="Times New Roman" w:eastAsia="宋体"/>
                <w:b w:val="0"/>
                <w:i w:val="0"/>
                <w:sz w:val="21"/>
              </w:rPr>
              <w:t>待业务方确认：合同「已结算金额」字段名，以及业务线结算进度联动是否仍然保留。</w:t>
            </w:r>
          </w:p>
        </w:tc>
      </w:tr>
      <w:tr>
        <w:tc>
          <w:tcPr>
            <w:tcW w:type="dxa" w:w="1701"/>
          </w:tcPr>
          <w:p>
            <w:pPr>
              <w:spacing w:before="20" w:after="20" w:line="276" w:lineRule="auto"/>
              <w:ind w:firstLine="0"/>
            </w:pPr>
            <w:r/>
            <w:r>
              <w:rPr>
                <w:rFonts w:ascii="Times New Roman" w:hAnsi="Times New Roman" w:eastAsia="宋体"/>
                <w:b w:val="0"/>
                <w:i w:val="0"/>
                <w:sz w:val="21"/>
              </w:rPr>
              <w:t>结算单管理</w:t>
            </w:r>
          </w:p>
        </w:tc>
        <w:tc>
          <w:tcPr>
            <w:tcW w:type="dxa" w:w="7370"/>
          </w:tcPr>
          <w:p>
            <w:pPr>
              <w:spacing w:before="20" w:after="20" w:line="276" w:lineRule="auto"/>
              <w:ind w:firstLine="0"/>
            </w:pPr>
            <w:r/>
            <w:r>
              <w:rPr>
                <w:rFonts w:ascii="Times New Roman" w:hAnsi="Times New Roman" w:eastAsia="宋体"/>
                <w:b w:val="0"/>
                <w:i w:val="0"/>
                <w:sz w:val="21"/>
              </w:rPr>
              <w:t>待业务方确认：销售结算列表第 3 至 7 列取值说明中「取消前结算单」的表述与状态机中无取消状态的口径冲突。</w:t>
            </w:r>
          </w:p>
        </w:tc>
      </w:tr>
      <w:tr>
        <w:tc>
          <w:tcPr>
            <w:tcW w:type="dxa" w:w="1701"/>
          </w:tcPr>
          <w:p>
            <w:pPr>
              <w:spacing w:before="20" w:after="20" w:line="276" w:lineRule="auto"/>
              <w:ind w:firstLine="0"/>
            </w:pPr>
            <w:r/>
            <w:r>
              <w:rPr>
                <w:rFonts w:ascii="Times New Roman" w:hAnsi="Times New Roman" w:eastAsia="宋体"/>
                <w:b w:val="0"/>
                <w:i w:val="0"/>
                <w:sz w:val="21"/>
              </w:rPr>
              <w:t>发票管理</w:t>
            </w:r>
          </w:p>
        </w:tc>
        <w:tc>
          <w:tcPr>
            <w:tcW w:type="dxa" w:w="7370"/>
          </w:tcPr>
          <w:p>
            <w:pPr>
              <w:spacing w:before="20" w:after="20" w:line="276" w:lineRule="auto"/>
              <w:ind w:firstLine="0"/>
            </w:pPr>
            <w:r/>
            <w:r>
              <w:rPr>
                <w:rFonts w:ascii="Times New Roman" w:hAnsi="Times New Roman" w:eastAsia="宋体"/>
                <w:b w:val="0"/>
                <w:i w:val="0"/>
                <w:sz w:val="21"/>
              </w:rPr>
              <w:t>待业务方确认：发票状态机——源文档 v1.0 为 7 状态且带英文枚举，用户手册为 4 状态（正常、红冲、作废、删除）且无英文枚举，两套无枚举重合，原型页面按 4 状态实现。</w:t>
            </w:r>
          </w:p>
        </w:tc>
      </w:tr>
      <w:tr>
        <w:tc>
          <w:tcPr>
            <w:tcW w:type="dxa" w:w="1701"/>
          </w:tcPr>
          <w:p>
            <w:pPr>
              <w:spacing w:before="20" w:after="20" w:line="276" w:lineRule="auto"/>
              <w:ind w:firstLine="0"/>
            </w:pPr>
            <w:r/>
            <w:r>
              <w:rPr>
                <w:rFonts w:ascii="Times New Roman" w:hAnsi="Times New Roman" w:eastAsia="宋体"/>
                <w:b w:val="0"/>
                <w:i w:val="0"/>
                <w:sz w:val="21"/>
              </w:rPr>
              <w:t>发票管理</w:t>
            </w:r>
          </w:p>
        </w:tc>
        <w:tc>
          <w:tcPr>
            <w:tcW w:type="dxa" w:w="7370"/>
          </w:tcPr>
          <w:p>
            <w:pPr>
              <w:spacing w:before="20" w:after="20" w:line="276" w:lineRule="auto"/>
              <w:ind w:firstLine="0"/>
            </w:pPr>
            <w:r/>
            <w:r>
              <w:rPr>
                <w:rFonts w:ascii="Times New Roman" w:hAnsi="Times New Roman" w:eastAsia="宋体"/>
                <w:b w:val="0"/>
                <w:i w:val="0"/>
                <w:sz w:val="21"/>
              </w:rPr>
              <w:t>待业务方确认：业务范围——源文档声明「仅进项发票，销项暂不写」，而进销项分离的销项页面与编辑能力已落地，两套范围口径需统一。</w:t>
            </w:r>
          </w:p>
        </w:tc>
      </w:tr>
      <w:tr>
        <w:tc>
          <w:tcPr>
            <w:tcW w:type="dxa" w:w="1701"/>
          </w:tcPr>
          <w:p>
            <w:pPr>
              <w:spacing w:before="20" w:after="20" w:line="276" w:lineRule="auto"/>
              <w:ind w:firstLine="0"/>
            </w:pPr>
            <w:r/>
            <w:r>
              <w:rPr>
                <w:rFonts w:ascii="Times New Roman" w:hAnsi="Times New Roman" w:eastAsia="宋体"/>
                <w:b w:val="0"/>
                <w:i w:val="0"/>
                <w:sz w:val="21"/>
              </w:rPr>
              <w:t>发票管理</w:t>
            </w:r>
          </w:p>
        </w:tc>
        <w:tc>
          <w:tcPr>
            <w:tcW w:type="dxa" w:w="7370"/>
          </w:tcPr>
          <w:p>
            <w:pPr>
              <w:spacing w:before="20" w:after="20" w:line="276" w:lineRule="auto"/>
              <w:ind w:firstLine="0"/>
            </w:pPr>
            <w:r/>
            <w:r>
              <w:rPr>
                <w:rFonts w:ascii="Times New Roman" w:hAnsi="Times New Roman" w:eastAsia="宋体"/>
                <w:b w:val="0"/>
                <w:i w:val="0"/>
                <w:sz w:val="21"/>
              </w:rPr>
              <w:t>待业务方确认：红冲与删除缺少落库字段——红冲发票号、红冲金额、红冲时间、红冲人以及逻辑删除标记均无字段承载。</w:t>
            </w:r>
          </w:p>
        </w:tc>
      </w:tr>
      <w:tr>
        <w:tc>
          <w:tcPr>
            <w:tcW w:type="dxa" w:w="1701"/>
          </w:tcPr>
          <w:p>
            <w:pPr>
              <w:spacing w:before="20" w:after="20" w:line="276" w:lineRule="auto"/>
              <w:ind w:firstLine="0"/>
            </w:pPr>
            <w:r/>
            <w:r>
              <w:rPr>
                <w:rFonts w:ascii="Times New Roman" w:hAnsi="Times New Roman" w:eastAsia="宋体"/>
                <w:b w:val="0"/>
                <w:i w:val="0"/>
                <w:sz w:val="21"/>
              </w:rPr>
              <w:t>发票管理</w:t>
            </w:r>
          </w:p>
        </w:tc>
        <w:tc>
          <w:tcPr>
            <w:tcW w:type="dxa" w:w="7370"/>
          </w:tcPr>
          <w:p>
            <w:pPr>
              <w:spacing w:before="20" w:after="20" w:line="276" w:lineRule="auto"/>
              <w:ind w:firstLine="0"/>
            </w:pPr>
            <w:r/>
            <w:r>
              <w:rPr>
                <w:rFonts w:ascii="Times New Roman" w:hAnsi="Times New Roman" w:eastAsia="宋体"/>
                <w:b w:val="0"/>
                <w:i w:val="0"/>
                <w:sz w:val="21"/>
              </w:rPr>
              <w:t>待业务方确认：OCR 识别失败时「手动填写」与「手动补录」两套提示文案的适用范围。</w:t>
            </w:r>
          </w:p>
        </w:tc>
      </w:tr>
      <w:tr>
        <w:tc>
          <w:tcPr>
            <w:tcW w:type="dxa" w:w="1701"/>
          </w:tcPr>
          <w:p>
            <w:pPr>
              <w:spacing w:before="20" w:after="20" w:line="276" w:lineRule="auto"/>
              <w:ind w:firstLine="0"/>
            </w:pPr>
            <w:r/>
            <w:r>
              <w:rPr>
                <w:rFonts w:ascii="Times New Roman" w:hAnsi="Times New Roman" w:eastAsia="宋体"/>
                <w:b w:val="0"/>
                <w:i w:val="0"/>
                <w:sz w:val="21"/>
              </w:rPr>
              <w:t>发票管理</w:t>
            </w:r>
          </w:p>
        </w:tc>
        <w:tc>
          <w:tcPr>
            <w:tcW w:type="dxa" w:w="7370"/>
          </w:tcPr>
          <w:p>
            <w:pPr>
              <w:spacing w:before="20" w:after="20" w:line="276" w:lineRule="auto"/>
              <w:ind w:firstLine="0"/>
            </w:pPr>
            <w:r/>
            <w:r>
              <w:rPr>
                <w:rFonts w:ascii="Times New Roman" w:hAnsi="Times New Roman" w:eastAsia="宋体"/>
                <w:b w:val="0"/>
                <w:i w:val="0"/>
                <w:sz w:val="21"/>
              </w:rPr>
              <w:t>待业务方确认：图片上传通道到底只接受 PDF，还是接受 jpg、jpeg、png、pdf 四种格式。</w:t>
            </w:r>
          </w:p>
        </w:tc>
      </w:tr>
      <w:tr>
        <w:tc>
          <w:tcPr>
            <w:tcW w:type="dxa" w:w="1701"/>
          </w:tcPr>
          <w:p>
            <w:pPr>
              <w:spacing w:before="20" w:after="20" w:line="276" w:lineRule="auto"/>
              <w:ind w:firstLine="0"/>
            </w:pPr>
            <w:r/>
            <w:r>
              <w:rPr>
                <w:rFonts w:ascii="Times New Roman" w:hAnsi="Times New Roman" w:eastAsia="宋体"/>
                <w:b w:val="0"/>
                <w:i w:val="0"/>
                <w:sz w:val="21"/>
              </w:rPr>
              <w:t>发票管理</w:t>
            </w:r>
          </w:p>
        </w:tc>
        <w:tc>
          <w:tcPr>
            <w:tcW w:type="dxa" w:w="7370"/>
          </w:tcPr>
          <w:p>
            <w:pPr>
              <w:spacing w:before="20" w:after="20" w:line="276" w:lineRule="auto"/>
              <w:ind w:firstLine="0"/>
            </w:pPr>
            <w:r/>
            <w:r>
              <w:rPr>
                <w:rFonts w:ascii="Times New Roman" w:hAnsi="Times New Roman" w:eastAsia="宋体"/>
                <w:b w:val="0"/>
                <w:i w:val="0"/>
                <w:sz w:val="21"/>
              </w:rPr>
              <w:t>待业务方确认：Excel 录入字段中的「报税合计」与「价税合计」是否同一字段，以及「发票金额」对应哪个落库字段。</w:t>
            </w:r>
          </w:p>
        </w:tc>
      </w:tr>
      <w:tr>
        <w:tc>
          <w:tcPr>
            <w:tcW w:type="dxa" w:w="1701"/>
          </w:tcPr>
          <w:p>
            <w:pPr>
              <w:spacing w:before="20" w:after="20" w:line="276" w:lineRule="auto"/>
              <w:ind w:firstLine="0"/>
            </w:pPr>
            <w:r/>
            <w:r>
              <w:rPr>
                <w:rFonts w:ascii="Times New Roman" w:hAnsi="Times New Roman" w:eastAsia="宋体"/>
                <w:b w:val="0"/>
                <w:i w:val="0"/>
                <w:sz w:val="21"/>
              </w:rPr>
              <w:t>发票管理</w:t>
            </w:r>
          </w:p>
        </w:tc>
        <w:tc>
          <w:tcPr>
            <w:tcW w:type="dxa" w:w="7370"/>
          </w:tcPr>
          <w:p>
            <w:pPr>
              <w:spacing w:before="20" w:after="20" w:line="276" w:lineRule="auto"/>
              <w:ind w:firstLine="0"/>
            </w:pPr>
            <w:r/>
            <w:r>
              <w:rPr>
                <w:rFonts w:ascii="Times New Roman" w:hAnsi="Times New Roman" w:eastAsia="宋体"/>
                <w:b w:val="0"/>
                <w:i w:val="0"/>
                <w:sz w:val="21"/>
              </w:rPr>
              <w:t>待业务方确认：付款与回款环节校验已开票金额不足时的提示文案与拦截级别。</w:t>
            </w:r>
          </w:p>
        </w:tc>
      </w:tr>
      <w:tr>
        <w:tc>
          <w:tcPr>
            <w:tcW w:type="dxa" w:w="1701"/>
          </w:tcPr>
          <w:p>
            <w:pPr>
              <w:spacing w:before="20" w:after="20" w:line="276" w:lineRule="auto"/>
              <w:ind w:firstLine="0"/>
            </w:pPr>
            <w:r/>
            <w:r>
              <w:rPr>
                <w:rFonts w:ascii="Times New Roman" w:hAnsi="Times New Roman" w:eastAsia="宋体"/>
                <w:b w:val="0"/>
                <w:i w:val="0"/>
                <w:sz w:val="21"/>
              </w:rPr>
              <w:t>盯市管理</w:t>
            </w:r>
          </w:p>
        </w:tc>
        <w:tc>
          <w:tcPr>
            <w:tcW w:type="dxa" w:w="7370"/>
          </w:tcPr>
          <w:p>
            <w:pPr>
              <w:spacing w:before="20" w:after="20" w:line="276" w:lineRule="auto"/>
              <w:ind w:firstLine="0"/>
            </w:pPr>
            <w:r/>
            <w:r>
              <w:rPr>
                <w:rFonts w:ascii="Times New Roman" w:hAnsi="Times New Roman" w:eastAsia="宋体"/>
                <w:b w:val="0"/>
                <w:i w:val="0"/>
                <w:sz w:val="21"/>
              </w:rPr>
              <w:t>待业务方确认：商品种类枚举以动力煤、炼焦煤、水泥煤、铁矿石、焦炭、兰炭共 6 项为准，该维度与平台货物品类（淀粉制品、糖粉、谷物）不是同一本字典，两者的映射关系需明确</w:t>
            </w:r>
          </w:p>
        </w:tc>
      </w:tr>
      <w:tr>
        <w:tc>
          <w:tcPr>
            <w:tcW w:type="dxa" w:w="1701"/>
          </w:tcPr>
          <w:p>
            <w:pPr>
              <w:spacing w:before="20" w:after="20" w:line="276" w:lineRule="auto"/>
              <w:ind w:firstLine="0"/>
            </w:pPr>
            <w:r/>
            <w:r>
              <w:rPr>
                <w:rFonts w:ascii="Times New Roman" w:hAnsi="Times New Roman" w:eastAsia="宋体"/>
                <w:b w:val="0"/>
                <w:i w:val="0"/>
                <w:sz w:val="21"/>
              </w:rPr>
              <w:t>盯市管理</w:t>
            </w:r>
          </w:p>
        </w:tc>
        <w:tc>
          <w:tcPr>
            <w:tcW w:type="dxa" w:w="7370"/>
          </w:tcPr>
          <w:p>
            <w:pPr>
              <w:spacing w:before="20" w:after="20" w:line="276" w:lineRule="auto"/>
              <w:ind w:firstLine="0"/>
            </w:pPr>
            <w:r/>
            <w:r>
              <w:rPr>
                <w:rFonts w:ascii="Times New Roman" w:hAnsi="Times New Roman" w:eastAsia="宋体"/>
                <w:b w:val="0"/>
                <w:i w:val="0"/>
                <w:sz w:val="21"/>
              </w:rPr>
              <w:t>待业务方确认：预警线与红线之间的大小关系约束，即红线是否必须低于预警线，以及二者相等时的处理</w:t>
            </w:r>
          </w:p>
        </w:tc>
      </w:tr>
      <w:tr>
        <w:tc>
          <w:tcPr>
            <w:tcW w:type="dxa" w:w="1701"/>
          </w:tcPr>
          <w:p>
            <w:pPr>
              <w:spacing w:before="20" w:after="20" w:line="276" w:lineRule="auto"/>
              <w:ind w:firstLine="0"/>
            </w:pPr>
            <w:r/>
            <w:r>
              <w:rPr>
                <w:rFonts w:ascii="Times New Roman" w:hAnsi="Times New Roman" w:eastAsia="宋体"/>
                <w:b w:val="0"/>
                <w:i w:val="0"/>
                <w:sz w:val="21"/>
              </w:rPr>
              <w:t>盯市管理</w:t>
            </w:r>
          </w:p>
        </w:tc>
        <w:tc>
          <w:tcPr>
            <w:tcW w:type="dxa" w:w="7370"/>
          </w:tcPr>
          <w:p>
            <w:pPr>
              <w:spacing w:before="20" w:after="20" w:line="276" w:lineRule="auto"/>
              <w:ind w:firstLine="0"/>
            </w:pPr>
            <w:r/>
            <w:r>
              <w:rPr>
                <w:rFonts w:ascii="Times New Roman" w:hAnsi="Times New Roman" w:eastAsia="宋体"/>
                <w:b w:val="0"/>
                <w:i w:val="0"/>
                <w:sz w:val="21"/>
              </w:rPr>
              <w:t>待业务方确认：指数启停与平台自建指数价格录入的具体操作角色</w:t>
            </w:r>
          </w:p>
        </w:tc>
      </w:tr>
      <w:tr>
        <w:tc>
          <w:tcPr>
            <w:tcW w:type="dxa" w:w="1701"/>
          </w:tcPr>
          <w:p>
            <w:pPr>
              <w:spacing w:before="20" w:after="20" w:line="276" w:lineRule="auto"/>
              <w:ind w:firstLine="0"/>
            </w:pPr>
            <w:r/>
            <w:r>
              <w:rPr>
                <w:rFonts w:ascii="Times New Roman" w:hAnsi="Times New Roman" w:eastAsia="宋体"/>
                <w:b w:val="0"/>
                <w:i w:val="0"/>
                <w:sz w:val="21"/>
              </w:rPr>
              <w:t>盯市管理</w:t>
            </w:r>
          </w:p>
        </w:tc>
        <w:tc>
          <w:tcPr>
            <w:tcW w:type="dxa" w:w="7370"/>
          </w:tcPr>
          <w:p>
            <w:pPr>
              <w:spacing w:before="20" w:after="20" w:line="276" w:lineRule="auto"/>
              <w:ind w:firstLine="0"/>
            </w:pPr>
            <w:r/>
            <w:r>
              <w:rPr>
                <w:rFonts w:ascii="Times New Roman" w:hAnsi="Times New Roman" w:eastAsia="宋体"/>
                <w:b w:val="0"/>
                <w:i w:val="0"/>
                <w:sz w:val="21"/>
              </w:rPr>
              <w:t>待业务方确认：风险等级阈值在 50 万元与 100 万元两个边界点的开闭区间，以及百分比与金额两套判据同时命中时的合并判定规则</w:t>
            </w:r>
          </w:p>
        </w:tc>
      </w:tr>
      <w:tr>
        <w:tc>
          <w:tcPr>
            <w:tcW w:type="dxa" w:w="1701"/>
          </w:tcPr>
          <w:p>
            <w:pPr>
              <w:spacing w:before="20" w:after="20" w:line="276" w:lineRule="auto"/>
              <w:ind w:firstLine="0"/>
            </w:pPr>
            <w:r/>
            <w:r>
              <w:rPr>
                <w:rFonts w:ascii="Times New Roman" w:hAnsi="Times New Roman" w:eastAsia="宋体"/>
                <w:b w:val="0"/>
                <w:i w:val="0"/>
                <w:sz w:val="21"/>
              </w:rPr>
              <w:t>盯市管理</w:t>
            </w:r>
          </w:p>
        </w:tc>
        <w:tc>
          <w:tcPr>
            <w:tcW w:type="dxa" w:w="7370"/>
          </w:tcPr>
          <w:p>
            <w:pPr>
              <w:spacing w:before="20" w:after="20" w:line="276" w:lineRule="auto"/>
              <w:ind w:firstLine="0"/>
            </w:pPr>
            <w:r/>
            <w:r>
              <w:rPr>
                <w:rFonts w:ascii="Times New Roman" w:hAnsi="Times New Roman" w:eastAsia="宋体"/>
                <w:b w:val="0"/>
                <w:i w:val="0"/>
                <w:sz w:val="21"/>
              </w:rPr>
              <w:t>待业务方确认：规则类型中最近 N 个自然日的 N 取值范围与是否必填，以及各地现货交易最高限价的数据来源与维护方</w:t>
            </w:r>
          </w:p>
        </w:tc>
      </w:tr>
      <w:tr>
        <w:tc>
          <w:tcPr>
            <w:tcW w:type="dxa" w:w="1701"/>
          </w:tcPr>
          <w:p>
            <w:pPr>
              <w:spacing w:before="20" w:after="20" w:line="276" w:lineRule="auto"/>
              <w:ind w:firstLine="0"/>
            </w:pPr>
            <w:r/>
            <w:r>
              <w:rPr>
                <w:rFonts w:ascii="Times New Roman" w:hAnsi="Times New Roman" w:eastAsia="宋体"/>
                <w:b w:val="0"/>
                <w:i w:val="0"/>
                <w:sz w:val="21"/>
              </w:rPr>
              <w:t>盯市管理</w:t>
            </w:r>
          </w:p>
        </w:tc>
        <w:tc>
          <w:tcPr>
            <w:tcW w:type="dxa" w:w="7370"/>
          </w:tcPr>
          <w:p>
            <w:pPr>
              <w:spacing w:before="20" w:after="20" w:line="276" w:lineRule="auto"/>
              <w:ind w:firstLine="0"/>
            </w:pPr>
            <w:r/>
            <w:r>
              <w:rPr>
                <w:rFonts w:ascii="Times New Roman" w:hAnsi="Times New Roman" w:eastAsia="宋体"/>
                <w:b w:val="0"/>
                <w:i w:val="0"/>
                <w:sz w:val="21"/>
              </w:rPr>
              <w:t>待业务方确认：三方指数的定时抓取频率、重试次数与连续失败告警策略</w:t>
            </w:r>
          </w:p>
        </w:tc>
      </w:tr>
      <w:tr>
        <w:tc>
          <w:tcPr>
            <w:tcW w:type="dxa" w:w="1701"/>
          </w:tcPr>
          <w:p>
            <w:pPr>
              <w:spacing w:before="20" w:after="20" w:line="276" w:lineRule="auto"/>
              <w:ind w:firstLine="0"/>
            </w:pPr>
            <w:r/>
            <w:r>
              <w:rPr>
                <w:rFonts w:ascii="Times New Roman" w:hAnsi="Times New Roman" w:eastAsia="宋体"/>
                <w:b w:val="0"/>
                <w:i w:val="0"/>
                <w:sz w:val="21"/>
              </w:rPr>
              <w:t>盯市管理</w:t>
            </w:r>
          </w:p>
        </w:tc>
        <w:tc>
          <w:tcPr>
            <w:tcW w:type="dxa" w:w="7370"/>
          </w:tcPr>
          <w:p>
            <w:pPr>
              <w:spacing w:before="20" w:after="20" w:line="276" w:lineRule="auto"/>
              <w:ind w:firstLine="0"/>
            </w:pPr>
            <w:r/>
            <w:r>
              <w:rPr>
                <w:rFonts w:ascii="Times New Roman" w:hAnsi="Times New Roman" w:eastAsia="宋体"/>
                <w:b w:val="0"/>
                <w:i w:val="0"/>
                <w:sz w:val="21"/>
              </w:rPr>
              <w:t>待业务方确认：预警规则配置页与监控合同配置页的模块归属，是独立于数字供应链下的盯市管理，还是归入预警中心</w:t>
            </w:r>
          </w:p>
        </w:tc>
      </w:tr>
      <w:tr>
        <w:tc>
          <w:tcPr>
            <w:tcW w:type="dxa" w:w="1701"/>
          </w:tcPr>
          <w:p>
            <w:pPr>
              <w:spacing w:before="20" w:after="20" w:line="276" w:lineRule="auto"/>
              <w:ind w:firstLine="0"/>
            </w:pPr>
            <w:r/>
            <w:r>
              <w:rPr>
                <w:rFonts w:ascii="Times New Roman" w:hAnsi="Times New Roman" w:eastAsia="宋体"/>
                <w:b w:val="0"/>
                <w:i w:val="0"/>
                <w:sz w:val="21"/>
              </w:rPr>
              <w:t>盯市管理</w:t>
            </w:r>
          </w:p>
        </w:tc>
        <w:tc>
          <w:tcPr>
            <w:tcW w:type="dxa" w:w="7370"/>
          </w:tcPr>
          <w:p>
            <w:pPr>
              <w:spacing w:before="20" w:after="20" w:line="276" w:lineRule="auto"/>
              <w:ind w:firstLine="0"/>
            </w:pPr>
            <w:r/>
            <w:r>
              <w:rPr>
                <w:rFonts w:ascii="Times New Roman" w:hAnsi="Times New Roman" w:eastAsia="宋体"/>
                <w:b w:val="0"/>
                <w:i w:val="0"/>
                <w:sz w:val="21"/>
              </w:rPr>
              <w:t>待业务方确认：列表模式与趋势对比模式在本期是否交付</w:t>
            </w:r>
          </w:p>
        </w:tc>
      </w:tr>
      <w:tr>
        <w:tc>
          <w:tcPr>
            <w:tcW w:type="dxa" w:w="1701"/>
          </w:tcPr>
          <w:p>
            <w:pPr>
              <w:spacing w:before="20" w:after="20" w:line="276" w:lineRule="auto"/>
              <w:ind w:firstLine="0"/>
            </w:pPr>
            <w:r/>
            <w:r>
              <w:rPr>
                <w:rFonts w:ascii="Times New Roman" w:hAnsi="Times New Roman" w:eastAsia="宋体"/>
                <w:b w:val="0"/>
                <w:i w:val="0"/>
                <w:sz w:val="21"/>
              </w:rPr>
              <w:t>追保函管理</w:t>
            </w:r>
          </w:p>
        </w:tc>
        <w:tc>
          <w:tcPr>
            <w:tcW w:type="dxa" w:w="7370"/>
          </w:tcPr>
          <w:p>
            <w:pPr>
              <w:spacing w:before="20" w:after="20" w:line="276" w:lineRule="auto"/>
              <w:ind w:firstLine="0"/>
            </w:pPr>
            <w:r/>
            <w:r>
              <w:rPr>
                <w:rFonts w:ascii="Times New Roman" w:hAnsi="Times New Roman" w:eastAsia="宋体"/>
                <w:b w:val="0"/>
                <w:i w:val="0"/>
                <w:sz w:val="21"/>
              </w:rPr>
              <w:t>待业务方确认：超期自动作废的天数上限，提示文案中的超期天数为可配置项还是固定值</w:t>
            </w:r>
          </w:p>
        </w:tc>
      </w:tr>
      <w:tr>
        <w:tc>
          <w:tcPr>
            <w:tcW w:type="dxa" w:w="1701"/>
          </w:tcPr>
          <w:p>
            <w:pPr>
              <w:spacing w:before="20" w:after="20" w:line="276" w:lineRule="auto"/>
              <w:ind w:firstLine="0"/>
            </w:pPr>
            <w:r/>
            <w:r>
              <w:rPr>
                <w:rFonts w:ascii="Times New Roman" w:hAnsi="Times New Roman" w:eastAsia="宋体"/>
                <w:b w:val="0"/>
                <w:i w:val="0"/>
                <w:sz w:val="21"/>
              </w:rPr>
              <w:t>追保函管理</w:t>
            </w:r>
          </w:p>
        </w:tc>
        <w:tc>
          <w:tcPr>
            <w:tcW w:type="dxa" w:w="7370"/>
          </w:tcPr>
          <w:p>
            <w:pPr>
              <w:spacing w:before="20" w:after="20" w:line="276" w:lineRule="auto"/>
              <w:ind w:firstLine="0"/>
            </w:pPr>
            <w:r/>
            <w:r>
              <w:rPr>
                <w:rFonts w:ascii="Times New Roman" w:hAnsi="Times New Roman" w:eastAsia="宋体"/>
                <w:b w:val="0"/>
                <w:i w:val="0"/>
                <w:sz w:val="21"/>
              </w:rPr>
              <w:t>待业务方确认：追保率存在哪张表、是否可按客户或合同配置，以及默认值</w:t>
            </w:r>
          </w:p>
        </w:tc>
      </w:tr>
      <w:tr>
        <w:tc>
          <w:tcPr>
            <w:tcW w:type="dxa" w:w="1701"/>
          </w:tcPr>
          <w:p>
            <w:pPr>
              <w:spacing w:before="20" w:after="20" w:line="276" w:lineRule="auto"/>
              <w:ind w:firstLine="0"/>
            </w:pPr>
            <w:r/>
            <w:r>
              <w:rPr>
                <w:rFonts w:ascii="Times New Roman" w:hAnsi="Times New Roman" w:eastAsia="宋体"/>
                <w:b w:val="0"/>
                <w:i w:val="0"/>
                <w:sz w:val="21"/>
              </w:rPr>
              <w:t>追保函管理</w:t>
            </w:r>
          </w:p>
        </w:tc>
        <w:tc>
          <w:tcPr>
            <w:tcW w:type="dxa" w:w="7370"/>
          </w:tcPr>
          <w:p>
            <w:pPr>
              <w:spacing w:before="20" w:after="20" w:line="276" w:lineRule="auto"/>
              <w:ind w:firstLine="0"/>
            </w:pPr>
            <w:r/>
            <w:r>
              <w:rPr>
                <w:rFonts w:ascii="Times New Roman" w:hAnsi="Times New Roman" w:eastAsia="宋体"/>
                <w:b w:val="0"/>
                <w:i w:val="0"/>
                <w:sz w:val="21"/>
              </w:rPr>
              <w:t>待业务方确认：合同金额、已缴保证金分别取自哪个业务字段，以及三者任一缺失时追保金额如何处理</w:t>
            </w:r>
          </w:p>
        </w:tc>
      </w:tr>
      <w:tr>
        <w:tc>
          <w:tcPr>
            <w:tcW w:type="dxa" w:w="1701"/>
          </w:tcPr>
          <w:p>
            <w:pPr>
              <w:spacing w:before="20" w:after="20" w:line="276" w:lineRule="auto"/>
              <w:ind w:firstLine="0"/>
            </w:pPr>
            <w:r/>
            <w:r>
              <w:rPr>
                <w:rFonts w:ascii="Times New Roman" w:hAnsi="Times New Roman" w:eastAsia="宋体"/>
                <w:b w:val="0"/>
                <w:i w:val="0"/>
                <w:sz w:val="21"/>
              </w:rPr>
              <w:t>追保函管理</w:t>
            </w:r>
          </w:p>
        </w:tc>
        <w:tc>
          <w:tcPr>
            <w:tcW w:type="dxa" w:w="7370"/>
          </w:tcPr>
          <w:p>
            <w:pPr>
              <w:spacing w:before="20" w:after="20" w:line="276" w:lineRule="auto"/>
              <w:ind w:firstLine="0"/>
            </w:pPr>
            <w:r/>
            <w:r>
              <w:rPr>
                <w:rFonts w:ascii="Times New Roman" w:hAnsi="Times New Roman" w:eastAsia="宋体"/>
                <w:b w:val="0"/>
                <w:i w:val="0"/>
                <w:sz w:val="21"/>
              </w:rPr>
              <w:t>待业务方确认：已补缴金额大于追保金额时是否允许提交，超补如何处理</w:t>
            </w:r>
          </w:p>
        </w:tc>
      </w:tr>
      <w:tr>
        <w:tc>
          <w:tcPr>
            <w:tcW w:type="dxa" w:w="1701"/>
          </w:tcPr>
          <w:p>
            <w:pPr>
              <w:spacing w:before="20" w:after="20" w:line="276" w:lineRule="auto"/>
              <w:ind w:firstLine="0"/>
            </w:pPr>
            <w:r/>
            <w:r>
              <w:rPr>
                <w:rFonts w:ascii="Times New Roman" w:hAnsi="Times New Roman" w:eastAsia="宋体"/>
                <w:b w:val="0"/>
                <w:i w:val="0"/>
                <w:sz w:val="21"/>
              </w:rPr>
              <w:t>追保函管理</w:t>
            </w:r>
          </w:p>
        </w:tc>
        <w:tc>
          <w:tcPr>
            <w:tcW w:type="dxa" w:w="7370"/>
          </w:tcPr>
          <w:p>
            <w:pPr>
              <w:spacing w:before="20" w:after="20" w:line="276" w:lineRule="auto"/>
              <w:ind w:firstLine="0"/>
            </w:pPr>
            <w:r/>
            <w:r>
              <w:rPr>
                <w:rFonts w:ascii="Times New Roman" w:hAnsi="Times New Roman" w:eastAsia="宋体"/>
                <w:b w:val="0"/>
                <w:i w:val="0"/>
                <w:sz w:val="21"/>
              </w:rPr>
              <w:t>待业务方确认：追保函编号的有效判定规则，以及编号的生成规则</w:t>
            </w:r>
          </w:p>
        </w:tc>
      </w:tr>
      <w:tr>
        <w:tc>
          <w:tcPr>
            <w:tcW w:type="dxa" w:w="1701"/>
          </w:tcPr>
          <w:p>
            <w:pPr>
              <w:spacing w:before="20" w:after="20" w:line="276" w:lineRule="auto"/>
              <w:ind w:firstLine="0"/>
            </w:pPr>
            <w:r/>
            <w:r>
              <w:rPr>
                <w:rFonts w:ascii="Times New Roman" w:hAnsi="Times New Roman" w:eastAsia="宋体"/>
                <w:b w:val="0"/>
                <w:i w:val="0"/>
                <w:sz w:val="21"/>
              </w:rPr>
              <w:t>追保函管理</w:t>
            </w:r>
          </w:p>
        </w:tc>
        <w:tc>
          <w:tcPr>
            <w:tcW w:type="dxa" w:w="7370"/>
          </w:tcPr>
          <w:p>
            <w:pPr>
              <w:spacing w:before="20" w:after="20" w:line="276" w:lineRule="auto"/>
              <w:ind w:firstLine="0"/>
            </w:pPr>
            <w:r/>
            <w:r>
              <w:rPr>
                <w:rFonts w:ascii="Times New Roman" w:hAnsi="Times New Roman" w:eastAsia="宋体"/>
                <w:b w:val="0"/>
                <w:i w:val="0"/>
                <w:sz w:val="21"/>
              </w:rPr>
              <w:t>待业务方确认：电子追保函与线下追保函是否必须关联同类型的销售合同</w:t>
            </w:r>
          </w:p>
        </w:tc>
      </w:tr>
      <w:tr>
        <w:tc>
          <w:tcPr>
            <w:tcW w:type="dxa" w:w="1701"/>
          </w:tcPr>
          <w:p>
            <w:pPr>
              <w:spacing w:before="20" w:after="20" w:line="276" w:lineRule="auto"/>
              <w:ind w:firstLine="0"/>
            </w:pPr>
            <w:r/>
            <w:r>
              <w:rPr>
                <w:rFonts w:ascii="Times New Roman" w:hAnsi="Times New Roman" w:eastAsia="宋体"/>
                <w:b w:val="0"/>
                <w:i w:val="0"/>
                <w:sz w:val="21"/>
              </w:rPr>
              <w:t>追保函管理</w:t>
            </w:r>
          </w:p>
        </w:tc>
        <w:tc>
          <w:tcPr>
            <w:tcW w:type="dxa" w:w="7370"/>
          </w:tcPr>
          <w:p>
            <w:pPr>
              <w:spacing w:before="20" w:after="20" w:line="276" w:lineRule="auto"/>
              <w:ind w:firstLine="0"/>
            </w:pPr>
            <w:r/>
            <w:r>
              <w:rPr>
                <w:rFonts w:ascii="Times New Roman" w:hAnsi="Times New Roman" w:eastAsia="宋体"/>
                <w:b w:val="0"/>
                <w:i w:val="0"/>
                <w:sz w:val="21"/>
              </w:rPr>
              <w:t>待业务方确认：驳回状态下的修改操作与修改后的重新提交路径，以及已生效后的作废是否需要审核、作废后能否恢复</w:t>
            </w:r>
          </w:p>
        </w:tc>
      </w:tr>
      <w:tr>
        <w:tc>
          <w:tcPr>
            <w:tcW w:type="dxa" w:w="1701"/>
          </w:tcPr>
          <w:p>
            <w:pPr>
              <w:spacing w:before="20" w:after="20" w:line="276" w:lineRule="auto"/>
              <w:ind w:firstLine="0"/>
            </w:pPr>
            <w:r/>
            <w:r>
              <w:rPr>
                <w:rFonts w:ascii="Times New Roman" w:hAnsi="Times New Roman" w:eastAsia="宋体"/>
                <w:b w:val="0"/>
                <w:i w:val="0"/>
                <w:sz w:val="21"/>
              </w:rPr>
              <w:t>追保函管理</w:t>
            </w:r>
          </w:p>
        </w:tc>
        <w:tc>
          <w:tcPr>
            <w:tcW w:type="dxa" w:w="7370"/>
          </w:tcPr>
          <w:p>
            <w:pPr>
              <w:spacing w:before="20" w:after="20" w:line="276" w:lineRule="auto"/>
              <w:ind w:firstLine="0"/>
            </w:pPr>
            <w:r/>
            <w:r>
              <w:rPr>
                <w:rFonts w:ascii="Times New Roman" w:hAnsi="Times New Roman" w:eastAsia="宋体"/>
                <w:b w:val="0"/>
                <w:i w:val="0"/>
                <w:sz w:val="21"/>
              </w:rPr>
              <w:t>待业务方确认：修改、上传附件、作废三个操作的具体执行角色与是否需要审批</w:t>
            </w:r>
          </w:p>
        </w:tc>
      </w:tr>
      <w:tr>
        <w:tc>
          <w:tcPr>
            <w:tcW w:type="dxa" w:w="1701"/>
          </w:tcPr>
          <w:p>
            <w:pPr>
              <w:spacing w:before="20" w:after="20" w:line="276" w:lineRule="auto"/>
              <w:ind w:firstLine="0"/>
            </w:pPr>
            <w:r/>
            <w:r>
              <w:rPr>
                <w:rFonts w:ascii="Times New Roman" w:hAnsi="Times New Roman" w:eastAsia="宋体"/>
                <w:b w:val="0"/>
                <w:i w:val="0"/>
                <w:sz w:val="21"/>
              </w:rPr>
              <w:t>审批管理</w:t>
            </w:r>
          </w:p>
        </w:tc>
        <w:tc>
          <w:tcPr>
            <w:tcW w:type="dxa" w:w="7370"/>
          </w:tcPr>
          <w:p>
            <w:pPr>
              <w:spacing w:before="20" w:after="20" w:line="276" w:lineRule="auto"/>
              <w:ind w:firstLine="0"/>
            </w:pPr>
            <w:r/>
            <w:r>
              <w:rPr>
                <w:rFonts w:ascii="Times New Roman" w:hAnsi="Times New Roman" w:eastAsia="宋体"/>
                <w:b w:val="0"/>
                <w:i w:val="0"/>
                <w:sz w:val="21"/>
              </w:rPr>
              <w:t>待业务方确认：收发货管理、结算单管理、回款管理、运输合同属于规划中，在应用模块字典里可选但对应业务页面尚未引入通用引擎、不渲染审批时间线，四项的启用时点需明确</w:t>
            </w:r>
          </w:p>
        </w:tc>
      </w:tr>
      <w:tr>
        <w:tc>
          <w:tcPr>
            <w:tcW w:type="dxa" w:w="1701"/>
          </w:tcPr>
          <w:p>
            <w:pPr>
              <w:spacing w:before="20" w:after="20" w:line="276" w:lineRule="auto"/>
              <w:ind w:firstLine="0"/>
            </w:pPr>
            <w:r/>
            <w:r>
              <w:rPr>
                <w:rFonts w:ascii="Times New Roman" w:hAnsi="Times New Roman" w:eastAsia="宋体"/>
                <w:b w:val="0"/>
                <w:i w:val="0"/>
                <w:sz w:val="21"/>
              </w:rPr>
              <w:t>审批管理</w:t>
            </w:r>
          </w:p>
        </w:tc>
        <w:tc>
          <w:tcPr>
            <w:tcW w:type="dxa" w:w="7370"/>
          </w:tcPr>
          <w:p>
            <w:pPr>
              <w:spacing w:before="20" w:after="20" w:line="276" w:lineRule="auto"/>
              <w:ind w:firstLine="0"/>
            </w:pPr>
            <w:r/>
            <w:r>
              <w:rPr>
                <w:rFonts w:ascii="Times New Roman" w:hAnsi="Times New Roman" w:eastAsia="宋体"/>
                <w:b w:val="0"/>
                <w:i w:val="0"/>
                <w:sz w:val="21"/>
              </w:rPr>
              <w:t>待业务方确认：业务线管理、发票管理、保证金管理目前没有应用审批流程，若业务上确需审批需先补引擎接入与审批层级</w:t>
            </w:r>
          </w:p>
        </w:tc>
      </w:tr>
      <w:tr>
        <w:tc>
          <w:tcPr>
            <w:tcW w:type="dxa" w:w="1701"/>
          </w:tcPr>
          <w:p>
            <w:pPr>
              <w:spacing w:before="20" w:after="20" w:line="276" w:lineRule="auto"/>
              <w:ind w:firstLine="0"/>
            </w:pPr>
            <w:r/>
            <w:r>
              <w:rPr>
                <w:rFonts w:ascii="Times New Roman" w:hAnsi="Times New Roman" w:eastAsia="宋体"/>
                <w:b w:val="0"/>
                <w:i w:val="0"/>
                <w:sz w:val="21"/>
              </w:rPr>
              <w:t>审批管理</w:t>
            </w:r>
          </w:p>
        </w:tc>
        <w:tc>
          <w:tcPr>
            <w:tcW w:type="dxa" w:w="7370"/>
          </w:tcPr>
          <w:p>
            <w:pPr>
              <w:spacing w:before="20" w:after="20" w:line="276" w:lineRule="auto"/>
              <w:ind w:firstLine="0"/>
            </w:pPr>
            <w:r/>
            <w:r>
              <w:rPr>
                <w:rFonts w:ascii="Times New Roman" w:hAnsi="Times New Roman" w:eastAsia="宋体"/>
                <w:b w:val="0"/>
                <w:i w:val="0"/>
                <w:sz w:val="21"/>
              </w:rPr>
              <w:t>待业务方确认：客户准入已接入审批但未纳入应用模块字典，监控页无法按该模块筛选、标签显示原始标识；且项目详情与客户详情为页面自绘时间线，与引擎渲染是两套实现，需确认是否收敛为一套</w:t>
            </w:r>
          </w:p>
        </w:tc>
      </w:tr>
      <w:tr>
        <w:tc>
          <w:tcPr>
            <w:tcW w:type="dxa" w:w="1701"/>
          </w:tcPr>
          <w:p>
            <w:pPr>
              <w:spacing w:before="20" w:after="20" w:line="276" w:lineRule="auto"/>
              <w:ind w:firstLine="0"/>
            </w:pPr>
            <w:r/>
            <w:r>
              <w:rPr>
                <w:rFonts w:ascii="Times New Roman" w:hAnsi="Times New Roman" w:eastAsia="宋体"/>
                <w:b w:val="0"/>
                <w:i w:val="0"/>
                <w:sz w:val="21"/>
              </w:rPr>
              <w:t>审批管理</w:t>
            </w:r>
          </w:p>
        </w:tc>
        <w:tc>
          <w:tcPr>
            <w:tcW w:type="dxa" w:w="7370"/>
          </w:tcPr>
          <w:p>
            <w:pPr>
              <w:spacing w:before="20" w:after="20" w:line="276" w:lineRule="auto"/>
              <w:ind w:firstLine="0"/>
            </w:pPr>
            <w:r/>
            <w:r>
              <w:rPr>
                <w:rFonts w:ascii="Times New Roman" w:hAnsi="Times New Roman" w:eastAsia="宋体"/>
                <w:b w:val="0"/>
                <w:i w:val="0"/>
                <w:sz w:val="21"/>
              </w:rPr>
              <w:t>待业务方确认：审批流程监控页的模块筛选项实际由应用模块字典派生共 9 项，与旧文档中的 8 项说法不一致，需确认以 9 项为准</w:t>
            </w:r>
          </w:p>
        </w:tc>
      </w:tr>
      <w:tr>
        <w:tc>
          <w:tcPr>
            <w:tcW w:type="dxa" w:w="1701"/>
          </w:tcPr>
          <w:p>
            <w:pPr>
              <w:spacing w:before="20" w:after="20" w:line="276" w:lineRule="auto"/>
              <w:ind w:firstLine="0"/>
            </w:pPr>
            <w:r/>
            <w:r>
              <w:rPr>
                <w:rFonts w:ascii="Times New Roman" w:hAnsi="Times New Roman" w:eastAsia="宋体"/>
                <w:b w:val="0"/>
                <w:i w:val="0"/>
                <w:sz w:val="21"/>
              </w:rPr>
              <w:t>审批管理</w:t>
            </w:r>
          </w:p>
        </w:tc>
        <w:tc>
          <w:tcPr>
            <w:tcW w:type="dxa" w:w="7370"/>
          </w:tcPr>
          <w:p>
            <w:pPr>
              <w:spacing w:before="20" w:after="20" w:line="276" w:lineRule="auto"/>
              <w:ind w:firstLine="0"/>
            </w:pPr>
            <w:r/>
            <w:r>
              <w:rPr>
                <w:rFonts w:ascii="Times New Roman" w:hAnsi="Times New Roman" w:eastAsia="宋体"/>
                <w:b w:val="0"/>
                <w:i w:val="0"/>
                <w:sz w:val="21"/>
              </w:rPr>
              <w:t>待业务方确认：催办与撤回的真实发送能力与撤回权限校验规则</w:t>
            </w:r>
          </w:p>
        </w:tc>
      </w:tr>
      <w:tr>
        <w:tc>
          <w:tcPr>
            <w:tcW w:type="dxa" w:w="1701"/>
          </w:tcPr>
          <w:p>
            <w:pPr>
              <w:spacing w:before="20" w:after="20" w:line="276" w:lineRule="auto"/>
              <w:ind w:firstLine="0"/>
            </w:pPr>
            <w:r/>
            <w:r>
              <w:rPr>
                <w:rFonts w:ascii="Times New Roman" w:hAnsi="Times New Roman" w:eastAsia="宋体"/>
                <w:b w:val="0"/>
                <w:i w:val="0"/>
                <w:sz w:val="21"/>
              </w:rPr>
              <w:t>审批管理</w:t>
            </w:r>
          </w:p>
        </w:tc>
        <w:tc>
          <w:tcPr>
            <w:tcW w:type="dxa" w:w="7370"/>
          </w:tcPr>
          <w:p>
            <w:pPr>
              <w:spacing w:before="20" w:after="20" w:line="276" w:lineRule="auto"/>
              <w:ind w:firstLine="0"/>
            </w:pPr>
            <w:r/>
            <w:r>
              <w:rPr>
                <w:rFonts w:ascii="Times New Roman" w:hAnsi="Times New Roman" w:eastAsia="宋体"/>
                <w:b w:val="0"/>
                <w:i w:val="0"/>
                <w:sz w:val="21"/>
              </w:rPr>
              <w:t>待业务方确认：业务方已定本期仅提供串行审批流，而节点属性中仍保留并行会签选项，是否收敛为仅串行需明确</w:t>
            </w:r>
          </w:p>
        </w:tc>
      </w:tr>
      <w:tr>
        <w:tc>
          <w:tcPr>
            <w:tcW w:type="dxa" w:w="1701"/>
          </w:tcPr>
          <w:p>
            <w:pPr>
              <w:spacing w:before="20" w:after="20" w:line="276" w:lineRule="auto"/>
              <w:ind w:firstLine="0"/>
            </w:pPr>
            <w:r/>
            <w:r>
              <w:rPr>
                <w:rFonts w:ascii="Times New Roman" w:hAnsi="Times New Roman" w:eastAsia="宋体"/>
                <w:b w:val="0"/>
                <w:i w:val="0"/>
                <w:sz w:val="21"/>
              </w:rPr>
              <w:t>入库管理</w:t>
            </w:r>
          </w:p>
        </w:tc>
        <w:tc>
          <w:tcPr>
            <w:tcW w:type="dxa" w:w="7370"/>
          </w:tcPr>
          <w:p>
            <w:pPr>
              <w:spacing w:before="20" w:after="20" w:line="276" w:lineRule="auto"/>
              <w:ind w:firstLine="0"/>
            </w:pPr>
            <w:r/>
            <w:r>
              <w:rPr>
                <w:rFonts w:ascii="Times New Roman" w:hAnsi="Times New Roman" w:eastAsia="宋体"/>
                <w:b w:val="0"/>
                <w:i w:val="0"/>
                <w:sz w:val="21"/>
              </w:rPr>
              <w:t>待业务方确认：入库与出库是否保留仓储部审核环节——手册口径为登记即完成、全程无审核与驳回环节，状态枚举中审核与驳回两个节点的存废需正式裁定</w:t>
            </w:r>
          </w:p>
        </w:tc>
      </w:tr>
      <w:tr>
        <w:tc>
          <w:tcPr>
            <w:tcW w:type="dxa" w:w="1701"/>
          </w:tcPr>
          <w:p>
            <w:pPr>
              <w:spacing w:before="20" w:after="20" w:line="276" w:lineRule="auto"/>
              <w:ind w:firstLine="0"/>
            </w:pPr>
            <w:r/>
            <w:r>
              <w:rPr>
                <w:rFonts w:ascii="Times New Roman" w:hAnsi="Times New Roman" w:eastAsia="宋体"/>
                <w:b w:val="0"/>
                <w:i w:val="0"/>
                <w:sz w:val="21"/>
              </w:rPr>
              <w:t>入库管理</w:t>
            </w:r>
          </w:p>
        </w:tc>
        <w:tc>
          <w:tcPr>
            <w:tcW w:type="dxa" w:w="7370"/>
          </w:tcPr>
          <w:p>
            <w:pPr>
              <w:spacing w:before="20" w:after="20" w:line="276" w:lineRule="auto"/>
              <w:ind w:firstLine="0"/>
            </w:pPr>
            <w:r/>
            <w:r>
              <w:rPr>
                <w:rFonts w:ascii="Times New Roman" w:hAnsi="Times New Roman" w:eastAsia="宋体"/>
                <w:b w:val="0"/>
                <w:i w:val="0"/>
                <w:sz w:val="21"/>
              </w:rPr>
              <w:t>待业务方确认：入库记录列表「编辑」按钮的落地页与传参方式，是复用新增入库表单的编辑态还是独立参数入口</w:t>
            </w:r>
          </w:p>
        </w:tc>
      </w:tr>
      <w:tr>
        <w:tc>
          <w:tcPr>
            <w:tcW w:type="dxa" w:w="1701"/>
          </w:tcPr>
          <w:p>
            <w:pPr>
              <w:spacing w:before="20" w:after="20" w:line="276" w:lineRule="auto"/>
              <w:ind w:firstLine="0"/>
            </w:pPr>
            <w:r/>
            <w:r>
              <w:rPr>
                <w:rFonts w:ascii="Times New Roman" w:hAnsi="Times New Roman" w:eastAsia="宋体"/>
                <w:b w:val="0"/>
                <w:i w:val="0"/>
                <w:sz w:val="21"/>
              </w:rPr>
              <w:t>入库管理</w:t>
            </w:r>
          </w:p>
        </w:tc>
        <w:tc>
          <w:tcPr>
            <w:tcW w:type="dxa" w:w="7370"/>
          </w:tcPr>
          <w:p>
            <w:pPr>
              <w:spacing w:before="20" w:after="20" w:line="276" w:lineRule="auto"/>
              <w:ind w:firstLine="0"/>
            </w:pPr>
            <w:r/>
            <w:r>
              <w:rPr>
                <w:rFonts w:ascii="Times New Roman" w:hAnsi="Times New Roman" w:eastAsia="宋体"/>
                <w:b w:val="0"/>
                <w:i w:val="0"/>
                <w:sz w:val="21"/>
              </w:rPr>
              <w:t>待业务方确认：盘盈入库是作为入库类型的第 4 个枚举值，还是独立的入库渠道字段</w:t>
            </w:r>
          </w:p>
        </w:tc>
      </w:tr>
      <w:tr>
        <w:tc>
          <w:tcPr>
            <w:tcW w:type="dxa" w:w="1701"/>
          </w:tcPr>
          <w:p>
            <w:pPr>
              <w:spacing w:before="20" w:after="20" w:line="276" w:lineRule="auto"/>
              <w:ind w:firstLine="0"/>
            </w:pPr>
            <w:r/>
            <w:r>
              <w:rPr>
                <w:rFonts w:ascii="Times New Roman" w:hAnsi="Times New Roman" w:eastAsia="宋体"/>
                <w:b w:val="0"/>
                <w:i w:val="0"/>
                <w:sz w:val="21"/>
              </w:rPr>
              <w:t>入库管理</w:t>
            </w:r>
          </w:p>
        </w:tc>
        <w:tc>
          <w:tcPr>
            <w:tcW w:type="dxa" w:w="7370"/>
          </w:tcPr>
          <w:p>
            <w:pPr>
              <w:spacing w:before="20" w:after="20" w:line="276" w:lineRule="auto"/>
              <w:ind w:firstLine="0"/>
            </w:pPr>
            <w:r/>
            <w:r>
              <w:rPr>
                <w:rFonts w:ascii="Times New Roman" w:hAnsi="Times New Roman" w:eastAsia="宋体"/>
                <w:b w:val="0"/>
                <w:i w:val="0"/>
                <w:sz w:val="21"/>
              </w:rPr>
              <w:t>待业务方确认：入库单号与出库单号的取号规则、唯一性约束与并发取号策略</w:t>
            </w:r>
          </w:p>
        </w:tc>
      </w:tr>
      <w:tr>
        <w:tc>
          <w:tcPr>
            <w:tcW w:type="dxa" w:w="1701"/>
          </w:tcPr>
          <w:p>
            <w:pPr>
              <w:spacing w:before="20" w:after="20" w:line="276" w:lineRule="auto"/>
              <w:ind w:firstLine="0"/>
            </w:pPr>
            <w:r/>
            <w:r>
              <w:rPr>
                <w:rFonts w:ascii="Times New Roman" w:hAnsi="Times New Roman" w:eastAsia="宋体"/>
                <w:b w:val="0"/>
                <w:i w:val="0"/>
                <w:sz w:val="21"/>
              </w:rPr>
              <w:t>入库管理</w:t>
            </w:r>
          </w:p>
        </w:tc>
        <w:tc>
          <w:tcPr>
            <w:tcW w:type="dxa" w:w="7370"/>
          </w:tcPr>
          <w:p>
            <w:pPr>
              <w:spacing w:before="20" w:after="20" w:line="276" w:lineRule="auto"/>
              <w:ind w:firstLine="0"/>
            </w:pPr>
            <w:r/>
            <w:r>
              <w:rPr>
                <w:rFonts w:ascii="Times New Roman" w:hAnsi="Times New Roman" w:eastAsia="宋体"/>
                <w:b w:val="0"/>
                <w:i w:val="0"/>
                <w:sz w:val="21"/>
              </w:rPr>
              <w:t>待业务方确认：附件格式不符、超过 100M、上传中断、删除已上传附件四类场景的提示文案与是否需要二次确认</w:t>
            </w:r>
          </w:p>
        </w:tc>
      </w:tr>
      <w:tr>
        <w:tc>
          <w:tcPr>
            <w:tcW w:type="dxa" w:w="1701"/>
          </w:tcPr>
          <w:p>
            <w:pPr>
              <w:spacing w:before="20" w:after="20" w:line="276" w:lineRule="auto"/>
              <w:ind w:firstLine="0"/>
            </w:pPr>
            <w:r/>
            <w:r>
              <w:rPr>
                <w:rFonts w:ascii="Times New Roman" w:hAnsi="Times New Roman" w:eastAsia="宋体"/>
                <w:b w:val="0"/>
                <w:i w:val="0"/>
                <w:sz w:val="21"/>
              </w:rPr>
              <w:t>入库管理</w:t>
            </w:r>
          </w:p>
        </w:tc>
        <w:tc>
          <w:tcPr>
            <w:tcW w:type="dxa" w:w="7370"/>
          </w:tcPr>
          <w:p>
            <w:pPr>
              <w:spacing w:before="20" w:after="20" w:line="276" w:lineRule="auto"/>
              <w:ind w:firstLine="0"/>
            </w:pPr>
            <w:r/>
            <w:r>
              <w:rPr>
                <w:rFonts w:ascii="Times New Roman" w:hAnsi="Times New Roman" w:eastAsia="宋体"/>
                <w:b w:val="0"/>
                <w:i w:val="0"/>
                <w:sz w:val="21"/>
              </w:rPr>
              <w:t>待业务方确认：品名与合同品名一致性的比对容差与不一致时的提示文案</w:t>
            </w:r>
          </w:p>
        </w:tc>
      </w:tr>
      <w:tr>
        <w:tc>
          <w:tcPr>
            <w:tcW w:type="dxa" w:w="1701"/>
          </w:tcPr>
          <w:p>
            <w:pPr>
              <w:spacing w:before="20" w:after="20" w:line="276" w:lineRule="auto"/>
              <w:ind w:firstLine="0"/>
            </w:pPr>
            <w:r/>
            <w:r>
              <w:rPr>
                <w:rFonts w:ascii="Times New Roman" w:hAnsi="Times New Roman" w:eastAsia="宋体"/>
                <w:b w:val="0"/>
                <w:i w:val="0"/>
                <w:sz w:val="21"/>
              </w:rPr>
              <w:t>入库管理</w:t>
            </w:r>
          </w:p>
        </w:tc>
        <w:tc>
          <w:tcPr>
            <w:tcW w:type="dxa" w:w="7370"/>
          </w:tcPr>
          <w:p>
            <w:pPr>
              <w:spacing w:before="20" w:after="20" w:line="276" w:lineRule="auto"/>
              <w:ind w:firstLine="0"/>
            </w:pPr>
            <w:r/>
            <w:r>
              <w:rPr>
                <w:rFonts w:ascii="Times New Roman" w:hAnsi="Times New Roman" w:eastAsia="宋体"/>
                <w:b w:val="0"/>
                <w:i w:val="0"/>
                <w:sz w:val="21"/>
              </w:rPr>
              <w:t>待业务方确认：入库数量、单价、货值等数值字段的前端校验规则与小数位口径</w:t>
            </w:r>
          </w:p>
        </w:tc>
      </w:tr>
      <w:tr>
        <w:tc>
          <w:tcPr>
            <w:tcW w:type="dxa" w:w="1701"/>
          </w:tcPr>
          <w:p>
            <w:pPr>
              <w:spacing w:before="20" w:after="20" w:line="276" w:lineRule="auto"/>
              <w:ind w:firstLine="0"/>
            </w:pPr>
            <w:r/>
            <w:r>
              <w:rPr>
                <w:rFonts w:ascii="Times New Roman" w:hAnsi="Times New Roman" w:eastAsia="宋体"/>
                <w:b w:val="0"/>
                <w:i w:val="0"/>
                <w:sz w:val="21"/>
              </w:rPr>
              <w:t>出库管理</w:t>
            </w:r>
          </w:p>
        </w:tc>
        <w:tc>
          <w:tcPr>
            <w:tcW w:type="dxa" w:w="7370"/>
          </w:tcPr>
          <w:p>
            <w:pPr>
              <w:spacing w:before="20" w:after="20" w:line="276" w:lineRule="auto"/>
              <w:ind w:firstLine="0"/>
            </w:pPr>
            <w:r/>
            <w:r>
              <w:rPr>
                <w:rFonts w:ascii="Times New Roman" w:hAnsi="Times New Roman" w:eastAsia="宋体"/>
                <w:b w:val="0"/>
                <w:i w:val="0"/>
                <w:sz w:val="21"/>
              </w:rPr>
              <w:t>待业务方确认：出库记录的可编辑字段白名单是仅出库单价还是包含更多字段，以及删除出库记录后的库存回滚方向是回补还是扣减</w:t>
            </w:r>
          </w:p>
        </w:tc>
      </w:tr>
      <w:tr>
        <w:tc>
          <w:tcPr>
            <w:tcW w:type="dxa" w:w="1701"/>
          </w:tcPr>
          <w:p>
            <w:pPr>
              <w:spacing w:before="20" w:after="20" w:line="276" w:lineRule="auto"/>
              <w:ind w:firstLine="0"/>
            </w:pPr>
            <w:r/>
            <w:r>
              <w:rPr>
                <w:rFonts w:ascii="Times New Roman" w:hAnsi="Times New Roman" w:eastAsia="宋体"/>
                <w:b w:val="0"/>
                <w:i w:val="0"/>
                <w:sz w:val="21"/>
              </w:rPr>
              <w:t>出库管理</w:t>
            </w:r>
          </w:p>
        </w:tc>
        <w:tc>
          <w:tcPr>
            <w:tcW w:type="dxa" w:w="7370"/>
          </w:tcPr>
          <w:p>
            <w:pPr>
              <w:spacing w:before="20" w:after="20" w:line="276" w:lineRule="auto"/>
              <w:ind w:firstLine="0"/>
            </w:pPr>
            <w:r/>
            <w:r>
              <w:rPr>
                <w:rFonts w:ascii="Times New Roman" w:hAnsi="Times New Roman" w:eastAsia="宋体"/>
                <w:b w:val="0"/>
                <w:i w:val="0"/>
                <w:sz w:val="21"/>
              </w:rPr>
              <w:t>待业务方确认：出库是否保留仓储部审核环节与对应审核按钮，状态枚举中审核与驳回两个节点的存废</w:t>
            </w:r>
          </w:p>
        </w:tc>
      </w:tr>
      <w:tr>
        <w:tc>
          <w:tcPr>
            <w:tcW w:type="dxa" w:w="1701"/>
          </w:tcPr>
          <w:p>
            <w:pPr>
              <w:spacing w:before="20" w:after="20" w:line="276" w:lineRule="auto"/>
              <w:ind w:firstLine="0"/>
            </w:pPr>
            <w:r/>
            <w:r>
              <w:rPr>
                <w:rFonts w:ascii="Times New Roman" w:hAnsi="Times New Roman" w:eastAsia="宋体"/>
                <w:b w:val="0"/>
                <w:i w:val="0"/>
                <w:sz w:val="21"/>
              </w:rPr>
              <w:t>出库管理</w:t>
            </w:r>
          </w:p>
        </w:tc>
        <w:tc>
          <w:tcPr>
            <w:tcW w:type="dxa" w:w="7370"/>
          </w:tcPr>
          <w:p>
            <w:pPr>
              <w:spacing w:before="20" w:after="20" w:line="276" w:lineRule="auto"/>
              <w:ind w:firstLine="0"/>
            </w:pPr>
            <w:r/>
            <w:r>
              <w:rPr>
                <w:rFonts w:ascii="Times New Roman" w:hAnsi="Times New Roman" w:eastAsia="宋体"/>
                <w:b w:val="0"/>
                <w:i w:val="0"/>
                <w:sz w:val="21"/>
              </w:rPr>
              <w:t>待业务方确认：出库单号的取号规则、唯一性约束与并发取号策略</w:t>
            </w:r>
          </w:p>
        </w:tc>
      </w:tr>
      <w:tr>
        <w:tc>
          <w:tcPr>
            <w:tcW w:type="dxa" w:w="1701"/>
          </w:tcPr>
          <w:p>
            <w:pPr>
              <w:spacing w:before="20" w:after="20" w:line="276" w:lineRule="auto"/>
              <w:ind w:firstLine="0"/>
            </w:pPr>
            <w:r/>
            <w:r>
              <w:rPr>
                <w:rFonts w:ascii="Times New Roman" w:hAnsi="Times New Roman" w:eastAsia="宋体"/>
                <w:b w:val="0"/>
                <w:i w:val="0"/>
                <w:sz w:val="21"/>
              </w:rPr>
              <w:t>出库管理</w:t>
            </w:r>
          </w:p>
        </w:tc>
        <w:tc>
          <w:tcPr>
            <w:tcW w:type="dxa" w:w="7370"/>
          </w:tcPr>
          <w:p>
            <w:pPr>
              <w:spacing w:before="20" w:after="20" w:line="276" w:lineRule="auto"/>
              <w:ind w:firstLine="0"/>
            </w:pPr>
            <w:r/>
            <w:r>
              <w:rPr>
                <w:rFonts w:ascii="Times New Roman" w:hAnsi="Times New Roman" w:eastAsia="宋体"/>
                <w:b w:val="0"/>
                <w:i w:val="0"/>
                <w:sz w:val="21"/>
              </w:rPr>
              <w:t>待业务方确认：出库信息区块标称 12 个字段但实际列出 11 项，第 12 个字段的取值是什么</w:t>
            </w:r>
          </w:p>
        </w:tc>
      </w:tr>
      <w:tr>
        <w:tc>
          <w:tcPr>
            <w:tcW w:type="dxa" w:w="1701"/>
          </w:tcPr>
          <w:p>
            <w:pPr>
              <w:spacing w:before="20" w:after="20" w:line="276" w:lineRule="auto"/>
              <w:ind w:firstLine="0"/>
            </w:pPr>
            <w:r/>
            <w:r>
              <w:rPr>
                <w:rFonts w:ascii="Times New Roman" w:hAnsi="Times New Roman" w:eastAsia="宋体"/>
                <w:b w:val="0"/>
                <w:i w:val="0"/>
                <w:sz w:val="21"/>
              </w:rPr>
              <w:t>出库管理</w:t>
            </w:r>
          </w:p>
        </w:tc>
        <w:tc>
          <w:tcPr>
            <w:tcW w:type="dxa" w:w="7370"/>
          </w:tcPr>
          <w:p>
            <w:pPr>
              <w:spacing w:before="20" w:after="20" w:line="276" w:lineRule="auto"/>
              <w:ind w:firstLine="0"/>
            </w:pPr>
            <w:r/>
            <w:r>
              <w:rPr>
                <w:rFonts w:ascii="Times New Roman" w:hAnsi="Times New Roman" w:eastAsia="宋体"/>
                <w:b w:val="0"/>
                <w:i w:val="0"/>
                <w:sz w:val="21"/>
              </w:rPr>
              <w:t>待业务方确认：附件格式不符、超过 100M、上传中断、删除已上传附件四类场景的提示文案与是否需要二次确认</w:t>
            </w:r>
          </w:p>
        </w:tc>
      </w:tr>
      <w:tr>
        <w:tc>
          <w:tcPr>
            <w:tcW w:type="dxa" w:w="1701"/>
          </w:tcPr>
          <w:p>
            <w:pPr>
              <w:spacing w:before="20" w:after="20" w:line="276" w:lineRule="auto"/>
              <w:ind w:firstLine="0"/>
            </w:pPr>
            <w:r/>
            <w:r>
              <w:rPr>
                <w:rFonts w:ascii="Times New Roman" w:hAnsi="Times New Roman" w:eastAsia="宋体"/>
                <w:b w:val="0"/>
                <w:i w:val="0"/>
                <w:sz w:val="21"/>
              </w:rPr>
              <w:t>出库管理</w:t>
            </w:r>
          </w:p>
        </w:tc>
        <w:tc>
          <w:tcPr>
            <w:tcW w:type="dxa" w:w="7370"/>
          </w:tcPr>
          <w:p>
            <w:pPr>
              <w:spacing w:before="20" w:after="20" w:line="276" w:lineRule="auto"/>
              <w:ind w:firstLine="0"/>
            </w:pPr>
            <w:r/>
            <w:r>
              <w:rPr>
                <w:rFonts w:ascii="Times New Roman" w:hAnsi="Times New Roman" w:eastAsia="宋体"/>
                <w:b w:val="0"/>
                <w:i w:val="0"/>
                <w:sz w:val="21"/>
              </w:rPr>
              <w:t>待业务方确认：放货指令是否允许对应多条出库记录，已出库吨数由系统回写还是由仓库手工维护</w:t>
            </w:r>
          </w:p>
        </w:tc>
      </w:tr>
      <w:tr>
        <w:tc>
          <w:tcPr>
            <w:tcW w:type="dxa" w:w="1701"/>
          </w:tcPr>
          <w:p>
            <w:pPr>
              <w:spacing w:before="20" w:after="20" w:line="276" w:lineRule="auto"/>
              <w:ind w:firstLine="0"/>
            </w:pPr>
            <w:r/>
            <w:r>
              <w:rPr>
                <w:rFonts w:ascii="Times New Roman" w:hAnsi="Times New Roman" w:eastAsia="宋体"/>
                <w:b w:val="0"/>
                <w:i w:val="0"/>
                <w:sz w:val="21"/>
              </w:rPr>
              <w:t>出库管理</w:t>
            </w:r>
          </w:p>
        </w:tc>
        <w:tc>
          <w:tcPr>
            <w:tcW w:type="dxa" w:w="7370"/>
          </w:tcPr>
          <w:p>
            <w:pPr>
              <w:spacing w:before="20" w:after="20" w:line="276" w:lineRule="auto"/>
              <w:ind w:firstLine="0"/>
            </w:pPr>
            <w:r/>
            <w:r>
              <w:rPr>
                <w:rFonts w:ascii="Times New Roman" w:hAnsi="Times New Roman" w:eastAsia="宋体"/>
                <w:b w:val="0"/>
                <w:i w:val="0"/>
                <w:sz w:val="21"/>
              </w:rPr>
              <w:t>待业务方确认：出库与放货指令的关联是否强制必选，以及未关联时是否允许提交</w:t>
            </w:r>
          </w:p>
        </w:tc>
      </w:tr>
      <w:tr>
        <w:tc>
          <w:tcPr>
            <w:tcW w:type="dxa" w:w="1701"/>
          </w:tcPr>
          <w:p>
            <w:pPr>
              <w:spacing w:before="20" w:after="20" w:line="276" w:lineRule="auto"/>
              <w:ind w:firstLine="0"/>
            </w:pPr>
            <w:r/>
            <w:r>
              <w:rPr>
                <w:rFonts w:ascii="Times New Roman" w:hAnsi="Times New Roman" w:eastAsia="宋体"/>
                <w:b w:val="0"/>
                <w:i w:val="0"/>
                <w:sz w:val="21"/>
              </w:rPr>
              <w:t>提放货管理</w:t>
            </w:r>
          </w:p>
        </w:tc>
        <w:tc>
          <w:tcPr>
            <w:tcW w:type="dxa" w:w="7370"/>
          </w:tcPr>
          <w:p>
            <w:pPr>
              <w:spacing w:before="20" w:after="20" w:line="276" w:lineRule="auto"/>
              <w:ind w:firstLine="0"/>
            </w:pPr>
            <w:r/>
            <w:r>
              <w:rPr>
                <w:rFonts w:ascii="Times New Roman" w:hAnsi="Times New Roman" w:eastAsia="宋体"/>
                <w:b w:val="0"/>
                <w:i w:val="0"/>
                <w:sz w:val="21"/>
              </w:rPr>
              <w:t>待业务方确认：放货指令的页面标题口径，页面标题为放货指令而菜单层级仍为放货管理，两者是否统一</w:t>
            </w:r>
          </w:p>
        </w:tc>
      </w:tr>
      <w:tr>
        <w:tc>
          <w:tcPr>
            <w:tcW w:type="dxa" w:w="1701"/>
          </w:tcPr>
          <w:p>
            <w:pPr>
              <w:spacing w:before="20" w:after="20" w:line="276" w:lineRule="auto"/>
              <w:ind w:firstLine="0"/>
            </w:pPr>
            <w:r/>
            <w:r>
              <w:rPr>
                <w:rFonts w:ascii="Times New Roman" w:hAnsi="Times New Roman" w:eastAsia="宋体"/>
                <w:b w:val="0"/>
                <w:i w:val="0"/>
                <w:sz w:val="21"/>
              </w:rPr>
              <w:t>提放货管理</w:t>
            </w:r>
          </w:p>
        </w:tc>
        <w:tc>
          <w:tcPr>
            <w:tcW w:type="dxa" w:w="7370"/>
          </w:tcPr>
          <w:p>
            <w:pPr>
              <w:spacing w:before="20" w:after="20" w:line="276" w:lineRule="auto"/>
              <w:ind w:firstLine="0"/>
            </w:pPr>
            <w:r/>
            <w:r>
              <w:rPr>
                <w:rFonts w:ascii="Times New Roman" w:hAnsi="Times New Roman" w:eastAsia="宋体"/>
                <w:b w:val="0"/>
                <w:i w:val="0"/>
                <w:sz w:val="21"/>
              </w:rPr>
              <w:t>待业务方确认：放货指令的 7 个状态与早期四状态（待生成、已生成、已执行、联动出库）是否为同一套状态的两种抽象，最终以哪套为准</w:t>
            </w:r>
          </w:p>
        </w:tc>
      </w:tr>
      <w:tr>
        <w:tc>
          <w:tcPr>
            <w:tcW w:type="dxa" w:w="1701"/>
          </w:tcPr>
          <w:p>
            <w:pPr>
              <w:spacing w:before="20" w:after="20" w:line="276" w:lineRule="auto"/>
              <w:ind w:firstLine="0"/>
            </w:pPr>
            <w:r/>
            <w:r>
              <w:rPr>
                <w:rFonts w:ascii="Times New Roman" w:hAnsi="Times New Roman" w:eastAsia="宋体"/>
                <w:b w:val="0"/>
                <w:i w:val="0"/>
                <w:sz w:val="21"/>
              </w:rPr>
              <w:t>提放货管理</w:t>
            </w:r>
          </w:p>
        </w:tc>
        <w:tc>
          <w:tcPr>
            <w:tcW w:type="dxa" w:w="7370"/>
          </w:tcPr>
          <w:p>
            <w:pPr>
              <w:spacing w:before="20" w:after="20" w:line="276" w:lineRule="auto"/>
              <w:ind w:firstLine="0"/>
            </w:pPr>
            <w:r/>
            <w:r>
              <w:rPr>
                <w:rFonts w:ascii="Times New Roman" w:hAnsi="Times New Roman" w:eastAsia="宋体"/>
                <w:b w:val="0"/>
                <w:i w:val="0"/>
                <w:sz w:val="21"/>
              </w:rPr>
              <w:t>待业务方确认：放货执行动作由哪个页面的哪个按钮承载，以及执行记录字段的定义</w:t>
            </w:r>
          </w:p>
        </w:tc>
      </w:tr>
      <w:tr>
        <w:tc>
          <w:tcPr>
            <w:tcW w:type="dxa" w:w="1701"/>
          </w:tcPr>
          <w:p>
            <w:pPr>
              <w:spacing w:before="20" w:after="20" w:line="276" w:lineRule="auto"/>
              <w:ind w:firstLine="0"/>
            </w:pPr>
            <w:r/>
            <w:r>
              <w:rPr>
                <w:rFonts w:ascii="Times New Roman" w:hAnsi="Times New Roman" w:eastAsia="宋体"/>
                <w:b w:val="0"/>
                <w:i w:val="0"/>
                <w:sz w:val="21"/>
              </w:rPr>
              <w:t>提放货管理</w:t>
            </w:r>
          </w:p>
        </w:tc>
        <w:tc>
          <w:tcPr>
            <w:tcW w:type="dxa" w:w="7370"/>
          </w:tcPr>
          <w:p>
            <w:pPr>
              <w:spacing w:before="20" w:after="20" w:line="276" w:lineRule="auto"/>
              <w:ind w:firstLine="0"/>
            </w:pPr>
            <w:r/>
            <w:r>
              <w:rPr>
                <w:rFonts w:ascii="Times New Roman" w:hAnsi="Times New Roman" w:eastAsia="宋体"/>
                <w:b w:val="0"/>
                <w:i w:val="0"/>
                <w:sz w:val="21"/>
              </w:rPr>
              <w:t>待业务方确认：提货申请页与提货详情页是否在本期建设，当前仅有列表入口</w:t>
            </w:r>
          </w:p>
        </w:tc>
      </w:tr>
      <w:tr>
        <w:tc>
          <w:tcPr>
            <w:tcW w:type="dxa" w:w="1701"/>
          </w:tcPr>
          <w:p>
            <w:pPr>
              <w:spacing w:before="20" w:after="20" w:line="276" w:lineRule="auto"/>
              <w:ind w:firstLine="0"/>
            </w:pPr>
            <w:r/>
            <w:r>
              <w:rPr>
                <w:rFonts w:ascii="Times New Roman" w:hAnsi="Times New Roman" w:eastAsia="宋体"/>
                <w:b w:val="0"/>
                <w:i w:val="0"/>
                <w:sz w:val="21"/>
              </w:rPr>
              <w:t>提放货管理</w:t>
            </w:r>
          </w:p>
        </w:tc>
        <w:tc>
          <w:tcPr>
            <w:tcW w:type="dxa" w:w="7370"/>
          </w:tcPr>
          <w:p>
            <w:pPr>
              <w:spacing w:before="20" w:after="20" w:line="276" w:lineRule="auto"/>
              <w:ind w:firstLine="0"/>
            </w:pPr>
            <w:r/>
            <w:r>
              <w:rPr>
                <w:rFonts w:ascii="Times New Roman" w:hAnsi="Times New Roman" w:eastAsia="宋体"/>
                <w:b w:val="0"/>
                <w:i w:val="0"/>
                <w:sz w:val="21"/>
              </w:rPr>
              <w:t>待业务方确认：站点作为运输层概念是否作为独立实体建模，以及发站到站的可选范围</w:t>
            </w:r>
          </w:p>
        </w:tc>
      </w:tr>
      <w:tr>
        <w:tc>
          <w:tcPr>
            <w:tcW w:type="dxa" w:w="1701"/>
          </w:tcPr>
          <w:p>
            <w:pPr>
              <w:spacing w:before="20" w:after="20" w:line="276" w:lineRule="auto"/>
              <w:ind w:firstLine="0"/>
            </w:pPr>
            <w:r/>
            <w:r>
              <w:rPr>
                <w:rFonts w:ascii="Times New Roman" w:hAnsi="Times New Roman" w:eastAsia="宋体"/>
                <w:b w:val="0"/>
                <w:i w:val="0"/>
                <w:sz w:val="21"/>
              </w:rPr>
              <w:t>提放货管理</w:t>
            </w:r>
          </w:p>
        </w:tc>
        <w:tc>
          <w:tcPr>
            <w:tcW w:type="dxa" w:w="7370"/>
          </w:tcPr>
          <w:p>
            <w:pPr>
              <w:spacing w:before="20" w:after="20" w:line="276" w:lineRule="auto"/>
              <w:ind w:firstLine="0"/>
            </w:pPr>
            <w:r/>
            <w:r>
              <w:rPr>
                <w:rFonts w:ascii="Times New Roman" w:hAnsi="Times New Roman" w:eastAsia="宋体"/>
                <w:b w:val="0"/>
                <w:i w:val="0"/>
                <w:sz w:val="21"/>
              </w:rPr>
              <w:t>待业务方确认：放货指令详情页是否保留审批管理页签，页面为四页签而需求记录为三页签</w:t>
            </w:r>
          </w:p>
        </w:tc>
      </w:tr>
      <w:tr>
        <w:tc>
          <w:tcPr>
            <w:tcW w:type="dxa" w:w="1701"/>
          </w:tcPr>
          <w:p>
            <w:pPr>
              <w:spacing w:before="20" w:after="20" w:line="276" w:lineRule="auto"/>
              <w:ind w:firstLine="0"/>
            </w:pPr>
            <w:r/>
            <w:r>
              <w:rPr>
                <w:rFonts w:ascii="Times New Roman" w:hAnsi="Times New Roman" w:eastAsia="宋体"/>
                <w:b w:val="0"/>
                <w:i w:val="0"/>
                <w:sz w:val="21"/>
              </w:rPr>
              <w:t>提放货管理</w:t>
            </w:r>
          </w:p>
        </w:tc>
        <w:tc>
          <w:tcPr>
            <w:tcW w:type="dxa" w:w="7370"/>
          </w:tcPr>
          <w:p>
            <w:pPr>
              <w:spacing w:before="20" w:after="20" w:line="276" w:lineRule="auto"/>
              <w:ind w:firstLine="0"/>
            </w:pPr>
            <w:r/>
            <w:r>
              <w:rPr>
                <w:rFonts w:ascii="Times New Roman" w:hAnsi="Times New Roman" w:eastAsia="宋体"/>
                <w:b w:val="0"/>
                <w:i w:val="0"/>
                <w:sz w:val="21"/>
              </w:rPr>
              <w:t>待业务方确认：业务线下回款明细表在新增页与详情页的列数差异以哪一套为准</w:t>
            </w:r>
          </w:p>
        </w:tc>
      </w:tr>
      <w:tr>
        <w:tc>
          <w:tcPr>
            <w:tcW w:type="dxa" w:w="1701"/>
          </w:tcPr>
          <w:p>
            <w:pPr>
              <w:spacing w:before="20" w:after="20" w:line="276" w:lineRule="auto"/>
              <w:ind w:firstLine="0"/>
            </w:pPr>
            <w:r/>
            <w:r>
              <w:rPr>
                <w:rFonts w:ascii="Times New Roman" w:hAnsi="Times New Roman" w:eastAsia="宋体"/>
                <w:b w:val="0"/>
                <w:i w:val="0"/>
                <w:sz w:val="21"/>
              </w:rPr>
              <w:t>库存管理</w:t>
            </w:r>
          </w:p>
        </w:tc>
        <w:tc>
          <w:tcPr>
            <w:tcW w:type="dxa" w:w="7370"/>
          </w:tcPr>
          <w:p>
            <w:pPr>
              <w:spacing w:before="20" w:after="20" w:line="276" w:lineRule="auto"/>
              <w:ind w:firstLine="0"/>
            </w:pPr>
            <w:r/>
            <w:r>
              <w:rPr>
                <w:rFonts w:ascii="Times New Roman" w:hAnsi="Times New Roman" w:eastAsia="宋体"/>
                <w:b w:val="0"/>
                <w:i w:val="0"/>
                <w:sz w:val="21"/>
              </w:rPr>
              <w:t>待业务方确认：库存台账「账面库存」的最终口径，KPI 区取值为累计入库减累计出库，与指标公式中合同应收减已收的账面库存同名不同义</w:t>
            </w:r>
          </w:p>
        </w:tc>
      </w:tr>
      <w:tr>
        <w:tc>
          <w:tcPr>
            <w:tcW w:type="dxa" w:w="1701"/>
          </w:tcPr>
          <w:p>
            <w:pPr>
              <w:spacing w:before="20" w:after="20" w:line="276" w:lineRule="auto"/>
              <w:ind w:firstLine="0"/>
            </w:pPr>
            <w:r/>
            <w:r>
              <w:rPr>
                <w:rFonts w:ascii="Times New Roman" w:hAnsi="Times New Roman" w:eastAsia="宋体"/>
                <w:b w:val="0"/>
                <w:i w:val="0"/>
                <w:sz w:val="21"/>
              </w:rPr>
              <w:t>库存管理</w:t>
            </w:r>
          </w:p>
        </w:tc>
        <w:tc>
          <w:tcPr>
            <w:tcW w:type="dxa" w:w="7370"/>
          </w:tcPr>
          <w:p>
            <w:pPr>
              <w:spacing w:before="20" w:after="20" w:line="276" w:lineRule="auto"/>
              <w:ind w:firstLine="0"/>
            </w:pPr>
            <w:r/>
            <w:r>
              <w:rPr>
                <w:rFonts w:ascii="Times New Roman" w:hAnsi="Times New Roman" w:eastAsia="宋体"/>
                <w:b w:val="0"/>
                <w:i w:val="0"/>
                <w:sz w:val="21"/>
              </w:rPr>
              <w:t>待业务方确认：库存货值与累计出入库货值的小数位与千分位展示规则，KPI 区与列表区小数位不一致且模块内千分位口径不统一</w:t>
            </w:r>
          </w:p>
        </w:tc>
      </w:tr>
      <w:tr>
        <w:tc>
          <w:tcPr>
            <w:tcW w:type="dxa" w:w="1701"/>
          </w:tcPr>
          <w:p>
            <w:pPr>
              <w:spacing w:before="20" w:after="20" w:line="276" w:lineRule="auto"/>
              <w:ind w:firstLine="0"/>
            </w:pPr>
            <w:r/>
            <w:r>
              <w:rPr>
                <w:rFonts w:ascii="Times New Roman" w:hAnsi="Times New Roman" w:eastAsia="宋体"/>
                <w:b w:val="0"/>
                <w:i w:val="0"/>
                <w:sz w:val="21"/>
              </w:rPr>
              <w:t>库存管理</w:t>
            </w:r>
          </w:p>
        </w:tc>
        <w:tc>
          <w:tcPr>
            <w:tcW w:type="dxa" w:w="7370"/>
          </w:tcPr>
          <w:p>
            <w:pPr>
              <w:spacing w:before="20" w:after="20" w:line="276" w:lineRule="auto"/>
              <w:ind w:firstLine="0"/>
            </w:pPr>
            <w:r/>
            <w:r>
              <w:rPr>
                <w:rFonts w:ascii="Times New Roman" w:hAnsi="Times New Roman" w:eastAsia="宋体"/>
                <w:b w:val="0"/>
                <w:i w:val="0"/>
                <w:sz w:val="21"/>
              </w:rPr>
              <w:t>待业务方确认：行情管理页是否在本期挂菜单入口，页面已实现但当前未挂载任何菜单</w:t>
            </w:r>
          </w:p>
        </w:tc>
      </w:tr>
      <w:tr>
        <w:tc>
          <w:tcPr>
            <w:tcW w:type="dxa" w:w="1701"/>
          </w:tcPr>
          <w:p>
            <w:pPr>
              <w:spacing w:before="20" w:after="20" w:line="276" w:lineRule="auto"/>
              <w:ind w:firstLine="0"/>
            </w:pPr>
            <w:r/>
            <w:r>
              <w:rPr>
                <w:rFonts w:ascii="Times New Roman" w:hAnsi="Times New Roman" w:eastAsia="宋体"/>
                <w:b w:val="0"/>
                <w:i w:val="0"/>
                <w:sz w:val="21"/>
              </w:rPr>
              <w:t>库存管理</w:t>
            </w:r>
          </w:p>
        </w:tc>
        <w:tc>
          <w:tcPr>
            <w:tcW w:type="dxa" w:w="7370"/>
          </w:tcPr>
          <w:p>
            <w:pPr>
              <w:spacing w:before="20" w:after="20" w:line="276" w:lineRule="auto"/>
              <w:ind w:firstLine="0"/>
            </w:pPr>
            <w:r/>
            <w:r>
              <w:rPr>
                <w:rFonts w:ascii="Times New Roman" w:hAnsi="Times New Roman" w:eastAsia="宋体"/>
                <w:b w:val="0"/>
                <w:i w:val="0"/>
                <w:sz w:val="21"/>
              </w:rPr>
              <w:t>待业务方确认：库存台账更新失败、业务线联动失败、合同已收已发回写失败等跨模块调用的重试、降级与回滚策略</w:t>
            </w:r>
          </w:p>
        </w:tc>
      </w:tr>
      <w:tr>
        <w:tc>
          <w:tcPr>
            <w:tcW w:type="dxa" w:w="1701"/>
          </w:tcPr>
          <w:p>
            <w:pPr>
              <w:spacing w:before="20" w:after="20" w:line="276" w:lineRule="auto"/>
              <w:ind w:firstLine="0"/>
            </w:pPr>
            <w:r/>
            <w:r>
              <w:rPr>
                <w:rFonts w:ascii="Times New Roman" w:hAnsi="Times New Roman" w:eastAsia="宋体"/>
                <w:b w:val="0"/>
                <w:i w:val="0"/>
                <w:sz w:val="21"/>
              </w:rPr>
              <w:t>库存管理</w:t>
            </w:r>
          </w:p>
        </w:tc>
        <w:tc>
          <w:tcPr>
            <w:tcW w:type="dxa" w:w="7370"/>
          </w:tcPr>
          <w:p>
            <w:pPr>
              <w:spacing w:before="20" w:after="20" w:line="276" w:lineRule="auto"/>
              <w:ind w:firstLine="0"/>
            </w:pPr>
            <w:r/>
            <w:r>
              <w:rPr>
                <w:rFonts w:ascii="Times New Roman" w:hAnsi="Times New Roman" w:eastAsia="宋体"/>
                <w:b w:val="0"/>
                <w:i w:val="0"/>
                <w:sz w:val="21"/>
              </w:rPr>
              <w:t>待业务方确认：品类配置的单品名与早期仓库类型枚举（starch、coal、sugar）的关系是否保留与并存</w:t>
            </w:r>
          </w:p>
        </w:tc>
      </w:tr>
      <w:tr>
        <w:tc>
          <w:tcPr>
            <w:tcW w:type="dxa" w:w="1701"/>
          </w:tcPr>
          <w:p>
            <w:pPr>
              <w:spacing w:before="20" w:after="20" w:line="276" w:lineRule="auto"/>
              <w:ind w:firstLine="0"/>
            </w:pPr>
            <w:r/>
            <w:r>
              <w:rPr>
                <w:rFonts w:ascii="Times New Roman" w:hAnsi="Times New Roman" w:eastAsia="宋体"/>
                <w:b w:val="0"/>
                <w:i w:val="0"/>
                <w:sz w:val="21"/>
              </w:rPr>
              <w:t>库存管理</w:t>
            </w:r>
          </w:p>
        </w:tc>
        <w:tc>
          <w:tcPr>
            <w:tcW w:type="dxa" w:w="7370"/>
          </w:tcPr>
          <w:p>
            <w:pPr>
              <w:spacing w:before="20" w:after="20" w:line="276" w:lineRule="auto"/>
              <w:ind w:firstLine="0"/>
            </w:pPr>
            <w:r/>
            <w:r>
              <w:rPr>
                <w:rFonts w:ascii="Times New Roman" w:hAnsi="Times New Roman" w:eastAsia="宋体"/>
                <w:b w:val="0"/>
                <w:i w:val="0"/>
                <w:sz w:val="21"/>
              </w:rPr>
              <w:t>待业务方确认：盘库差异 5% 阈值是否固定在代码层、不提供可配置界面</w:t>
            </w:r>
          </w:p>
        </w:tc>
      </w:tr>
      <w:tr>
        <w:tc>
          <w:tcPr>
            <w:tcW w:type="dxa" w:w="1701"/>
          </w:tcPr>
          <w:p>
            <w:pPr>
              <w:spacing w:before="20" w:after="20" w:line="276" w:lineRule="auto"/>
              <w:ind w:firstLine="0"/>
            </w:pPr>
            <w:r/>
            <w:r>
              <w:rPr>
                <w:rFonts w:ascii="Times New Roman" w:hAnsi="Times New Roman" w:eastAsia="宋体"/>
                <w:b w:val="0"/>
                <w:i w:val="0"/>
                <w:sz w:val="21"/>
              </w:rPr>
              <w:t>视频监控</w:t>
            </w:r>
          </w:p>
        </w:tc>
        <w:tc>
          <w:tcPr>
            <w:tcW w:type="dxa" w:w="7370"/>
          </w:tcPr>
          <w:p>
            <w:pPr>
              <w:spacing w:before="20" w:after="20" w:line="276" w:lineRule="auto"/>
              <w:ind w:firstLine="0"/>
            </w:pPr>
            <w:r/>
            <w:r>
              <w:rPr>
                <w:rFonts w:ascii="Times New Roman" w:hAnsi="Times New Roman" w:eastAsia="宋体"/>
                <w:b w:val="0"/>
                <w:i w:val="0"/>
                <w:sz w:val="21"/>
              </w:rPr>
              <w:t>待业务方确认：视频监控本期是交付完整功能，还是按缺省页保持与线上系统一致</w:t>
            </w:r>
          </w:p>
        </w:tc>
      </w:tr>
      <w:tr>
        <w:tc>
          <w:tcPr>
            <w:tcW w:type="dxa" w:w="1701"/>
          </w:tcPr>
          <w:p>
            <w:pPr>
              <w:spacing w:before="20" w:after="20" w:line="276" w:lineRule="auto"/>
              <w:ind w:firstLine="0"/>
            </w:pPr>
            <w:r/>
            <w:r>
              <w:rPr>
                <w:rFonts w:ascii="Times New Roman" w:hAnsi="Times New Roman" w:eastAsia="宋体"/>
                <w:b w:val="0"/>
                <w:i w:val="0"/>
                <w:sz w:val="21"/>
              </w:rPr>
              <w:t>视频监控</w:t>
            </w:r>
          </w:p>
        </w:tc>
        <w:tc>
          <w:tcPr>
            <w:tcW w:type="dxa" w:w="7370"/>
          </w:tcPr>
          <w:p>
            <w:pPr>
              <w:spacing w:before="20" w:after="20" w:line="276" w:lineRule="auto"/>
              <w:ind w:firstLine="0"/>
            </w:pPr>
            <w:r/>
            <w:r>
              <w:rPr>
                <w:rFonts w:ascii="Times New Roman" w:hAnsi="Times New Roman" w:eastAsia="宋体"/>
                <w:b w:val="0"/>
                <w:i w:val="0"/>
                <w:sz w:val="21"/>
              </w:rPr>
              <w:t>待业务方确认：监控设备表、仓库与摄像头关联表、录像文件表、异常事件表的数据结构与字段清单</w:t>
            </w:r>
          </w:p>
        </w:tc>
      </w:tr>
      <w:tr>
        <w:tc>
          <w:tcPr>
            <w:tcW w:type="dxa" w:w="1701"/>
          </w:tcPr>
          <w:p>
            <w:pPr>
              <w:spacing w:before="20" w:after="20" w:line="276" w:lineRule="auto"/>
              <w:ind w:firstLine="0"/>
            </w:pPr>
            <w:r/>
            <w:r>
              <w:rPr>
                <w:rFonts w:ascii="Times New Roman" w:hAnsi="Times New Roman" w:eastAsia="宋体"/>
                <w:b w:val="0"/>
                <w:i w:val="0"/>
                <w:sz w:val="21"/>
              </w:rPr>
              <w:t>视频监控</w:t>
            </w:r>
          </w:p>
        </w:tc>
        <w:tc>
          <w:tcPr>
            <w:tcW w:type="dxa" w:w="7370"/>
          </w:tcPr>
          <w:p>
            <w:pPr>
              <w:spacing w:before="20" w:after="20" w:line="276" w:lineRule="auto"/>
              <w:ind w:firstLine="0"/>
            </w:pPr>
            <w:r/>
            <w:r>
              <w:rPr>
                <w:rFonts w:ascii="Times New Roman" w:hAnsi="Times New Roman" w:eastAsia="宋体"/>
                <w:b w:val="0"/>
                <w:i w:val="0"/>
                <w:sz w:val="21"/>
              </w:rPr>
              <w:t>待业务方确认：视频流的接入与回放实现方式，以及录像的存储位置与保留策略执行方式</w:t>
            </w:r>
          </w:p>
        </w:tc>
      </w:tr>
      <w:tr>
        <w:tc>
          <w:tcPr>
            <w:tcW w:type="dxa" w:w="1701"/>
          </w:tcPr>
          <w:p>
            <w:pPr>
              <w:spacing w:before="20" w:after="20" w:line="276" w:lineRule="auto"/>
              <w:ind w:firstLine="0"/>
            </w:pPr>
            <w:r/>
            <w:r>
              <w:rPr>
                <w:rFonts w:ascii="Times New Roman" w:hAnsi="Times New Roman" w:eastAsia="宋体"/>
                <w:b w:val="0"/>
                <w:i w:val="0"/>
                <w:sz w:val="21"/>
              </w:rPr>
              <w:t>视频监控</w:t>
            </w:r>
          </w:p>
        </w:tc>
        <w:tc>
          <w:tcPr>
            <w:tcW w:type="dxa" w:w="7370"/>
          </w:tcPr>
          <w:p>
            <w:pPr>
              <w:spacing w:before="20" w:after="20" w:line="276" w:lineRule="auto"/>
              <w:ind w:firstLine="0"/>
            </w:pPr>
            <w:r/>
            <w:r>
              <w:rPr>
                <w:rFonts w:ascii="Times New Roman" w:hAnsi="Times New Roman" w:eastAsia="宋体"/>
                <w:b w:val="0"/>
                <w:i w:val="0"/>
                <w:sz w:val="21"/>
              </w:rPr>
              <w:t>待业务方确认：摄像头型号的枚举取值范围</w:t>
            </w:r>
          </w:p>
        </w:tc>
      </w:tr>
      <w:tr>
        <w:tc>
          <w:tcPr>
            <w:tcW w:type="dxa" w:w="1701"/>
          </w:tcPr>
          <w:p>
            <w:pPr>
              <w:spacing w:before="20" w:after="20" w:line="276" w:lineRule="auto"/>
              <w:ind w:firstLine="0"/>
            </w:pPr>
            <w:r/>
            <w:r>
              <w:rPr>
                <w:rFonts w:ascii="Times New Roman" w:hAnsi="Times New Roman" w:eastAsia="宋体"/>
                <w:b w:val="0"/>
                <w:i w:val="0"/>
                <w:sz w:val="21"/>
              </w:rPr>
              <w:t>视频监控</w:t>
            </w:r>
          </w:p>
        </w:tc>
        <w:tc>
          <w:tcPr>
            <w:tcW w:type="dxa" w:w="7370"/>
          </w:tcPr>
          <w:p>
            <w:pPr>
              <w:spacing w:before="20" w:after="20" w:line="276" w:lineRule="auto"/>
              <w:ind w:firstLine="0"/>
            </w:pPr>
            <w:r/>
            <w:r>
              <w:rPr>
                <w:rFonts w:ascii="Times New Roman" w:hAnsi="Times New Roman" w:eastAsia="宋体"/>
                <w:b w:val="0"/>
                <w:i w:val="0"/>
                <w:sz w:val="21"/>
              </w:rPr>
              <w:t>待业务方确认：告警事件与预警中心的推送与处置分工，避免同一事件重复告警</w:t>
            </w:r>
          </w:p>
        </w:tc>
      </w:tr>
      <w:tr>
        <w:tc>
          <w:tcPr>
            <w:tcW w:type="dxa" w:w="1701"/>
          </w:tcPr>
          <w:p>
            <w:pPr>
              <w:spacing w:before="20" w:after="20" w:line="276" w:lineRule="auto"/>
              <w:ind w:firstLine="0"/>
            </w:pPr>
            <w:r/>
            <w:r>
              <w:rPr>
                <w:rFonts w:ascii="Times New Roman" w:hAnsi="Times New Roman" w:eastAsia="宋体"/>
                <w:b w:val="0"/>
                <w:i w:val="0"/>
                <w:sz w:val="21"/>
              </w:rPr>
              <w:t>视频监控</w:t>
            </w:r>
          </w:p>
        </w:tc>
        <w:tc>
          <w:tcPr>
            <w:tcW w:type="dxa" w:w="7370"/>
          </w:tcPr>
          <w:p>
            <w:pPr>
              <w:spacing w:before="20" w:after="20" w:line="276" w:lineRule="auto"/>
              <w:ind w:firstLine="0"/>
            </w:pPr>
            <w:r/>
            <w:r>
              <w:rPr>
                <w:rFonts w:ascii="Times New Roman" w:hAnsi="Times New Roman" w:eastAsia="宋体"/>
                <w:b w:val="0"/>
                <w:i w:val="0"/>
                <w:sz w:val="21"/>
              </w:rPr>
              <w:t>待业务方确认：是否需要记录查看监控的行为留痕，以及保留期限</w:t>
            </w:r>
          </w:p>
        </w:tc>
      </w:tr>
      <w:tr>
        <w:tc>
          <w:tcPr>
            <w:tcW w:type="dxa" w:w="1701"/>
          </w:tcPr>
          <w:p>
            <w:pPr>
              <w:spacing w:before="20" w:after="20" w:line="276" w:lineRule="auto"/>
              <w:ind w:firstLine="0"/>
            </w:pPr>
            <w:r/>
            <w:r>
              <w:rPr>
                <w:rFonts w:ascii="Times New Roman" w:hAnsi="Times New Roman" w:eastAsia="宋体"/>
                <w:b w:val="0"/>
                <w:i w:val="0"/>
                <w:sz w:val="21"/>
              </w:rPr>
              <w:t>巡库管理</w:t>
            </w:r>
          </w:p>
        </w:tc>
        <w:tc>
          <w:tcPr>
            <w:tcW w:type="dxa" w:w="7370"/>
          </w:tcPr>
          <w:p>
            <w:pPr>
              <w:spacing w:before="20" w:after="20" w:line="276" w:lineRule="auto"/>
              <w:ind w:firstLine="0"/>
            </w:pPr>
            <w:r/>
            <w:r>
              <w:rPr>
                <w:rFonts w:ascii="Times New Roman" w:hAnsi="Times New Roman" w:eastAsia="宋体"/>
                <w:b w:val="0"/>
                <w:i w:val="0"/>
                <w:sz w:val="21"/>
              </w:rPr>
              <w:t>待业务方确认：巡库结果 3 个取值与处理状态 3 个取值的组合口径，需求记为 5 种组合而两个维度相乘为 9 种</w:t>
            </w:r>
          </w:p>
        </w:tc>
      </w:tr>
      <w:tr>
        <w:tc>
          <w:tcPr>
            <w:tcW w:type="dxa" w:w="1701"/>
          </w:tcPr>
          <w:p>
            <w:pPr>
              <w:spacing w:before="20" w:after="20" w:line="276" w:lineRule="auto"/>
              <w:ind w:firstLine="0"/>
            </w:pPr>
            <w:r/>
            <w:r>
              <w:rPr>
                <w:rFonts w:ascii="Times New Roman" w:hAnsi="Times New Roman" w:eastAsia="宋体"/>
                <w:b w:val="0"/>
                <w:i w:val="0"/>
                <w:sz w:val="21"/>
              </w:rPr>
              <w:t>巡库管理</w:t>
            </w:r>
          </w:p>
        </w:tc>
        <w:tc>
          <w:tcPr>
            <w:tcW w:type="dxa" w:w="7370"/>
          </w:tcPr>
          <w:p>
            <w:pPr>
              <w:spacing w:before="20" w:after="20" w:line="276" w:lineRule="auto"/>
              <w:ind w:firstLine="0"/>
            </w:pPr>
            <w:r/>
            <w:r>
              <w:rPr>
                <w:rFonts w:ascii="Times New Roman" w:hAnsi="Times New Roman" w:eastAsia="宋体"/>
                <w:b w:val="0"/>
                <w:i w:val="0"/>
                <w:sz w:val="21"/>
              </w:rPr>
              <w:t>待业务方确认：新增巡库的完整字段清单与必填项，以及图片与视频附件的数量与容量限制</w:t>
            </w:r>
          </w:p>
        </w:tc>
      </w:tr>
      <w:tr>
        <w:tc>
          <w:tcPr>
            <w:tcW w:type="dxa" w:w="1701"/>
          </w:tcPr>
          <w:p>
            <w:pPr>
              <w:spacing w:before="20" w:after="20" w:line="276" w:lineRule="auto"/>
              <w:ind w:firstLine="0"/>
            </w:pPr>
            <w:r/>
            <w:r>
              <w:rPr>
                <w:rFonts w:ascii="Times New Roman" w:hAnsi="Times New Roman" w:eastAsia="宋体"/>
                <w:b w:val="0"/>
                <w:i w:val="0"/>
                <w:sz w:val="21"/>
              </w:rPr>
              <w:t>巡库管理</w:t>
            </w:r>
          </w:p>
        </w:tc>
        <w:tc>
          <w:tcPr>
            <w:tcW w:type="dxa" w:w="7370"/>
          </w:tcPr>
          <w:p>
            <w:pPr>
              <w:spacing w:before="20" w:after="20" w:line="276" w:lineRule="auto"/>
              <w:ind w:firstLine="0"/>
            </w:pPr>
            <w:r/>
            <w:r>
              <w:rPr>
                <w:rFonts w:ascii="Times New Roman" w:hAnsi="Times New Roman" w:eastAsia="宋体"/>
                <w:b w:val="0"/>
                <w:i w:val="0"/>
                <w:sz w:val="21"/>
              </w:rPr>
              <w:t>待业务方确认：巡库报告的生成动作与触发时机，以及报告生成时间的回写规则</w:t>
            </w:r>
          </w:p>
        </w:tc>
      </w:tr>
      <w:tr>
        <w:tc>
          <w:tcPr>
            <w:tcW w:type="dxa" w:w="1701"/>
          </w:tcPr>
          <w:p>
            <w:pPr>
              <w:spacing w:before="20" w:after="20" w:line="276" w:lineRule="auto"/>
              <w:ind w:firstLine="0"/>
            </w:pPr>
            <w:r/>
            <w:r>
              <w:rPr>
                <w:rFonts w:ascii="Times New Roman" w:hAnsi="Times New Roman" w:eastAsia="宋体"/>
                <w:b w:val="0"/>
                <w:i w:val="0"/>
                <w:sz w:val="21"/>
              </w:rPr>
              <w:t>巡库管理</w:t>
            </w:r>
          </w:p>
        </w:tc>
        <w:tc>
          <w:tcPr>
            <w:tcW w:type="dxa" w:w="7370"/>
          </w:tcPr>
          <w:p>
            <w:pPr>
              <w:spacing w:before="20" w:after="20" w:line="276" w:lineRule="auto"/>
              <w:ind w:firstLine="0"/>
            </w:pPr>
            <w:r/>
            <w:r>
              <w:rPr>
                <w:rFonts w:ascii="Times New Roman" w:hAnsi="Times New Roman" w:eastAsia="宋体"/>
                <w:b w:val="0"/>
                <w:i w:val="0"/>
                <w:sz w:val="21"/>
              </w:rPr>
              <w:t>待业务方确认：盘库记录的状态枚举取值</w:t>
            </w:r>
          </w:p>
        </w:tc>
      </w:tr>
      <w:tr>
        <w:tc>
          <w:tcPr>
            <w:tcW w:type="dxa" w:w="1701"/>
          </w:tcPr>
          <w:p>
            <w:pPr>
              <w:spacing w:before="20" w:after="20" w:line="276" w:lineRule="auto"/>
              <w:ind w:firstLine="0"/>
            </w:pPr>
            <w:r/>
            <w:r>
              <w:rPr>
                <w:rFonts w:ascii="Times New Roman" w:hAnsi="Times New Roman" w:eastAsia="宋体"/>
                <w:b w:val="0"/>
                <w:i w:val="0"/>
                <w:sz w:val="21"/>
              </w:rPr>
              <w:t>巡库管理</w:t>
            </w:r>
          </w:p>
        </w:tc>
        <w:tc>
          <w:tcPr>
            <w:tcW w:type="dxa" w:w="7370"/>
          </w:tcPr>
          <w:p>
            <w:pPr>
              <w:spacing w:before="20" w:after="20" w:line="276" w:lineRule="auto"/>
              <w:ind w:firstLine="0"/>
            </w:pPr>
            <w:r/>
            <w:r>
              <w:rPr>
                <w:rFonts w:ascii="Times New Roman" w:hAnsi="Times New Roman" w:eastAsia="宋体"/>
                <w:b w:val="0"/>
                <w:i w:val="0"/>
                <w:sz w:val="21"/>
              </w:rPr>
              <w:t>待业务方确认：巡库与出入库并发时的处理策略</w:t>
            </w:r>
          </w:p>
        </w:tc>
      </w:tr>
      <w:tr>
        <w:tc>
          <w:tcPr>
            <w:tcW w:type="dxa" w:w="1701"/>
          </w:tcPr>
          <w:p>
            <w:pPr>
              <w:spacing w:before="20" w:after="20" w:line="276" w:lineRule="auto"/>
              <w:ind w:firstLine="0"/>
            </w:pPr>
            <w:r/>
            <w:r>
              <w:rPr>
                <w:rFonts w:ascii="Times New Roman" w:hAnsi="Times New Roman" w:eastAsia="宋体"/>
                <w:b w:val="0"/>
                <w:i w:val="0"/>
                <w:sz w:val="21"/>
              </w:rPr>
              <w:t>巡库管理</w:t>
            </w:r>
          </w:p>
        </w:tc>
        <w:tc>
          <w:tcPr>
            <w:tcW w:type="dxa" w:w="7370"/>
          </w:tcPr>
          <w:p>
            <w:pPr>
              <w:spacing w:before="20" w:after="20" w:line="276" w:lineRule="auto"/>
              <w:ind w:firstLine="0"/>
            </w:pPr>
            <w:r/>
            <w:r>
              <w:rPr>
                <w:rFonts w:ascii="Times New Roman" w:hAnsi="Times New Roman" w:eastAsia="宋体"/>
                <w:b w:val="0"/>
                <w:i w:val="0"/>
                <w:sz w:val="21"/>
              </w:rPr>
              <w:t>待业务方确认：盘库差异 5% 阈值是否固定在代码层、不提供可配置界面</w:t>
            </w:r>
          </w:p>
        </w:tc>
      </w:tr>
      <w:tr>
        <w:tc>
          <w:tcPr>
            <w:tcW w:type="dxa" w:w="1701"/>
          </w:tcPr>
          <w:p>
            <w:pPr>
              <w:spacing w:before="20" w:after="20" w:line="276" w:lineRule="auto"/>
              <w:ind w:firstLine="0"/>
            </w:pPr>
            <w:r/>
            <w:r>
              <w:rPr>
                <w:rFonts w:ascii="Times New Roman" w:hAnsi="Times New Roman" w:eastAsia="宋体"/>
                <w:b w:val="0"/>
                <w:i w:val="0"/>
                <w:sz w:val="21"/>
              </w:rPr>
              <w:t>巡库管理</w:t>
            </w:r>
          </w:p>
        </w:tc>
        <w:tc>
          <w:tcPr>
            <w:tcW w:type="dxa" w:w="7370"/>
          </w:tcPr>
          <w:p>
            <w:pPr>
              <w:spacing w:before="20" w:after="20" w:line="276" w:lineRule="auto"/>
              <w:ind w:firstLine="0"/>
            </w:pPr>
            <w:r/>
            <w:r>
              <w:rPr>
                <w:rFonts w:ascii="Times New Roman" w:hAnsi="Times New Roman" w:eastAsia="宋体"/>
                <w:b w:val="0"/>
                <w:i w:val="0"/>
                <w:sz w:val="21"/>
              </w:rPr>
              <w:t>待业务方确认：监管负责人字段的取值来源与所属部门</w:t>
            </w:r>
          </w:p>
        </w:tc>
      </w:tr>
      <w:tr>
        <w:tc>
          <w:tcPr>
            <w:tcW w:type="dxa" w:w="1701"/>
          </w:tcPr>
          <w:p>
            <w:pPr>
              <w:spacing w:before="20" w:after="20" w:line="276" w:lineRule="auto"/>
              <w:ind w:firstLine="0"/>
            </w:pPr>
            <w:r/>
            <w:r>
              <w:rPr>
                <w:rFonts w:ascii="Times New Roman" w:hAnsi="Times New Roman" w:eastAsia="宋体"/>
                <w:b w:val="0"/>
                <w:i w:val="0"/>
                <w:sz w:val="21"/>
              </w:rPr>
              <w:t>系统管理</w:t>
            </w:r>
          </w:p>
        </w:tc>
        <w:tc>
          <w:tcPr>
            <w:tcW w:type="dxa" w:w="7370"/>
          </w:tcPr>
          <w:p>
            <w:pPr>
              <w:spacing w:before="20" w:after="20" w:line="276" w:lineRule="auto"/>
              <w:ind w:firstLine="0"/>
            </w:pPr>
            <w:r/>
            <w:r>
              <w:rPr>
                <w:rFonts w:ascii="Times New Roman" w:hAnsi="Times New Roman" w:eastAsia="宋体"/>
                <w:b w:val="0"/>
                <w:i w:val="0"/>
                <w:sz w:val="21"/>
              </w:rPr>
              <w:t>待业务方确认：顶层实体的最终命名统一为库点还是保留仓库（站台）口径，以及早期仓库类型枚举与品类配置的关系是否并存</w:t>
            </w:r>
          </w:p>
        </w:tc>
      </w:tr>
      <w:tr>
        <w:tc>
          <w:tcPr>
            <w:tcW w:type="dxa" w:w="1701"/>
          </w:tcPr>
          <w:p>
            <w:pPr>
              <w:spacing w:before="20" w:after="20" w:line="276" w:lineRule="auto"/>
              <w:ind w:firstLine="0"/>
            </w:pPr>
            <w:r/>
            <w:r>
              <w:rPr>
                <w:rFonts w:ascii="Times New Roman" w:hAnsi="Times New Roman" w:eastAsia="宋体"/>
                <w:b w:val="0"/>
                <w:i w:val="0"/>
                <w:sz w:val="21"/>
              </w:rPr>
              <w:t>系统管理</w:t>
            </w:r>
          </w:p>
        </w:tc>
        <w:tc>
          <w:tcPr>
            <w:tcW w:type="dxa" w:w="7370"/>
          </w:tcPr>
          <w:p>
            <w:pPr>
              <w:spacing w:before="20" w:after="20" w:line="276" w:lineRule="auto"/>
              <w:ind w:firstLine="0"/>
            </w:pPr>
            <w:r/>
            <w:r>
              <w:rPr>
                <w:rFonts w:ascii="Times New Roman" w:hAnsi="Times New Roman" w:eastAsia="宋体"/>
                <w:b w:val="0"/>
                <w:i w:val="0"/>
                <w:sz w:val="21"/>
              </w:rPr>
              <w:t>待业务方确认：仓房管理下是否建设独立的货位管理页，当前货位操作仅给出提示</w:t>
            </w:r>
          </w:p>
        </w:tc>
      </w:tr>
      <w:tr>
        <w:tc>
          <w:tcPr>
            <w:tcW w:type="dxa" w:w="1701"/>
          </w:tcPr>
          <w:p>
            <w:pPr>
              <w:spacing w:before="20" w:after="20" w:line="276" w:lineRule="auto"/>
              <w:ind w:firstLine="0"/>
            </w:pPr>
            <w:r/>
            <w:r>
              <w:rPr>
                <w:rFonts w:ascii="Times New Roman" w:hAnsi="Times New Roman" w:eastAsia="宋体"/>
                <w:b w:val="0"/>
                <w:i w:val="0"/>
                <w:sz w:val="21"/>
              </w:rPr>
              <w:t>系统管理</w:t>
            </w:r>
          </w:p>
        </w:tc>
        <w:tc>
          <w:tcPr>
            <w:tcW w:type="dxa" w:w="7370"/>
          </w:tcPr>
          <w:p>
            <w:pPr>
              <w:spacing w:before="20" w:after="20" w:line="276" w:lineRule="auto"/>
              <w:ind w:firstLine="0"/>
            </w:pPr>
            <w:r/>
            <w:r>
              <w:rPr>
                <w:rFonts w:ascii="Times New Roman" w:hAnsi="Times New Roman" w:eastAsia="宋体"/>
                <w:b w:val="0"/>
                <w:i w:val="0"/>
                <w:sz w:val="21"/>
              </w:rPr>
              <w:t>待业务方确认：系统监控页顶部统计卡片的指标口径与是否随筛选条件联动</w:t>
            </w:r>
          </w:p>
        </w:tc>
      </w:tr>
      <w:tr>
        <w:tc>
          <w:tcPr>
            <w:tcW w:type="dxa" w:w="1701"/>
          </w:tcPr>
          <w:p>
            <w:pPr>
              <w:spacing w:before="20" w:after="20" w:line="276" w:lineRule="auto"/>
              <w:ind w:firstLine="0"/>
            </w:pPr>
            <w:r/>
            <w:r>
              <w:rPr>
                <w:rFonts w:ascii="Times New Roman" w:hAnsi="Times New Roman" w:eastAsia="宋体"/>
                <w:b w:val="0"/>
                <w:i w:val="0"/>
                <w:sz w:val="21"/>
              </w:rPr>
              <w:t>系统管理</w:t>
            </w:r>
          </w:p>
        </w:tc>
        <w:tc>
          <w:tcPr>
            <w:tcW w:type="dxa" w:w="7370"/>
          </w:tcPr>
          <w:p>
            <w:pPr>
              <w:spacing w:before="20" w:after="20" w:line="276" w:lineRule="auto"/>
              <w:ind w:firstLine="0"/>
            </w:pPr>
            <w:r/>
            <w:r>
              <w:rPr>
                <w:rFonts w:ascii="Times New Roman" w:hAnsi="Times New Roman" w:eastAsia="宋体"/>
                <w:b w:val="0"/>
                <w:i w:val="0"/>
                <w:sz w:val="21"/>
              </w:rPr>
              <w:t>待业务方确认：库点平面图的配置方式与监控信息的数据来源，以及平面图未配置时的后续补录路径</w:t>
            </w:r>
          </w:p>
        </w:tc>
      </w:tr>
      <w:tr>
        <w:tc>
          <w:tcPr>
            <w:tcW w:type="dxa" w:w="1701"/>
          </w:tcPr>
          <w:p>
            <w:pPr>
              <w:spacing w:before="20" w:after="20" w:line="276" w:lineRule="auto"/>
              <w:ind w:firstLine="0"/>
            </w:pPr>
            <w:r/>
            <w:r>
              <w:rPr>
                <w:rFonts w:ascii="Times New Roman" w:hAnsi="Times New Roman" w:eastAsia="宋体"/>
                <w:b w:val="0"/>
                <w:i w:val="0"/>
                <w:sz w:val="21"/>
              </w:rPr>
              <w:t>系统管理</w:t>
            </w:r>
          </w:p>
        </w:tc>
        <w:tc>
          <w:tcPr>
            <w:tcW w:type="dxa" w:w="7370"/>
          </w:tcPr>
          <w:p>
            <w:pPr>
              <w:spacing w:before="20" w:after="20" w:line="276" w:lineRule="auto"/>
              <w:ind w:firstLine="0"/>
            </w:pPr>
            <w:r/>
            <w:r>
              <w:rPr>
                <w:rFonts w:ascii="Times New Roman" w:hAnsi="Times New Roman" w:eastAsia="宋体"/>
                <w:b w:val="0"/>
                <w:i w:val="0"/>
                <w:sz w:val="21"/>
              </w:rPr>
              <w:t>待业务方确认：仓储租赁合同的文件格式与容量限制，以及签章状态的取值枚举</w:t>
            </w:r>
          </w:p>
        </w:tc>
      </w:tr>
      <w:tr>
        <w:tc>
          <w:tcPr>
            <w:tcW w:type="dxa" w:w="1701"/>
          </w:tcPr>
          <w:p>
            <w:pPr>
              <w:spacing w:before="20" w:after="20" w:line="276" w:lineRule="auto"/>
              <w:ind w:firstLine="0"/>
            </w:pPr>
            <w:r/>
            <w:r>
              <w:rPr>
                <w:rFonts w:ascii="Times New Roman" w:hAnsi="Times New Roman" w:eastAsia="宋体"/>
                <w:b w:val="0"/>
                <w:i w:val="0"/>
                <w:sz w:val="21"/>
              </w:rPr>
              <w:t>系统管理</w:t>
            </w:r>
          </w:p>
        </w:tc>
        <w:tc>
          <w:tcPr>
            <w:tcW w:type="dxa" w:w="7370"/>
          </w:tcPr>
          <w:p>
            <w:pPr>
              <w:spacing w:before="20" w:after="20" w:line="276" w:lineRule="auto"/>
              <w:ind w:firstLine="0"/>
            </w:pPr>
            <w:r/>
            <w:r>
              <w:rPr>
                <w:rFonts w:ascii="Times New Roman" w:hAnsi="Times New Roman" w:eastAsia="宋体"/>
                <w:b w:val="0"/>
                <w:i w:val="0"/>
                <w:sz w:val="21"/>
              </w:rPr>
              <w:t>待业务方确认：温湿度等设备告警阈值的具体取值，以及是否固定在代码层、不提供可配置界面</w:t>
            </w:r>
          </w:p>
        </w:tc>
      </w:tr>
      <w:tr>
        <w:tc>
          <w:tcPr>
            <w:tcW w:type="dxa" w:w="1701"/>
          </w:tcPr>
          <w:p>
            <w:pPr>
              <w:spacing w:before="20" w:after="20" w:line="276" w:lineRule="auto"/>
              <w:ind w:firstLine="0"/>
            </w:pPr>
            <w:r/>
            <w:r>
              <w:rPr>
                <w:rFonts w:ascii="Times New Roman" w:hAnsi="Times New Roman" w:eastAsia="宋体"/>
                <w:b w:val="0"/>
                <w:i w:val="0"/>
                <w:sz w:val="21"/>
              </w:rPr>
              <w:t>系统管理</w:t>
            </w:r>
          </w:p>
        </w:tc>
        <w:tc>
          <w:tcPr>
            <w:tcW w:type="dxa" w:w="7370"/>
          </w:tcPr>
          <w:p>
            <w:pPr>
              <w:spacing w:before="20" w:after="20" w:line="276" w:lineRule="auto"/>
              <w:ind w:firstLine="0"/>
            </w:pPr>
            <w:r/>
            <w:r>
              <w:rPr>
                <w:rFonts w:ascii="Times New Roman" w:hAnsi="Times New Roman" w:eastAsia="宋体"/>
                <w:b w:val="0"/>
                <w:i w:val="0"/>
                <w:sz w:val="21"/>
              </w:rPr>
              <w:t>待业务方确认：品类批量导入模板的字段结构与错误明细的下载形式</w:t>
            </w:r>
          </w:p>
        </w:tc>
      </w:tr>
      <w:tr>
        <w:tc>
          <w:tcPr>
            <w:tcW w:type="dxa" w:w="1701"/>
          </w:tcPr>
          <w:p>
            <w:pPr>
              <w:spacing w:before="20" w:after="20" w:line="276" w:lineRule="auto"/>
              <w:ind w:firstLine="0"/>
            </w:pPr>
            <w:r/>
            <w:r>
              <w:rPr>
                <w:rFonts w:ascii="Times New Roman" w:hAnsi="Times New Roman" w:eastAsia="宋体"/>
                <w:b w:val="0"/>
                <w:i w:val="0"/>
                <w:sz w:val="21"/>
              </w:rPr>
              <w:t>预警管理</w:t>
            </w:r>
          </w:p>
        </w:tc>
        <w:tc>
          <w:tcPr>
            <w:tcW w:type="dxa" w:w="7370"/>
          </w:tcPr>
          <w:p>
            <w:pPr>
              <w:spacing w:before="20" w:after="20" w:line="276" w:lineRule="auto"/>
              <w:ind w:firstLine="0"/>
            </w:pPr>
            <w:r/>
            <w:r>
              <w:rPr>
                <w:rFonts w:ascii="Times New Roman" w:hAnsi="Times New Roman" w:eastAsia="宋体"/>
                <w:b w:val="0"/>
                <w:i w:val="0"/>
                <w:sz w:val="21"/>
              </w:rPr>
              <w:t>待业务方确认：预警状态取值的最终集合，源文档中并存待处理、已跟进、已处理、已超 7 日仍未处理 4 态，以及待风险审批、审批驳回、已处理人工等仅出现在列表页签与标签中的取值，二者关系与落库枚举需统一</w:t>
            </w:r>
          </w:p>
        </w:tc>
      </w:tr>
      <w:tr>
        <w:tc>
          <w:tcPr>
            <w:tcW w:type="dxa" w:w="1701"/>
          </w:tcPr>
          <w:p>
            <w:pPr>
              <w:spacing w:before="20" w:after="20" w:line="276" w:lineRule="auto"/>
              <w:ind w:firstLine="0"/>
            </w:pPr>
            <w:r/>
            <w:r>
              <w:rPr>
                <w:rFonts w:ascii="Times New Roman" w:hAnsi="Times New Roman" w:eastAsia="宋体"/>
                <w:b w:val="0"/>
                <w:i w:val="0"/>
                <w:sz w:val="21"/>
              </w:rPr>
              <w:t>预警管理</w:t>
            </w:r>
          </w:p>
        </w:tc>
        <w:tc>
          <w:tcPr>
            <w:tcW w:type="dxa" w:w="7370"/>
          </w:tcPr>
          <w:p>
            <w:pPr>
              <w:spacing w:before="20" w:after="20" w:line="276" w:lineRule="auto"/>
              <w:ind w:firstLine="0"/>
            </w:pPr>
            <w:r/>
            <w:r>
              <w:rPr>
                <w:rFonts w:ascii="Times New Roman" w:hAnsi="Times New Roman" w:eastAsia="宋体"/>
                <w:b w:val="0"/>
                <w:i w:val="0"/>
                <w:sz w:val="21"/>
              </w:rPr>
              <w:t>待业务方确认：超 7 日未处理是独立状态还是保留原状态的派生标记，两种口径下的统计是否会重复计数</w:t>
            </w:r>
          </w:p>
        </w:tc>
      </w:tr>
      <w:tr>
        <w:tc>
          <w:tcPr>
            <w:tcW w:type="dxa" w:w="1701"/>
          </w:tcPr>
          <w:p>
            <w:pPr>
              <w:spacing w:before="20" w:after="20" w:line="276" w:lineRule="auto"/>
              <w:ind w:firstLine="0"/>
            </w:pPr>
            <w:r/>
            <w:r>
              <w:rPr>
                <w:rFonts w:ascii="Times New Roman" w:hAnsi="Times New Roman" w:eastAsia="宋体"/>
                <w:b w:val="0"/>
                <w:i w:val="0"/>
                <w:sz w:val="21"/>
              </w:rPr>
              <w:t>预警管理</w:t>
            </w:r>
          </w:p>
        </w:tc>
        <w:tc>
          <w:tcPr>
            <w:tcW w:type="dxa" w:w="7370"/>
          </w:tcPr>
          <w:p>
            <w:pPr>
              <w:spacing w:before="20" w:after="20" w:line="276" w:lineRule="auto"/>
              <w:ind w:firstLine="0"/>
            </w:pPr>
            <w:r/>
            <w:r>
              <w:rPr>
                <w:rFonts w:ascii="Times New Roman" w:hAnsi="Times New Roman" w:eastAsia="宋体"/>
                <w:b w:val="0"/>
                <w:i w:val="0"/>
                <w:sz w:val="21"/>
              </w:rPr>
              <w:t>待业务方确认：处置审批的审批人角色、是否与处置人互斥，以及驳回后允许修改的字段范围</w:t>
            </w:r>
          </w:p>
        </w:tc>
      </w:tr>
      <w:tr>
        <w:tc>
          <w:tcPr>
            <w:tcW w:type="dxa" w:w="1701"/>
          </w:tcPr>
          <w:p>
            <w:pPr>
              <w:spacing w:before="20" w:after="20" w:line="276" w:lineRule="auto"/>
              <w:ind w:firstLine="0"/>
            </w:pPr>
            <w:r/>
            <w:r>
              <w:rPr>
                <w:rFonts w:ascii="Times New Roman" w:hAnsi="Times New Roman" w:eastAsia="宋体"/>
                <w:b w:val="0"/>
                <w:i w:val="0"/>
                <w:sz w:val="21"/>
              </w:rPr>
              <w:t>预警管理</w:t>
            </w:r>
          </w:p>
        </w:tc>
        <w:tc>
          <w:tcPr>
            <w:tcW w:type="dxa" w:w="7370"/>
          </w:tcPr>
          <w:p>
            <w:pPr>
              <w:spacing w:before="20" w:after="20" w:line="276" w:lineRule="auto"/>
              <w:ind w:firstLine="0"/>
            </w:pPr>
            <w:r/>
            <w:r>
              <w:rPr>
                <w:rFonts w:ascii="Times New Roman" w:hAnsi="Times New Roman" w:eastAsia="宋体"/>
                <w:b w:val="0"/>
                <w:i w:val="0"/>
                <w:sz w:val="21"/>
              </w:rPr>
              <w:t>待业务方确认：升级通知到上级的通知对象与通知通道</w:t>
            </w:r>
          </w:p>
        </w:tc>
      </w:tr>
      <w:tr>
        <w:tc>
          <w:tcPr>
            <w:tcW w:type="dxa" w:w="1701"/>
          </w:tcPr>
          <w:p>
            <w:pPr>
              <w:spacing w:before="20" w:after="20" w:line="276" w:lineRule="auto"/>
              <w:ind w:firstLine="0"/>
            </w:pPr>
            <w:r/>
            <w:r>
              <w:rPr>
                <w:rFonts w:ascii="Times New Roman" w:hAnsi="Times New Roman" w:eastAsia="宋体"/>
                <w:b w:val="0"/>
                <w:i w:val="0"/>
                <w:sz w:val="21"/>
              </w:rPr>
              <w:t>预警管理</w:t>
            </w:r>
          </w:p>
        </w:tc>
        <w:tc>
          <w:tcPr>
            <w:tcW w:type="dxa" w:w="7370"/>
          </w:tcPr>
          <w:p>
            <w:pPr>
              <w:spacing w:before="20" w:after="20" w:line="276" w:lineRule="auto"/>
              <w:ind w:firstLine="0"/>
            </w:pPr>
            <w:r/>
            <w:r>
              <w:rPr>
                <w:rFonts w:ascii="Times New Roman" w:hAnsi="Times New Roman" w:eastAsia="宋体"/>
                <w:b w:val="0"/>
                <w:i w:val="0"/>
                <w:sz w:val="21"/>
              </w:rPr>
              <w:t>待业务方确认：预警解除与暂不处理分别落到哪个状态取值，暂不处理是否可恢复、是否有超时自动恢复</w:t>
            </w:r>
          </w:p>
        </w:tc>
      </w:tr>
      <w:tr>
        <w:tc>
          <w:tcPr>
            <w:tcW w:type="dxa" w:w="1701"/>
          </w:tcPr>
          <w:p>
            <w:pPr>
              <w:spacing w:before="20" w:after="20" w:line="276" w:lineRule="auto"/>
              <w:ind w:firstLine="0"/>
            </w:pPr>
            <w:r/>
            <w:r>
              <w:rPr>
                <w:rFonts w:ascii="Times New Roman" w:hAnsi="Times New Roman" w:eastAsia="宋体"/>
                <w:b w:val="0"/>
                <w:i w:val="0"/>
                <w:sz w:val="21"/>
              </w:rPr>
              <w:t>预警管理</w:t>
            </w:r>
          </w:p>
        </w:tc>
        <w:tc>
          <w:tcPr>
            <w:tcW w:type="dxa" w:w="7370"/>
          </w:tcPr>
          <w:p>
            <w:pPr>
              <w:spacing w:before="20" w:after="20" w:line="276" w:lineRule="auto"/>
              <w:ind w:firstLine="0"/>
            </w:pPr>
            <w:r/>
            <w:r>
              <w:rPr>
                <w:rFonts w:ascii="Times New Roman" w:hAnsi="Times New Roman" w:eastAsia="宋体"/>
                <w:b w:val="0"/>
                <w:i w:val="0"/>
                <w:sz w:val="21"/>
              </w:rPr>
              <w:t>待业务方确认：列表页与规则配置页的规则类型业务子类名与一级枚举之间的二级字典关系</w:t>
            </w:r>
          </w:p>
        </w:tc>
      </w:tr>
      <w:tr>
        <w:tc>
          <w:tcPr>
            <w:tcW w:type="dxa" w:w="1701"/>
          </w:tcPr>
          <w:p>
            <w:pPr>
              <w:spacing w:before="20" w:after="20" w:line="276" w:lineRule="auto"/>
              <w:ind w:firstLine="0"/>
            </w:pPr>
            <w:r/>
            <w:r>
              <w:rPr>
                <w:rFonts w:ascii="Times New Roman" w:hAnsi="Times New Roman" w:eastAsia="宋体"/>
                <w:b w:val="0"/>
                <w:i w:val="0"/>
                <w:sz w:val="21"/>
              </w:rPr>
              <w:t>预警管理</w:t>
            </w:r>
          </w:p>
        </w:tc>
        <w:tc>
          <w:tcPr>
            <w:tcW w:type="dxa" w:w="7370"/>
          </w:tcPr>
          <w:p>
            <w:pPr>
              <w:spacing w:before="20" w:after="20" w:line="276" w:lineRule="auto"/>
              <w:ind w:firstLine="0"/>
            </w:pPr>
            <w:r/>
            <w:r>
              <w:rPr>
                <w:rFonts w:ascii="Times New Roman" w:hAnsi="Times New Roman" w:eastAsia="宋体"/>
                <w:b w:val="0"/>
                <w:i w:val="0"/>
                <w:sz w:val="21"/>
              </w:rPr>
              <w:t>待业务方确认：同规则 24 小时内合并为 1 条的落库方式与触发次数字段的承载方式</w:t>
            </w:r>
          </w:p>
        </w:tc>
      </w:tr>
      <w:tr>
        <w:tc>
          <w:tcPr>
            <w:tcW w:type="dxa" w:w="1701"/>
          </w:tcPr>
          <w:p>
            <w:pPr>
              <w:spacing w:before="20" w:after="20" w:line="276" w:lineRule="auto"/>
              <w:ind w:firstLine="0"/>
            </w:pPr>
            <w:r/>
            <w:r>
              <w:rPr>
                <w:rFonts w:ascii="Times New Roman" w:hAnsi="Times New Roman" w:eastAsia="宋体"/>
                <w:b w:val="0"/>
                <w:i w:val="0"/>
                <w:sz w:val="21"/>
              </w:rPr>
              <w:t>预警管理</w:t>
            </w:r>
          </w:p>
        </w:tc>
        <w:tc>
          <w:tcPr>
            <w:tcW w:type="dxa" w:w="7370"/>
          </w:tcPr>
          <w:p>
            <w:pPr>
              <w:spacing w:before="20" w:after="20" w:line="276" w:lineRule="auto"/>
              <w:ind w:firstLine="0"/>
            </w:pPr>
            <w:r/>
            <w:r>
              <w:rPr>
                <w:rFonts w:ascii="Times New Roman" w:hAnsi="Times New Roman" w:eastAsia="宋体"/>
                <w:b w:val="0"/>
                <w:i w:val="0"/>
                <w:sz w:val="21"/>
              </w:rPr>
              <w:t>待业务方确认：预警详情页的字段清单、头部操作下拉的选项、预警解除单选项的取值与提交后的状态流转</w:t>
            </w:r>
          </w:p>
        </w:tc>
      </w:tr>
      <w:tr>
        <w:tc>
          <w:tcPr>
            <w:tcW w:type="dxa" w:w="1701"/>
          </w:tcPr>
          <w:p>
            <w:pPr>
              <w:spacing w:before="20" w:after="20" w:line="276" w:lineRule="auto"/>
              <w:ind w:firstLine="0"/>
            </w:pPr>
            <w:r/>
            <w:r>
              <w:rPr>
                <w:rFonts w:ascii="Times New Roman" w:hAnsi="Times New Roman" w:eastAsia="宋体"/>
                <w:b w:val="0"/>
                <w:i w:val="0"/>
                <w:sz w:val="21"/>
              </w:rPr>
              <w:t>预警规则配置</w:t>
            </w:r>
          </w:p>
        </w:tc>
        <w:tc>
          <w:tcPr>
            <w:tcW w:type="dxa" w:w="7370"/>
          </w:tcPr>
          <w:p>
            <w:pPr>
              <w:spacing w:before="20" w:after="20" w:line="276" w:lineRule="auto"/>
              <w:ind w:firstLine="0"/>
            </w:pPr>
            <w:r/>
            <w:r>
              <w:rPr>
                <w:rFonts w:ascii="Times New Roman" w:hAnsi="Times New Roman" w:eastAsia="宋体"/>
                <w:b w:val="0"/>
                <w:i w:val="0"/>
                <w:sz w:val="21"/>
              </w:rPr>
              <w:t>待业务方确认：规则编号前缀 YJGS、YJSS、DSYJGZ 的业务含义与各自的编号分段规则，以及规则编号在数据表中的落库位置</w:t>
            </w:r>
          </w:p>
        </w:tc>
      </w:tr>
      <w:tr>
        <w:tc>
          <w:tcPr>
            <w:tcW w:type="dxa" w:w="1701"/>
          </w:tcPr>
          <w:p>
            <w:pPr>
              <w:spacing w:before="20" w:after="20" w:line="276" w:lineRule="auto"/>
              <w:ind w:firstLine="0"/>
            </w:pPr>
            <w:r/>
            <w:r>
              <w:rPr>
                <w:rFonts w:ascii="Times New Roman" w:hAnsi="Times New Roman" w:eastAsia="宋体"/>
                <w:b w:val="0"/>
                <w:i w:val="0"/>
                <w:sz w:val="21"/>
              </w:rPr>
              <w:t>预警规则配置</w:t>
            </w:r>
          </w:p>
        </w:tc>
        <w:tc>
          <w:tcPr>
            <w:tcW w:type="dxa" w:w="7370"/>
          </w:tcPr>
          <w:p>
            <w:pPr>
              <w:spacing w:before="20" w:after="20" w:line="276" w:lineRule="auto"/>
              <w:ind w:firstLine="0"/>
            </w:pPr>
            <w:r/>
            <w:r>
              <w:rPr>
                <w:rFonts w:ascii="Times New Roman" w:hAnsi="Times New Roman" w:eastAsia="宋体"/>
                <w:b w:val="0"/>
                <w:i w:val="0"/>
                <w:sz w:val="21"/>
              </w:rPr>
              <w:t>待业务方确认：规则配置页展示的规则明细、业务品类、业务类型、资金类型、关联指标、是否关联合同、备注等字段目前没有对应的数据字段承载，需确认落库方式</w:t>
            </w:r>
          </w:p>
        </w:tc>
      </w:tr>
      <w:tr>
        <w:tc>
          <w:tcPr>
            <w:tcW w:type="dxa" w:w="1701"/>
          </w:tcPr>
          <w:p>
            <w:pPr>
              <w:spacing w:before="20" w:after="20" w:line="276" w:lineRule="auto"/>
              <w:ind w:firstLine="0"/>
            </w:pPr>
            <w:r/>
            <w:r>
              <w:rPr>
                <w:rFonts w:ascii="Times New Roman" w:hAnsi="Times New Roman" w:eastAsia="宋体"/>
                <w:b w:val="0"/>
                <w:i w:val="0"/>
                <w:sz w:val="21"/>
              </w:rPr>
              <w:t>预警规则配置</w:t>
            </w:r>
          </w:p>
        </w:tc>
        <w:tc>
          <w:tcPr>
            <w:tcW w:type="dxa" w:w="7370"/>
          </w:tcPr>
          <w:p>
            <w:pPr>
              <w:spacing w:before="20" w:after="20" w:line="276" w:lineRule="auto"/>
              <w:ind w:firstLine="0"/>
            </w:pPr>
            <w:r/>
            <w:r>
              <w:rPr>
                <w:rFonts w:ascii="Times New Roman" w:hAnsi="Times New Roman" w:eastAsia="宋体"/>
                <w:b w:val="0"/>
                <w:i w:val="0"/>
                <w:sz w:val="21"/>
              </w:rPr>
              <w:t>待业务方确认：风险等级运行时调整是否需要二次确认、是否回算历史已生成信号与已生成未处理信号的风险等级</w:t>
            </w:r>
          </w:p>
        </w:tc>
      </w:tr>
      <w:tr>
        <w:tc>
          <w:tcPr>
            <w:tcW w:type="dxa" w:w="1701"/>
          </w:tcPr>
          <w:p>
            <w:pPr>
              <w:spacing w:before="20" w:after="20" w:line="276" w:lineRule="auto"/>
              <w:ind w:firstLine="0"/>
            </w:pPr>
            <w:r/>
            <w:r>
              <w:rPr>
                <w:rFonts w:ascii="Times New Roman" w:hAnsi="Times New Roman" w:eastAsia="宋体"/>
                <w:b w:val="0"/>
                <w:i w:val="0"/>
                <w:sz w:val="21"/>
              </w:rPr>
              <w:t>预警规则配置</w:t>
            </w:r>
          </w:p>
        </w:tc>
        <w:tc>
          <w:tcPr>
            <w:tcW w:type="dxa" w:w="7370"/>
          </w:tcPr>
          <w:p>
            <w:pPr>
              <w:spacing w:before="20" w:after="20" w:line="276" w:lineRule="auto"/>
              <w:ind w:firstLine="0"/>
            </w:pPr>
            <w:r/>
            <w:r>
              <w:rPr>
                <w:rFonts w:ascii="Times New Roman" w:hAnsi="Times New Roman" w:eastAsia="宋体"/>
                <w:b w:val="0"/>
                <w:i w:val="0"/>
                <w:sz w:val="21"/>
              </w:rPr>
              <w:t>待业务方确认：交易监控的合同监控、货物监控、发票监控、结算监控 4 个子类型与规则类型 3 值一级枚举的二级字典关系</w:t>
            </w:r>
          </w:p>
        </w:tc>
      </w:tr>
      <w:tr>
        <w:tc>
          <w:tcPr>
            <w:tcW w:type="dxa" w:w="1701"/>
          </w:tcPr>
          <w:p>
            <w:pPr>
              <w:spacing w:before="20" w:after="20" w:line="276" w:lineRule="auto"/>
              <w:ind w:firstLine="0"/>
            </w:pPr>
            <w:r/>
            <w:r>
              <w:rPr>
                <w:rFonts w:ascii="Times New Roman" w:hAnsi="Times New Roman" w:eastAsia="宋体"/>
                <w:b w:val="0"/>
                <w:i w:val="0"/>
                <w:sz w:val="21"/>
              </w:rPr>
              <w:t>预警规则配置</w:t>
            </w:r>
          </w:p>
        </w:tc>
        <w:tc>
          <w:tcPr>
            <w:tcW w:type="dxa" w:w="7370"/>
          </w:tcPr>
          <w:p>
            <w:pPr>
              <w:spacing w:before="20" w:after="20" w:line="276" w:lineRule="auto"/>
              <w:ind w:firstLine="0"/>
            </w:pPr>
            <w:r/>
            <w:r>
              <w:rPr>
                <w:rFonts w:ascii="Times New Roman" w:hAnsi="Times New Roman" w:eastAsia="宋体"/>
                <w:b w:val="0"/>
                <w:i w:val="0"/>
                <w:sz w:val="21"/>
              </w:rPr>
              <w:t>待业务方确认：规则新增与编辑的落地形态、字段清单、校验规则与是否具备草稿态</w:t>
            </w:r>
          </w:p>
        </w:tc>
      </w:tr>
      <w:tr>
        <w:tc>
          <w:tcPr>
            <w:tcW w:type="dxa" w:w="1701"/>
          </w:tcPr>
          <w:p>
            <w:pPr>
              <w:spacing w:before="20" w:after="20" w:line="276" w:lineRule="auto"/>
              <w:ind w:firstLine="0"/>
            </w:pPr>
            <w:r/>
            <w:r>
              <w:rPr>
                <w:rFonts w:ascii="Times New Roman" w:hAnsi="Times New Roman" w:eastAsia="宋体"/>
                <w:b w:val="0"/>
                <w:i w:val="0"/>
                <w:sz w:val="21"/>
              </w:rPr>
              <w:t>预警规则配置</w:t>
            </w:r>
          </w:p>
        </w:tc>
        <w:tc>
          <w:tcPr>
            <w:tcW w:type="dxa" w:w="7370"/>
          </w:tcPr>
          <w:p>
            <w:pPr>
              <w:spacing w:before="20" w:after="20" w:line="276" w:lineRule="auto"/>
              <w:ind w:firstLine="0"/>
            </w:pPr>
            <w:r/>
            <w:r>
              <w:rPr>
                <w:rFonts w:ascii="Times New Roman" w:hAnsi="Times New Roman" w:eastAsia="宋体"/>
                <w:b w:val="0"/>
                <w:i w:val="0"/>
                <w:sz w:val="21"/>
              </w:rPr>
              <w:t>待业务方确认：价格波动规则类型中最近若干自然日的参数取值范围与是否必填，以及各地现货交易最高限价的数据来源与维护方</w:t>
            </w:r>
          </w:p>
        </w:tc>
      </w:tr>
      <w:tr>
        <w:tc>
          <w:tcPr>
            <w:tcW w:type="dxa" w:w="1701"/>
          </w:tcPr>
          <w:p>
            <w:pPr>
              <w:spacing w:before="20" w:after="20" w:line="276" w:lineRule="auto"/>
              <w:ind w:firstLine="0"/>
            </w:pPr>
            <w:r/>
            <w:r>
              <w:rPr>
                <w:rFonts w:ascii="Times New Roman" w:hAnsi="Times New Roman" w:eastAsia="宋体"/>
                <w:b w:val="0"/>
                <w:i w:val="0"/>
                <w:sz w:val="21"/>
              </w:rPr>
              <w:t>预警规则配置</w:t>
            </w:r>
          </w:p>
        </w:tc>
        <w:tc>
          <w:tcPr>
            <w:tcW w:type="dxa" w:w="7370"/>
          </w:tcPr>
          <w:p>
            <w:pPr>
              <w:spacing w:before="20" w:after="20" w:line="276" w:lineRule="auto"/>
              <w:ind w:firstLine="0"/>
            </w:pPr>
            <w:r/>
            <w:r>
              <w:rPr>
                <w:rFonts w:ascii="Times New Roman" w:hAnsi="Times New Roman" w:eastAsia="宋体"/>
                <w:b w:val="0"/>
                <w:i w:val="0"/>
                <w:sz w:val="21"/>
              </w:rPr>
              <w:t>待业务方确认：业务品种与业务品类两个字段名是否指同一本字典</w:t>
            </w:r>
          </w:p>
        </w:tc>
      </w:tr>
      <w:tr>
        <w:tc>
          <w:tcPr>
            <w:tcW w:type="dxa" w:w="1701"/>
          </w:tcPr>
          <w:p>
            <w:pPr>
              <w:spacing w:before="20" w:after="20" w:line="276" w:lineRule="auto"/>
              <w:ind w:firstLine="0"/>
            </w:pPr>
            <w:r/>
            <w:r>
              <w:rPr>
                <w:rFonts w:ascii="Times New Roman" w:hAnsi="Times New Roman" w:eastAsia="宋体"/>
                <w:b w:val="0"/>
                <w:i w:val="0"/>
                <w:sz w:val="21"/>
              </w:rPr>
              <w:t>预警规则配置</w:t>
            </w:r>
          </w:p>
        </w:tc>
        <w:tc>
          <w:tcPr>
            <w:tcW w:type="dxa" w:w="7370"/>
          </w:tcPr>
          <w:p>
            <w:pPr>
              <w:spacing w:before="20" w:after="20" w:line="276" w:lineRule="auto"/>
              <w:ind w:firstLine="0"/>
            </w:pPr>
            <w:r/>
            <w:r>
              <w:rPr>
                <w:rFonts w:ascii="Times New Roman" w:hAnsi="Times New Roman" w:eastAsia="宋体"/>
                <w:b w:val="0"/>
                <w:i w:val="0"/>
                <w:sz w:val="21"/>
              </w:rPr>
              <w:t>待业务方确认：规则启停开关与风险等级调整的执行角色，以及批量启停是否需要支持</w:t>
            </w:r>
          </w:p>
        </w:tc>
      </w:tr>
      <w:tr>
        <w:tc>
          <w:tcPr>
            <w:tcW w:type="dxa" w:w="1701"/>
          </w:tcPr>
          <w:p>
            <w:pPr>
              <w:spacing w:before="20" w:after="20" w:line="276" w:lineRule="auto"/>
              <w:ind w:firstLine="0"/>
            </w:pPr>
            <w:r/>
            <w:r>
              <w:rPr>
                <w:rFonts w:ascii="Times New Roman" w:hAnsi="Times New Roman" w:eastAsia="宋体"/>
                <w:b w:val="0"/>
                <w:i w:val="0"/>
                <w:sz w:val="21"/>
              </w:rPr>
              <w:t>数据中心</w:t>
            </w:r>
          </w:p>
        </w:tc>
        <w:tc>
          <w:tcPr>
            <w:tcW w:type="dxa" w:w="7370"/>
          </w:tcPr>
          <w:p>
            <w:pPr>
              <w:spacing w:before="20" w:after="20" w:line="276" w:lineRule="auto"/>
              <w:ind w:firstLine="0"/>
            </w:pPr>
            <w:r/>
            <w:r>
              <w:rPr>
                <w:rFonts w:ascii="Times New Roman" w:hAnsi="Times New Roman" w:eastAsia="宋体"/>
                <w:b w:val="0"/>
                <w:i w:val="0"/>
                <w:sz w:val="21"/>
              </w:rPr>
              <w:t>待业务方确认：驾驶舱的唯一入口页面，驾驶舱与旧版看板两个页面并存，菜单当前指向其中一个，需确认保留哪一个作为正式首页</w:t>
            </w:r>
          </w:p>
        </w:tc>
      </w:tr>
      <w:tr>
        <w:tc>
          <w:tcPr>
            <w:tcW w:type="dxa" w:w="1701"/>
          </w:tcPr>
          <w:p>
            <w:pPr>
              <w:spacing w:before="20" w:after="20" w:line="276" w:lineRule="auto"/>
              <w:ind w:firstLine="0"/>
            </w:pPr>
            <w:r/>
            <w:r>
              <w:rPr>
                <w:rFonts w:ascii="Times New Roman" w:hAnsi="Times New Roman" w:eastAsia="宋体"/>
                <w:b w:val="0"/>
                <w:i w:val="0"/>
                <w:sz w:val="21"/>
              </w:rPr>
              <w:t>数据中心</w:t>
            </w:r>
          </w:p>
        </w:tc>
        <w:tc>
          <w:tcPr>
            <w:tcW w:type="dxa" w:w="7370"/>
          </w:tcPr>
          <w:p>
            <w:pPr>
              <w:spacing w:before="20" w:after="20" w:line="276" w:lineRule="auto"/>
              <w:ind w:firstLine="0"/>
            </w:pPr>
            <w:r/>
            <w:r>
              <w:rPr>
                <w:rFonts w:ascii="Times New Roman" w:hAnsi="Times New Roman" w:eastAsia="宋体"/>
                <w:b w:val="0"/>
                <w:i w:val="0"/>
                <w:sz w:val="21"/>
              </w:rPr>
              <w:t>待业务方确认：驾驶舱区块口径，7 列卡片、5 大 KPI 加 4 张图表、9 项业务指标三套描述并存，区块排布与 KPI 与图表的对应关系需统一</w:t>
            </w:r>
          </w:p>
        </w:tc>
      </w:tr>
      <w:tr>
        <w:tc>
          <w:tcPr>
            <w:tcW w:type="dxa" w:w="1701"/>
          </w:tcPr>
          <w:p>
            <w:pPr>
              <w:spacing w:before="20" w:after="20" w:line="276" w:lineRule="auto"/>
              <w:ind w:firstLine="0"/>
            </w:pPr>
            <w:r/>
            <w:r>
              <w:rPr>
                <w:rFonts w:ascii="Times New Roman" w:hAnsi="Times New Roman" w:eastAsia="宋体"/>
                <w:b w:val="0"/>
                <w:i w:val="0"/>
                <w:sz w:val="21"/>
              </w:rPr>
              <w:t>数据中心</w:t>
            </w:r>
          </w:p>
        </w:tc>
        <w:tc>
          <w:tcPr>
            <w:tcW w:type="dxa" w:w="7370"/>
          </w:tcPr>
          <w:p>
            <w:pPr>
              <w:spacing w:before="20" w:after="20" w:line="276" w:lineRule="auto"/>
              <w:ind w:firstLine="0"/>
            </w:pPr>
            <w:r/>
            <w:r>
              <w:rPr>
                <w:rFonts w:ascii="Times New Roman" w:hAnsi="Times New Roman" w:eastAsia="宋体"/>
                <w:b w:val="0"/>
                <w:i w:val="0"/>
                <w:sz w:val="21"/>
              </w:rPr>
              <w:t>待业务方确认：风控统计报表与合规验证报告两页的完整列名、筛选枚举与状态取值口径</w:t>
            </w:r>
          </w:p>
        </w:tc>
      </w:tr>
      <w:tr>
        <w:tc>
          <w:tcPr>
            <w:tcW w:type="dxa" w:w="1701"/>
          </w:tcPr>
          <w:p>
            <w:pPr>
              <w:spacing w:before="20" w:after="20" w:line="276" w:lineRule="auto"/>
              <w:ind w:firstLine="0"/>
            </w:pPr>
            <w:r/>
            <w:r>
              <w:rPr>
                <w:rFonts w:ascii="Times New Roman" w:hAnsi="Times New Roman" w:eastAsia="宋体"/>
                <w:b w:val="0"/>
                <w:i w:val="0"/>
                <w:sz w:val="21"/>
              </w:rPr>
              <w:t>数据中心</w:t>
            </w:r>
          </w:p>
        </w:tc>
        <w:tc>
          <w:tcPr>
            <w:tcW w:type="dxa" w:w="7370"/>
          </w:tcPr>
          <w:p>
            <w:pPr>
              <w:spacing w:before="20" w:after="20" w:line="276" w:lineRule="auto"/>
              <w:ind w:firstLine="0"/>
            </w:pPr>
            <w:r/>
            <w:r>
              <w:rPr>
                <w:rFonts w:ascii="Times New Roman" w:hAnsi="Times New Roman" w:eastAsia="宋体"/>
                <w:b w:val="0"/>
                <w:i w:val="0"/>
                <w:sz w:val="21"/>
              </w:rPr>
              <w:t>待业务方确认：合规验证报告的十不准 10 条内容、四流的 4 流定义、25 项以上检查项的完整清单、8 类风险的判定规则与关键检查项定义</w:t>
            </w:r>
          </w:p>
        </w:tc>
      </w:tr>
      <w:tr>
        <w:tc>
          <w:tcPr>
            <w:tcW w:type="dxa" w:w="1701"/>
          </w:tcPr>
          <w:p>
            <w:pPr>
              <w:spacing w:before="20" w:after="20" w:line="276" w:lineRule="auto"/>
              <w:ind w:firstLine="0"/>
            </w:pPr>
            <w:r/>
            <w:r>
              <w:rPr>
                <w:rFonts w:ascii="Times New Roman" w:hAnsi="Times New Roman" w:eastAsia="宋体"/>
                <w:b w:val="0"/>
                <w:i w:val="0"/>
                <w:sz w:val="21"/>
              </w:rPr>
              <w:t>数据中心</w:t>
            </w:r>
          </w:p>
        </w:tc>
        <w:tc>
          <w:tcPr>
            <w:tcW w:type="dxa" w:w="7370"/>
          </w:tcPr>
          <w:p>
            <w:pPr>
              <w:spacing w:before="20" w:after="20" w:line="276" w:lineRule="auto"/>
              <w:ind w:firstLine="0"/>
            </w:pPr>
            <w:r/>
            <w:r>
              <w:rPr>
                <w:rFonts w:ascii="Times New Roman" w:hAnsi="Times New Roman" w:eastAsia="宋体"/>
                <w:b w:val="0"/>
                <w:i w:val="0"/>
                <w:sz w:val="21"/>
              </w:rPr>
              <w:t>待业务方确认：整改跟踪、实时活动、催办 3 个写操作区的字段、参与角色与确认文案</w:t>
            </w:r>
          </w:p>
        </w:tc>
      </w:tr>
      <w:tr>
        <w:tc>
          <w:tcPr>
            <w:tcW w:type="dxa" w:w="1701"/>
          </w:tcPr>
          <w:p>
            <w:pPr>
              <w:spacing w:before="20" w:after="20" w:line="276" w:lineRule="auto"/>
              <w:ind w:firstLine="0"/>
            </w:pPr>
            <w:r/>
            <w:r>
              <w:rPr>
                <w:rFonts w:ascii="Times New Roman" w:hAnsi="Times New Roman" w:eastAsia="宋体"/>
                <w:b w:val="0"/>
                <w:i w:val="0"/>
                <w:sz w:val="21"/>
              </w:rPr>
              <w:t>数据中心</w:t>
            </w:r>
          </w:p>
        </w:tc>
        <w:tc>
          <w:tcPr>
            <w:tcW w:type="dxa" w:w="7370"/>
          </w:tcPr>
          <w:p>
            <w:pPr>
              <w:spacing w:before="20" w:after="20" w:line="276" w:lineRule="auto"/>
              <w:ind w:firstLine="0"/>
            </w:pPr>
            <w:r/>
            <w:r>
              <w:rPr>
                <w:rFonts w:ascii="Times New Roman" w:hAnsi="Times New Roman" w:eastAsia="宋体"/>
                <w:b w:val="0"/>
                <w:i w:val="0"/>
                <w:sz w:val="21"/>
              </w:rPr>
              <w:t>待业务方确认：各报表的数据行级可见范围，即谁能看到哪些项目、业务线与客户；以及数据导出是否受同一范围约束</w:t>
            </w:r>
          </w:p>
        </w:tc>
      </w:tr>
      <w:tr>
        <w:tc>
          <w:tcPr>
            <w:tcW w:type="dxa" w:w="1701"/>
          </w:tcPr>
          <w:p>
            <w:pPr>
              <w:spacing w:before="20" w:after="20" w:line="276" w:lineRule="auto"/>
              <w:ind w:firstLine="0"/>
            </w:pPr>
            <w:r/>
            <w:r>
              <w:rPr>
                <w:rFonts w:ascii="Times New Roman" w:hAnsi="Times New Roman" w:eastAsia="宋体"/>
                <w:b w:val="0"/>
                <w:i w:val="0"/>
                <w:sz w:val="21"/>
              </w:rPr>
              <w:t>数据中心</w:t>
            </w:r>
          </w:p>
        </w:tc>
        <w:tc>
          <w:tcPr>
            <w:tcW w:type="dxa" w:w="7370"/>
          </w:tcPr>
          <w:p>
            <w:pPr>
              <w:spacing w:before="20" w:after="20" w:line="276" w:lineRule="auto"/>
              <w:ind w:firstLine="0"/>
            </w:pPr>
            <w:r/>
            <w:r>
              <w:rPr>
                <w:rFonts w:ascii="Times New Roman" w:hAnsi="Times New Roman" w:eastAsia="宋体"/>
                <w:b w:val="0"/>
                <w:i w:val="0"/>
                <w:sz w:val="21"/>
              </w:rPr>
              <w:t>待业务方确认：驾驶舱数据刷新的频率、推送方式与刷新范围</w:t>
            </w:r>
          </w:p>
        </w:tc>
      </w:tr>
      <w:tr>
        <w:tc>
          <w:tcPr>
            <w:tcW w:type="dxa" w:w="1701"/>
          </w:tcPr>
          <w:p>
            <w:pPr>
              <w:spacing w:before="20" w:after="20" w:line="276" w:lineRule="auto"/>
              <w:ind w:firstLine="0"/>
            </w:pPr>
            <w:r/>
            <w:r>
              <w:rPr>
                <w:rFonts w:ascii="Times New Roman" w:hAnsi="Times New Roman" w:eastAsia="宋体"/>
                <w:b w:val="0"/>
                <w:i w:val="0"/>
                <w:sz w:val="21"/>
              </w:rPr>
              <w:t>数据中心</w:t>
            </w:r>
          </w:p>
        </w:tc>
        <w:tc>
          <w:tcPr>
            <w:tcW w:type="dxa" w:w="7370"/>
          </w:tcPr>
          <w:p>
            <w:pPr>
              <w:spacing w:before="20" w:after="20" w:line="276" w:lineRule="auto"/>
              <w:ind w:firstLine="0"/>
            </w:pPr>
            <w:r/>
            <w:r>
              <w:rPr>
                <w:rFonts w:ascii="Times New Roman" w:hAnsi="Times New Roman" w:eastAsia="宋体"/>
                <w:b w:val="0"/>
                <w:i w:val="0"/>
                <w:sz w:val="21"/>
              </w:rPr>
              <w:t>待业务方确认：驾驶舱导出报告的文件格式，页面级说明写导出 PDF，与全站仅准入管理整体报告可导出 PDF 的口径不一致</w:t>
            </w:r>
          </w:p>
        </w:tc>
      </w:tr>
      <w:tr>
        <w:tc>
          <w:tcPr>
            <w:tcW w:type="dxa" w:w="1701"/>
          </w:tcPr>
          <w:p>
            <w:pPr>
              <w:spacing w:before="20" w:after="20" w:line="276" w:lineRule="auto"/>
              <w:ind w:firstLine="0"/>
            </w:pPr>
            <w:r/>
            <w:r>
              <w:rPr>
                <w:rFonts w:ascii="Times New Roman" w:hAnsi="Times New Roman" w:eastAsia="宋体"/>
                <w:b w:val="0"/>
                <w:i w:val="0"/>
                <w:sz w:val="21"/>
              </w:rPr>
              <w:t>数据中心</w:t>
            </w:r>
          </w:p>
        </w:tc>
        <w:tc>
          <w:tcPr>
            <w:tcW w:type="dxa" w:w="7370"/>
          </w:tcPr>
          <w:p>
            <w:pPr>
              <w:spacing w:before="20" w:after="20" w:line="276" w:lineRule="auto"/>
              <w:ind w:firstLine="0"/>
            </w:pPr>
            <w:r/>
            <w:r>
              <w:rPr>
                <w:rFonts w:ascii="Times New Roman" w:hAnsi="Times New Roman" w:eastAsia="宋体"/>
                <w:b w:val="0"/>
                <w:i w:val="0"/>
                <w:sz w:val="21"/>
              </w:rPr>
              <w:t>待业务方确认：风险未及时处理的逾期天数阈值与库存为负数的判定口径</w:t>
            </w:r>
          </w:p>
        </w:tc>
      </w:tr>
      <w:tr>
        <w:tc>
          <w:tcPr>
            <w:tcW w:type="dxa" w:w="1701"/>
          </w:tcPr>
          <w:p>
            <w:pPr>
              <w:spacing w:before="20" w:after="20" w:line="276" w:lineRule="auto"/>
              <w:ind w:firstLine="0"/>
            </w:pPr>
            <w:r/>
            <w:r>
              <w:rPr>
                <w:rFonts w:ascii="Times New Roman" w:hAnsi="Times New Roman" w:eastAsia="宋体"/>
                <w:b w:val="0"/>
                <w:i w:val="0"/>
                <w:sz w:val="21"/>
              </w:rPr>
              <w:t>数据中心</w:t>
            </w:r>
          </w:p>
        </w:tc>
        <w:tc>
          <w:tcPr>
            <w:tcW w:type="dxa" w:w="7370"/>
          </w:tcPr>
          <w:p>
            <w:pPr>
              <w:spacing w:before="20" w:after="20" w:line="276" w:lineRule="auto"/>
              <w:ind w:firstLine="0"/>
            </w:pPr>
            <w:r/>
            <w:r>
              <w:rPr>
                <w:rFonts w:ascii="Times New Roman" w:hAnsi="Times New Roman" w:eastAsia="宋体"/>
                <w:b w:val="0"/>
                <w:i w:val="0"/>
                <w:sz w:val="21"/>
              </w:rPr>
              <w:t>待业务方确认：合规验证报告的合规状态 3 档是否已定稿，以及各状态对应的英文枚举值</w:t>
            </w:r>
          </w:p>
        </w:tc>
      </w:tr>
    </w:tbl>
    <w:p>
      <w:pPr>
        <w:spacing w:before="0" w:after="0" w:line="240" w:lineRule="auto"/>
      </w:pPr>
    </w:p>
    <w:p>
      <w:r>
        <w:br w:type="page"/>
      </w:r>
    </w:p>
    <w:p>
      <w:pPr>
        <w:pStyle w:val="Heading1"/>
        <w:keepNext/>
        <w:spacing w:before="360" w:after="200" w:line="312" w:lineRule="auto"/>
        <w:ind w:firstLine="0"/>
      </w:pPr>
      <w:r>
        <w:rPr>
          <w:rFonts w:ascii="Times New Roman" w:hAnsi="Times New Roman" w:eastAsia="黑体"/>
          <w:b/>
          <w:i w:val="0"/>
          <w:sz w:val="32"/>
        </w:rPr>
        <w:t>附录 A　页面索引</w:t>
      </w:r>
    </w:p>
    <w:p>
      <w:pPr>
        <w:spacing w:before="0" w:after="120" w:line="360" w:lineRule="auto"/>
      </w:pPr>
      <w:r>
        <w:rPr>
          <w:rFonts w:ascii="Times New Roman" w:hAnsi="Times New Roman" w:eastAsia="宋体"/>
          <w:b w:val="0"/>
          <w:i w:val="0"/>
          <w:sz w:val="24"/>
        </w:rPr>
        <w:t>共 99 个需求条目页面，文件均位于原型目录 pages/ 下。</w:t>
      </w:r>
    </w:p>
    <w:tbl>
      <w:tblPr>
        <w:tblStyle w:val="TableGrid"/>
        <w:tblW w:type="auto" w:w="0"/>
        <w:jc w:val="center"/>
        <w:tblLayout w:type="fixed"/>
        <w:tblLook w:firstColumn="1" w:firstRow="1" w:lastColumn="0" w:lastRow="0" w:noHBand="0" w:noVBand="1" w:val="04A0"/>
      </w:tblPr>
      <w:tblGrid>
        <w:gridCol w:w="2986"/>
        <w:gridCol w:w="2986"/>
        <w:gridCol w:w="2986"/>
      </w:tblGrid>
      <w:tr>
        <w:trPr>
          <w:tblHeader w:val="true"/>
        </w:trPr>
        <w:tc>
          <w:tcPr>
            <w:tcW w:type="dxa" w:w="1701"/>
            <w:shd w:val="clear" w:color="auto" w:fill="DCE6F1"/>
          </w:tcPr>
          <w:p>
            <w:pPr>
              <w:spacing w:before="40" w:after="40" w:line="276" w:lineRule="auto"/>
              <w:jc w:val="center"/>
            </w:pPr>
            <w:r/>
            <w:r>
              <w:rPr>
                <w:rFonts w:ascii="Times New Roman" w:hAnsi="Times New Roman" w:eastAsia="黑体"/>
                <w:b/>
                <w:i w:val="0"/>
                <w:sz w:val="19"/>
              </w:rPr>
              <w:t>所属模块</w:t>
            </w:r>
          </w:p>
        </w:tc>
        <w:tc>
          <w:tcPr>
            <w:tcW w:type="dxa" w:w="3402"/>
            <w:shd w:val="clear" w:color="auto" w:fill="DCE6F1"/>
          </w:tcPr>
          <w:p>
            <w:pPr>
              <w:spacing w:before="40" w:after="40" w:line="276" w:lineRule="auto"/>
              <w:jc w:val="center"/>
            </w:pPr>
            <w:r/>
            <w:r>
              <w:rPr>
                <w:rFonts w:ascii="Times New Roman" w:hAnsi="Times New Roman" w:eastAsia="黑体"/>
                <w:b/>
                <w:i w:val="0"/>
                <w:sz w:val="19"/>
              </w:rPr>
              <w:t>页面名称</w:t>
            </w:r>
          </w:p>
        </w:tc>
        <w:tc>
          <w:tcPr>
            <w:tcW w:type="dxa" w:w="3969"/>
            <w:shd w:val="clear" w:color="auto" w:fill="DCE6F1"/>
          </w:tcPr>
          <w:p>
            <w:pPr>
              <w:spacing w:before="40" w:after="40" w:line="276" w:lineRule="auto"/>
              <w:jc w:val="center"/>
            </w:pPr>
            <w:r/>
            <w:r>
              <w:rPr>
                <w:rFonts w:ascii="Times New Roman" w:hAnsi="Times New Roman" w:eastAsia="黑体"/>
                <w:b/>
                <w:i w:val="0"/>
                <w:sz w:val="19"/>
              </w:rPr>
              <w:t>原型文件</w:t>
            </w:r>
          </w:p>
        </w:tc>
      </w:tr>
      <w:tr>
        <w:tc>
          <w:tcPr>
            <w:tcW w:type="dxa" w:w="1701"/>
          </w:tcPr>
          <w:p>
            <w:pPr>
              <w:spacing w:before="20" w:after="20" w:line="276" w:lineRule="auto"/>
              <w:ind w:firstLine="0"/>
            </w:pPr>
            <w:r/>
            <w:r>
              <w:rPr>
                <w:rFonts w:ascii="Times New Roman" w:hAnsi="Times New Roman" w:eastAsia="宋体"/>
                <w:b w:val="0"/>
                <w:i w:val="0"/>
                <w:sz w:val="19"/>
              </w:rPr>
              <w:t>项目准入</w:t>
            </w:r>
          </w:p>
        </w:tc>
        <w:tc>
          <w:tcPr>
            <w:tcW w:type="dxa" w:w="3402"/>
          </w:tcPr>
          <w:p>
            <w:pPr>
              <w:spacing w:before="20" w:after="20" w:line="276" w:lineRule="auto"/>
              <w:ind w:firstLine="0"/>
            </w:pPr>
            <w:r/>
            <w:r>
              <w:rPr>
                <w:rFonts w:ascii="Times New Roman" w:hAnsi="Times New Roman" w:eastAsia="宋体"/>
                <w:b w:val="0"/>
                <w:i w:val="0"/>
                <w:sz w:val="19"/>
              </w:rPr>
              <w:t>项目列表页</w:t>
            </w:r>
          </w:p>
        </w:tc>
        <w:tc>
          <w:tcPr>
            <w:tcW w:type="dxa" w:w="3969"/>
          </w:tcPr>
          <w:p>
            <w:pPr>
              <w:spacing w:before="20" w:after="20" w:line="276" w:lineRule="auto"/>
              <w:ind w:firstLine="0"/>
            </w:pPr>
            <w:r/>
            <w:r>
              <w:rPr>
                <w:rFonts w:ascii="Times New Roman" w:hAnsi="Times New Roman" w:eastAsia="宋体"/>
                <w:b w:val="0"/>
                <w:i w:val="0"/>
                <w:sz w:val="19"/>
              </w:rPr>
              <w:t>project-list.html</w:t>
            </w:r>
          </w:p>
        </w:tc>
      </w:tr>
      <w:tr>
        <w:tc>
          <w:tcPr>
            <w:tcW w:type="dxa" w:w="1701"/>
          </w:tcPr>
          <w:p>
            <w:pPr>
              <w:spacing w:before="20" w:after="20" w:line="276" w:lineRule="auto"/>
              <w:ind w:firstLine="0"/>
            </w:pPr>
            <w:r/>
            <w:r>
              <w:rPr>
                <w:rFonts w:ascii="Times New Roman" w:hAnsi="Times New Roman" w:eastAsia="宋体"/>
                <w:b w:val="0"/>
                <w:i w:val="0"/>
                <w:sz w:val="19"/>
              </w:rPr>
              <w:t>项目准入</w:t>
            </w:r>
          </w:p>
        </w:tc>
        <w:tc>
          <w:tcPr>
            <w:tcW w:type="dxa" w:w="3402"/>
          </w:tcPr>
          <w:p>
            <w:pPr>
              <w:spacing w:before="20" w:after="20" w:line="276" w:lineRule="auto"/>
              <w:ind w:firstLine="0"/>
            </w:pPr>
            <w:r/>
            <w:r>
              <w:rPr>
                <w:rFonts w:ascii="Times New Roman" w:hAnsi="Times New Roman" w:eastAsia="宋体"/>
                <w:b w:val="0"/>
                <w:i w:val="0"/>
                <w:sz w:val="19"/>
              </w:rPr>
              <w:t>项目立项申请页</w:t>
            </w:r>
          </w:p>
        </w:tc>
        <w:tc>
          <w:tcPr>
            <w:tcW w:type="dxa" w:w="3969"/>
          </w:tcPr>
          <w:p>
            <w:pPr>
              <w:spacing w:before="20" w:after="20" w:line="276" w:lineRule="auto"/>
              <w:ind w:firstLine="0"/>
            </w:pPr>
            <w:r/>
            <w:r>
              <w:rPr>
                <w:rFonts w:ascii="Times New Roman" w:hAnsi="Times New Roman" w:eastAsia="宋体"/>
                <w:b w:val="0"/>
                <w:i w:val="0"/>
                <w:sz w:val="19"/>
              </w:rPr>
              <w:t>project-apply.html</w:t>
            </w:r>
          </w:p>
        </w:tc>
      </w:tr>
      <w:tr>
        <w:tc>
          <w:tcPr>
            <w:tcW w:type="dxa" w:w="1701"/>
          </w:tcPr>
          <w:p>
            <w:pPr>
              <w:spacing w:before="20" w:after="20" w:line="276" w:lineRule="auto"/>
              <w:ind w:firstLine="0"/>
            </w:pPr>
            <w:r/>
            <w:r>
              <w:rPr>
                <w:rFonts w:ascii="Times New Roman" w:hAnsi="Times New Roman" w:eastAsia="宋体"/>
                <w:b w:val="0"/>
                <w:i w:val="0"/>
                <w:sz w:val="19"/>
              </w:rPr>
              <w:t>项目准入</w:t>
            </w:r>
          </w:p>
        </w:tc>
        <w:tc>
          <w:tcPr>
            <w:tcW w:type="dxa" w:w="3402"/>
          </w:tcPr>
          <w:p>
            <w:pPr>
              <w:spacing w:before="20" w:after="20" w:line="276" w:lineRule="auto"/>
              <w:ind w:firstLine="0"/>
            </w:pPr>
            <w:r/>
            <w:r>
              <w:rPr>
                <w:rFonts w:ascii="Times New Roman" w:hAnsi="Times New Roman" w:eastAsia="宋体"/>
                <w:b w:val="0"/>
                <w:i w:val="0"/>
                <w:sz w:val="19"/>
              </w:rPr>
              <w:t>项目详情页</w:t>
            </w:r>
          </w:p>
        </w:tc>
        <w:tc>
          <w:tcPr>
            <w:tcW w:type="dxa" w:w="3969"/>
          </w:tcPr>
          <w:p>
            <w:pPr>
              <w:spacing w:before="20" w:after="20" w:line="276" w:lineRule="auto"/>
              <w:ind w:firstLine="0"/>
            </w:pPr>
            <w:r/>
            <w:r>
              <w:rPr>
                <w:rFonts w:ascii="Times New Roman" w:hAnsi="Times New Roman" w:eastAsia="宋体"/>
                <w:b w:val="0"/>
                <w:i w:val="0"/>
                <w:sz w:val="19"/>
              </w:rPr>
              <w:t>project-detail.html</w:t>
            </w:r>
          </w:p>
        </w:tc>
      </w:tr>
      <w:tr>
        <w:tc>
          <w:tcPr>
            <w:tcW w:type="dxa" w:w="1701"/>
          </w:tcPr>
          <w:p>
            <w:pPr>
              <w:spacing w:before="20" w:after="20" w:line="276" w:lineRule="auto"/>
              <w:ind w:firstLine="0"/>
            </w:pPr>
            <w:r/>
            <w:r>
              <w:rPr>
                <w:rFonts w:ascii="Times New Roman" w:hAnsi="Times New Roman" w:eastAsia="宋体"/>
                <w:b w:val="0"/>
                <w:i w:val="0"/>
                <w:sz w:val="19"/>
              </w:rPr>
              <w:t>客户准入</w:t>
            </w:r>
          </w:p>
        </w:tc>
        <w:tc>
          <w:tcPr>
            <w:tcW w:type="dxa" w:w="3402"/>
          </w:tcPr>
          <w:p>
            <w:pPr>
              <w:spacing w:before="20" w:after="20" w:line="276" w:lineRule="auto"/>
              <w:ind w:firstLine="0"/>
            </w:pPr>
            <w:r/>
            <w:r>
              <w:rPr>
                <w:rFonts w:ascii="Times New Roman" w:hAnsi="Times New Roman" w:eastAsia="宋体"/>
                <w:b w:val="0"/>
                <w:i w:val="0"/>
                <w:sz w:val="19"/>
              </w:rPr>
              <w:t>客户列表页</w:t>
            </w:r>
          </w:p>
        </w:tc>
        <w:tc>
          <w:tcPr>
            <w:tcW w:type="dxa" w:w="3969"/>
          </w:tcPr>
          <w:p>
            <w:pPr>
              <w:spacing w:before="20" w:after="20" w:line="276" w:lineRule="auto"/>
              <w:ind w:firstLine="0"/>
            </w:pPr>
            <w:r/>
            <w:r>
              <w:rPr>
                <w:rFonts w:ascii="Times New Roman" w:hAnsi="Times New Roman" w:eastAsia="宋体"/>
                <w:b w:val="0"/>
                <w:i w:val="0"/>
                <w:sz w:val="19"/>
              </w:rPr>
              <w:t>customer-list.html</w:t>
            </w:r>
          </w:p>
        </w:tc>
      </w:tr>
      <w:tr>
        <w:tc>
          <w:tcPr>
            <w:tcW w:type="dxa" w:w="1701"/>
          </w:tcPr>
          <w:p>
            <w:pPr>
              <w:spacing w:before="20" w:after="20" w:line="276" w:lineRule="auto"/>
              <w:ind w:firstLine="0"/>
            </w:pPr>
            <w:r/>
            <w:r>
              <w:rPr>
                <w:rFonts w:ascii="Times New Roman" w:hAnsi="Times New Roman" w:eastAsia="宋体"/>
                <w:b w:val="0"/>
                <w:i w:val="0"/>
                <w:sz w:val="19"/>
              </w:rPr>
              <w:t>客户准入</w:t>
            </w:r>
          </w:p>
        </w:tc>
        <w:tc>
          <w:tcPr>
            <w:tcW w:type="dxa" w:w="3402"/>
          </w:tcPr>
          <w:p>
            <w:pPr>
              <w:spacing w:before="20" w:after="20" w:line="276" w:lineRule="auto"/>
              <w:ind w:firstLine="0"/>
            </w:pPr>
            <w:r/>
            <w:r>
              <w:rPr>
                <w:rFonts w:ascii="Times New Roman" w:hAnsi="Times New Roman" w:eastAsia="宋体"/>
                <w:b w:val="0"/>
                <w:i w:val="0"/>
                <w:sz w:val="19"/>
              </w:rPr>
              <w:t>客户准入申请页</w:t>
            </w:r>
          </w:p>
        </w:tc>
        <w:tc>
          <w:tcPr>
            <w:tcW w:type="dxa" w:w="3969"/>
          </w:tcPr>
          <w:p>
            <w:pPr>
              <w:spacing w:before="20" w:after="20" w:line="276" w:lineRule="auto"/>
              <w:ind w:firstLine="0"/>
            </w:pPr>
            <w:r/>
            <w:r>
              <w:rPr>
                <w:rFonts w:ascii="Times New Roman" w:hAnsi="Times New Roman" w:eastAsia="宋体"/>
                <w:b w:val="0"/>
                <w:i w:val="0"/>
                <w:sz w:val="19"/>
              </w:rPr>
              <w:t>customer-apply.html</w:t>
            </w:r>
          </w:p>
        </w:tc>
      </w:tr>
      <w:tr>
        <w:tc>
          <w:tcPr>
            <w:tcW w:type="dxa" w:w="1701"/>
          </w:tcPr>
          <w:p>
            <w:pPr>
              <w:spacing w:before="20" w:after="20" w:line="276" w:lineRule="auto"/>
              <w:ind w:firstLine="0"/>
            </w:pPr>
            <w:r/>
            <w:r>
              <w:rPr>
                <w:rFonts w:ascii="Times New Roman" w:hAnsi="Times New Roman" w:eastAsia="宋体"/>
                <w:b w:val="0"/>
                <w:i w:val="0"/>
                <w:sz w:val="19"/>
              </w:rPr>
              <w:t>客户准入</w:t>
            </w:r>
          </w:p>
        </w:tc>
        <w:tc>
          <w:tcPr>
            <w:tcW w:type="dxa" w:w="3402"/>
          </w:tcPr>
          <w:p>
            <w:pPr>
              <w:spacing w:before="20" w:after="20" w:line="276" w:lineRule="auto"/>
              <w:ind w:firstLine="0"/>
            </w:pPr>
            <w:r/>
            <w:r>
              <w:rPr>
                <w:rFonts w:ascii="Times New Roman" w:hAnsi="Times New Roman" w:eastAsia="宋体"/>
                <w:b w:val="0"/>
                <w:i w:val="0"/>
                <w:sz w:val="19"/>
              </w:rPr>
              <w:t>客户详情页</w:t>
            </w:r>
          </w:p>
        </w:tc>
        <w:tc>
          <w:tcPr>
            <w:tcW w:type="dxa" w:w="3969"/>
          </w:tcPr>
          <w:p>
            <w:pPr>
              <w:spacing w:before="20" w:after="20" w:line="276" w:lineRule="auto"/>
              <w:ind w:firstLine="0"/>
            </w:pPr>
            <w:r/>
            <w:r>
              <w:rPr>
                <w:rFonts w:ascii="Times New Roman" w:hAnsi="Times New Roman" w:eastAsia="宋体"/>
                <w:b w:val="0"/>
                <w:i w:val="0"/>
                <w:sz w:val="19"/>
              </w:rPr>
              <w:t>customer-detail.html</w:t>
            </w:r>
          </w:p>
        </w:tc>
      </w:tr>
      <w:tr>
        <w:tc>
          <w:tcPr>
            <w:tcW w:type="dxa" w:w="1701"/>
          </w:tcPr>
          <w:p>
            <w:pPr>
              <w:spacing w:before="20" w:after="20" w:line="276" w:lineRule="auto"/>
              <w:ind w:firstLine="0"/>
            </w:pPr>
            <w:r/>
            <w:r>
              <w:rPr>
                <w:rFonts w:ascii="Times New Roman" w:hAnsi="Times New Roman" w:eastAsia="宋体"/>
                <w:b w:val="0"/>
                <w:i w:val="0"/>
                <w:sz w:val="19"/>
              </w:rPr>
              <w:t>黑名单管理</w:t>
            </w:r>
          </w:p>
        </w:tc>
        <w:tc>
          <w:tcPr>
            <w:tcW w:type="dxa" w:w="3402"/>
          </w:tcPr>
          <w:p>
            <w:pPr>
              <w:spacing w:before="20" w:after="20" w:line="276" w:lineRule="auto"/>
              <w:ind w:firstLine="0"/>
            </w:pPr>
            <w:r/>
            <w:r>
              <w:rPr>
                <w:rFonts w:ascii="Times New Roman" w:hAnsi="Times New Roman" w:eastAsia="宋体"/>
                <w:b w:val="0"/>
                <w:i w:val="0"/>
                <w:sz w:val="19"/>
              </w:rPr>
              <w:t>黑名单管理列表页</w:t>
            </w:r>
          </w:p>
        </w:tc>
        <w:tc>
          <w:tcPr>
            <w:tcW w:type="dxa" w:w="3969"/>
          </w:tcPr>
          <w:p>
            <w:pPr>
              <w:spacing w:before="20" w:after="20" w:line="276" w:lineRule="auto"/>
              <w:ind w:firstLine="0"/>
            </w:pPr>
            <w:r/>
            <w:r>
              <w:rPr>
                <w:rFonts w:ascii="Times New Roman" w:hAnsi="Times New Roman" w:eastAsia="宋体"/>
                <w:b w:val="0"/>
                <w:i w:val="0"/>
                <w:sz w:val="19"/>
              </w:rPr>
              <w:t>blacklist.html</w:t>
            </w:r>
          </w:p>
        </w:tc>
      </w:tr>
      <w:tr>
        <w:tc>
          <w:tcPr>
            <w:tcW w:type="dxa" w:w="1701"/>
          </w:tcPr>
          <w:p>
            <w:pPr>
              <w:spacing w:before="20" w:after="20" w:line="276" w:lineRule="auto"/>
              <w:ind w:firstLine="0"/>
            </w:pPr>
            <w:r/>
            <w:r>
              <w:rPr>
                <w:rFonts w:ascii="Times New Roman" w:hAnsi="Times New Roman" w:eastAsia="宋体"/>
                <w:b w:val="0"/>
                <w:i w:val="0"/>
                <w:sz w:val="19"/>
              </w:rPr>
              <w:t>黑名单管理</w:t>
            </w:r>
          </w:p>
        </w:tc>
        <w:tc>
          <w:tcPr>
            <w:tcW w:type="dxa" w:w="3402"/>
          </w:tcPr>
          <w:p>
            <w:pPr>
              <w:spacing w:before="20" w:after="20" w:line="276" w:lineRule="auto"/>
              <w:ind w:firstLine="0"/>
            </w:pPr>
            <w:r/>
            <w:r>
              <w:rPr>
                <w:rFonts w:ascii="Times New Roman" w:hAnsi="Times New Roman" w:eastAsia="宋体"/>
                <w:b w:val="0"/>
                <w:i w:val="0"/>
                <w:sz w:val="19"/>
              </w:rPr>
              <w:t>新增黑（灰）名单信息弹窗</w:t>
            </w:r>
          </w:p>
        </w:tc>
        <w:tc>
          <w:tcPr>
            <w:tcW w:type="dxa" w:w="3969"/>
          </w:tcPr>
          <w:p>
            <w:pPr>
              <w:spacing w:before="20" w:after="20" w:line="276" w:lineRule="auto"/>
              <w:ind w:firstLine="0"/>
            </w:pPr>
            <w:r/>
            <w:r>
              <w:rPr>
                <w:rFonts w:ascii="Times New Roman" w:hAnsi="Times New Roman" w:eastAsia="宋体"/>
                <w:b w:val="0"/>
                <w:i w:val="0"/>
                <w:sz w:val="19"/>
              </w:rPr>
              <w:t>blacklist.html</w:t>
            </w:r>
          </w:p>
        </w:tc>
      </w:tr>
      <w:tr>
        <w:tc>
          <w:tcPr>
            <w:tcW w:type="dxa" w:w="1701"/>
          </w:tcPr>
          <w:p>
            <w:pPr>
              <w:spacing w:before="20" w:after="20" w:line="276" w:lineRule="auto"/>
              <w:ind w:firstLine="0"/>
            </w:pPr>
            <w:r/>
            <w:r>
              <w:rPr>
                <w:rFonts w:ascii="Times New Roman" w:hAnsi="Times New Roman" w:eastAsia="宋体"/>
                <w:b w:val="0"/>
                <w:i w:val="0"/>
                <w:sz w:val="19"/>
              </w:rPr>
              <w:t>黑名单管理</w:t>
            </w:r>
          </w:p>
        </w:tc>
        <w:tc>
          <w:tcPr>
            <w:tcW w:type="dxa" w:w="3402"/>
          </w:tcPr>
          <w:p>
            <w:pPr>
              <w:spacing w:before="20" w:after="20" w:line="276" w:lineRule="auto"/>
              <w:ind w:firstLine="0"/>
            </w:pPr>
            <w:r/>
            <w:r>
              <w:rPr>
                <w:rFonts w:ascii="Times New Roman" w:hAnsi="Times New Roman" w:eastAsia="宋体"/>
                <w:b w:val="0"/>
                <w:i w:val="0"/>
                <w:sz w:val="19"/>
              </w:rPr>
              <w:t>批量导入黑名单弹窗</w:t>
            </w:r>
          </w:p>
        </w:tc>
        <w:tc>
          <w:tcPr>
            <w:tcW w:type="dxa" w:w="3969"/>
          </w:tcPr>
          <w:p>
            <w:pPr>
              <w:spacing w:before="20" w:after="20" w:line="276" w:lineRule="auto"/>
              <w:ind w:firstLine="0"/>
            </w:pPr>
            <w:r/>
            <w:r>
              <w:rPr>
                <w:rFonts w:ascii="Times New Roman" w:hAnsi="Times New Roman" w:eastAsia="宋体"/>
                <w:b w:val="0"/>
                <w:i w:val="0"/>
                <w:sz w:val="19"/>
              </w:rPr>
              <w:t>blacklist.html</w:t>
            </w:r>
          </w:p>
        </w:tc>
      </w:tr>
      <w:tr>
        <w:tc>
          <w:tcPr>
            <w:tcW w:type="dxa" w:w="1701"/>
          </w:tcPr>
          <w:p>
            <w:pPr>
              <w:spacing w:before="20" w:after="20" w:line="276" w:lineRule="auto"/>
              <w:ind w:firstLine="0"/>
            </w:pPr>
            <w:r/>
            <w:r>
              <w:rPr>
                <w:rFonts w:ascii="Times New Roman" w:hAnsi="Times New Roman" w:eastAsia="宋体"/>
                <w:b w:val="0"/>
                <w:i w:val="0"/>
                <w:sz w:val="19"/>
              </w:rPr>
              <w:t>工作台</w:t>
            </w:r>
          </w:p>
        </w:tc>
        <w:tc>
          <w:tcPr>
            <w:tcW w:type="dxa" w:w="3402"/>
          </w:tcPr>
          <w:p>
            <w:pPr>
              <w:spacing w:before="20" w:after="20" w:line="276" w:lineRule="auto"/>
              <w:ind w:firstLine="0"/>
            </w:pPr>
            <w:r/>
            <w:r>
              <w:rPr>
                <w:rFonts w:ascii="Times New Roman" w:hAnsi="Times New Roman" w:eastAsia="宋体"/>
                <w:b w:val="0"/>
                <w:i w:val="0"/>
                <w:sz w:val="19"/>
              </w:rPr>
              <w:t>工作台首页</w:t>
            </w:r>
          </w:p>
        </w:tc>
        <w:tc>
          <w:tcPr>
            <w:tcW w:type="dxa" w:w="3969"/>
          </w:tcPr>
          <w:p>
            <w:pPr>
              <w:spacing w:before="20" w:after="20" w:line="276" w:lineRule="auto"/>
              <w:ind w:firstLine="0"/>
            </w:pPr>
            <w:r/>
            <w:r>
              <w:rPr>
                <w:rFonts w:ascii="Times New Roman" w:hAnsi="Times New Roman" w:eastAsia="宋体"/>
                <w:b w:val="0"/>
                <w:i w:val="0"/>
                <w:sz w:val="19"/>
              </w:rPr>
              <w:t>workbench.html</w:t>
            </w:r>
          </w:p>
        </w:tc>
      </w:tr>
      <w:tr>
        <w:tc>
          <w:tcPr>
            <w:tcW w:type="dxa" w:w="1701"/>
          </w:tcPr>
          <w:p>
            <w:pPr>
              <w:spacing w:before="20" w:after="20" w:line="276" w:lineRule="auto"/>
              <w:ind w:firstLine="0"/>
            </w:pPr>
            <w:r/>
            <w:r>
              <w:rPr>
                <w:rFonts w:ascii="Times New Roman" w:hAnsi="Times New Roman" w:eastAsia="宋体"/>
                <w:b w:val="0"/>
                <w:i w:val="0"/>
                <w:sz w:val="19"/>
              </w:rPr>
              <w:t>工作台</w:t>
            </w:r>
          </w:p>
        </w:tc>
        <w:tc>
          <w:tcPr>
            <w:tcW w:type="dxa" w:w="3402"/>
          </w:tcPr>
          <w:p>
            <w:pPr>
              <w:spacing w:before="20" w:after="20" w:line="276" w:lineRule="auto"/>
              <w:ind w:firstLine="0"/>
            </w:pPr>
            <w:r/>
            <w:r>
              <w:rPr>
                <w:rFonts w:ascii="Times New Roman" w:hAnsi="Times New Roman" w:eastAsia="宋体"/>
                <w:b w:val="0"/>
                <w:i w:val="0"/>
                <w:sz w:val="19"/>
              </w:rPr>
              <w:t>驾驶舱（高管视角汇总页）</w:t>
            </w:r>
          </w:p>
        </w:tc>
        <w:tc>
          <w:tcPr>
            <w:tcW w:type="dxa" w:w="3969"/>
          </w:tcPr>
          <w:p>
            <w:pPr>
              <w:spacing w:before="20" w:after="20" w:line="276" w:lineRule="auto"/>
              <w:ind w:firstLine="0"/>
            </w:pPr>
            <w:r/>
            <w:r>
              <w:rPr>
                <w:rFonts w:ascii="Times New Roman" w:hAnsi="Times New Roman" w:eastAsia="宋体"/>
                <w:b w:val="0"/>
                <w:i w:val="0"/>
                <w:sz w:val="19"/>
              </w:rPr>
              <w:t>cockpit.html</w:t>
            </w:r>
          </w:p>
        </w:tc>
      </w:tr>
      <w:tr>
        <w:tc>
          <w:tcPr>
            <w:tcW w:type="dxa" w:w="1701"/>
          </w:tcPr>
          <w:p>
            <w:pPr>
              <w:spacing w:before="20" w:after="20" w:line="276" w:lineRule="auto"/>
              <w:ind w:firstLine="0"/>
            </w:pPr>
            <w:r/>
            <w:r>
              <w:rPr>
                <w:rFonts w:ascii="Times New Roman" w:hAnsi="Times New Roman" w:eastAsia="宋体"/>
                <w:b w:val="0"/>
                <w:i w:val="0"/>
                <w:sz w:val="19"/>
              </w:rPr>
              <w:t>个人管理</w:t>
            </w:r>
          </w:p>
        </w:tc>
        <w:tc>
          <w:tcPr>
            <w:tcW w:type="dxa" w:w="3402"/>
          </w:tcPr>
          <w:p>
            <w:pPr>
              <w:spacing w:before="20" w:after="20" w:line="276" w:lineRule="auto"/>
              <w:ind w:firstLine="0"/>
            </w:pPr>
            <w:r/>
            <w:r>
              <w:rPr>
                <w:rFonts w:ascii="Times New Roman" w:hAnsi="Times New Roman" w:eastAsia="宋体"/>
                <w:b w:val="0"/>
                <w:i w:val="0"/>
                <w:sz w:val="19"/>
              </w:rPr>
              <w:t>个人管理页</w:t>
            </w:r>
          </w:p>
        </w:tc>
        <w:tc>
          <w:tcPr>
            <w:tcW w:type="dxa" w:w="3969"/>
          </w:tcPr>
          <w:p>
            <w:pPr>
              <w:spacing w:before="20" w:after="20" w:line="276" w:lineRule="auto"/>
              <w:ind w:firstLine="0"/>
            </w:pPr>
            <w:r/>
            <w:r>
              <w:rPr>
                <w:rFonts w:ascii="Times New Roman" w:hAnsi="Times New Roman" w:eastAsia="宋体"/>
                <w:b w:val="0"/>
                <w:i w:val="0"/>
                <w:sz w:val="19"/>
              </w:rPr>
              <w:t>account-personal.html</w:t>
            </w:r>
          </w:p>
        </w:tc>
      </w:tr>
      <w:tr>
        <w:tc>
          <w:tcPr>
            <w:tcW w:type="dxa" w:w="1701"/>
          </w:tcPr>
          <w:p>
            <w:pPr>
              <w:spacing w:before="20" w:after="20" w:line="276" w:lineRule="auto"/>
              <w:ind w:firstLine="0"/>
            </w:pPr>
            <w:r/>
            <w:r>
              <w:rPr>
                <w:rFonts w:ascii="Times New Roman" w:hAnsi="Times New Roman" w:eastAsia="宋体"/>
                <w:b w:val="0"/>
                <w:i w:val="0"/>
                <w:sz w:val="19"/>
              </w:rPr>
              <w:t>企业管理</w:t>
            </w:r>
          </w:p>
        </w:tc>
        <w:tc>
          <w:tcPr>
            <w:tcW w:type="dxa" w:w="3402"/>
          </w:tcPr>
          <w:p>
            <w:pPr>
              <w:spacing w:before="20" w:after="20" w:line="276" w:lineRule="auto"/>
              <w:ind w:firstLine="0"/>
            </w:pPr>
            <w:r/>
            <w:r>
              <w:rPr>
                <w:rFonts w:ascii="Times New Roman" w:hAnsi="Times New Roman" w:eastAsia="宋体"/>
                <w:b w:val="0"/>
                <w:i w:val="0"/>
                <w:sz w:val="19"/>
              </w:rPr>
              <w:t>企业管理页</w:t>
            </w:r>
          </w:p>
        </w:tc>
        <w:tc>
          <w:tcPr>
            <w:tcW w:type="dxa" w:w="3969"/>
          </w:tcPr>
          <w:p>
            <w:pPr>
              <w:spacing w:before="20" w:after="20" w:line="276" w:lineRule="auto"/>
              <w:ind w:firstLine="0"/>
            </w:pPr>
            <w:r/>
            <w:r>
              <w:rPr>
                <w:rFonts w:ascii="Times New Roman" w:hAnsi="Times New Roman" w:eastAsia="宋体"/>
                <w:b w:val="0"/>
                <w:i w:val="0"/>
                <w:sz w:val="19"/>
              </w:rPr>
              <w:t>account-company.html</w:t>
            </w:r>
          </w:p>
        </w:tc>
      </w:tr>
      <w:tr>
        <w:tc>
          <w:tcPr>
            <w:tcW w:type="dxa" w:w="1701"/>
          </w:tcPr>
          <w:p>
            <w:pPr>
              <w:spacing w:before="20" w:after="20" w:line="276" w:lineRule="auto"/>
              <w:ind w:firstLine="0"/>
            </w:pPr>
            <w:r/>
            <w:r>
              <w:rPr>
                <w:rFonts w:ascii="Times New Roman" w:hAnsi="Times New Roman" w:eastAsia="宋体"/>
                <w:b w:val="0"/>
                <w:i w:val="0"/>
                <w:sz w:val="19"/>
              </w:rPr>
              <w:t>合同管理</w:t>
            </w:r>
          </w:p>
        </w:tc>
        <w:tc>
          <w:tcPr>
            <w:tcW w:type="dxa" w:w="3402"/>
          </w:tcPr>
          <w:p>
            <w:pPr>
              <w:spacing w:before="20" w:after="20" w:line="276" w:lineRule="auto"/>
              <w:ind w:firstLine="0"/>
            </w:pPr>
            <w:r/>
            <w:r>
              <w:rPr>
                <w:rFonts w:ascii="Times New Roman" w:hAnsi="Times New Roman" w:eastAsia="宋体"/>
                <w:b w:val="0"/>
                <w:i w:val="0"/>
                <w:sz w:val="19"/>
              </w:rPr>
              <w:t>采购合同列表</w:t>
            </w:r>
          </w:p>
        </w:tc>
        <w:tc>
          <w:tcPr>
            <w:tcW w:type="dxa" w:w="3969"/>
          </w:tcPr>
          <w:p>
            <w:pPr>
              <w:spacing w:before="20" w:after="20" w:line="276" w:lineRule="auto"/>
              <w:ind w:firstLine="0"/>
            </w:pPr>
            <w:r/>
            <w:r>
              <w:rPr>
                <w:rFonts w:ascii="Times New Roman" w:hAnsi="Times New Roman" w:eastAsia="宋体"/>
                <w:b w:val="0"/>
                <w:i w:val="0"/>
                <w:sz w:val="19"/>
              </w:rPr>
              <w:t>contract-purchase.html</w:t>
            </w:r>
          </w:p>
        </w:tc>
      </w:tr>
      <w:tr>
        <w:tc>
          <w:tcPr>
            <w:tcW w:type="dxa" w:w="1701"/>
          </w:tcPr>
          <w:p>
            <w:pPr>
              <w:spacing w:before="20" w:after="20" w:line="276" w:lineRule="auto"/>
              <w:ind w:firstLine="0"/>
            </w:pPr>
            <w:r/>
            <w:r>
              <w:rPr>
                <w:rFonts w:ascii="Times New Roman" w:hAnsi="Times New Roman" w:eastAsia="宋体"/>
                <w:b w:val="0"/>
                <w:i w:val="0"/>
                <w:sz w:val="19"/>
              </w:rPr>
              <w:t>合同管理</w:t>
            </w:r>
          </w:p>
        </w:tc>
        <w:tc>
          <w:tcPr>
            <w:tcW w:type="dxa" w:w="3402"/>
          </w:tcPr>
          <w:p>
            <w:pPr>
              <w:spacing w:before="20" w:after="20" w:line="276" w:lineRule="auto"/>
              <w:ind w:firstLine="0"/>
            </w:pPr>
            <w:r/>
            <w:r>
              <w:rPr>
                <w:rFonts w:ascii="Times New Roman" w:hAnsi="Times New Roman" w:eastAsia="宋体"/>
                <w:b w:val="0"/>
                <w:i w:val="0"/>
                <w:sz w:val="19"/>
              </w:rPr>
              <w:t>新增采购合同</w:t>
            </w:r>
          </w:p>
        </w:tc>
        <w:tc>
          <w:tcPr>
            <w:tcW w:type="dxa" w:w="3969"/>
          </w:tcPr>
          <w:p>
            <w:pPr>
              <w:spacing w:before="20" w:after="20" w:line="276" w:lineRule="auto"/>
              <w:ind w:firstLine="0"/>
            </w:pPr>
            <w:r/>
            <w:r>
              <w:rPr>
                <w:rFonts w:ascii="Times New Roman" w:hAnsi="Times New Roman" w:eastAsia="宋体"/>
                <w:b w:val="0"/>
                <w:i w:val="0"/>
                <w:sz w:val="19"/>
              </w:rPr>
              <w:t>contract-purchase-new.html</w:t>
            </w:r>
          </w:p>
        </w:tc>
      </w:tr>
      <w:tr>
        <w:tc>
          <w:tcPr>
            <w:tcW w:type="dxa" w:w="1701"/>
          </w:tcPr>
          <w:p>
            <w:pPr>
              <w:spacing w:before="20" w:after="20" w:line="276" w:lineRule="auto"/>
              <w:ind w:firstLine="0"/>
            </w:pPr>
            <w:r/>
            <w:r>
              <w:rPr>
                <w:rFonts w:ascii="Times New Roman" w:hAnsi="Times New Roman" w:eastAsia="宋体"/>
                <w:b w:val="0"/>
                <w:i w:val="0"/>
                <w:sz w:val="19"/>
              </w:rPr>
              <w:t>合同管理</w:t>
            </w:r>
          </w:p>
        </w:tc>
        <w:tc>
          <w:tcPr>
            <w:tcW w:type="dxa" w:w="3402"/>
          </w:tcPr>
          <w:p>
            <w:pPr>
              <w:spacing w:before="20" w:after="20" w:line="276" w:lineRule="auto"/>
              <w:ind w:firstLine="0"/>
            </w:pPr>
            <w:r/>
            <w:r>
              <w:rPr>
                <w:rFonts w:ascii="Times New Roman" w:hAnsi="Times New Roman" w:eastAsia="宋体"/>
                <w:b w:val="0"/>
                <w:i w:val="0"/>
                <w:sz w:val="19"/>
              </w:rPr>
              <w:t>采购订单合同详情</w:t>
            </w:r>
          </w:p>
        </w:tc>
        <w:tc>
          <w:tcPr>
            <w:tcW w:type="dxa" w:w="3969"/>
          </w:tcPr>
          <w:p>
            <w:pPr>
              <w:spacing w:before="20" w:after="20" w:line="276" w:lineRule="auto"/>
              <w:ind w:firstLine="0"/>
            </w:pPr>
            <w:r/>
            <w:r>
              <w:rPr>
                <w:rFonts w:ascii="Times New Roman" w:hAnsi="Times New Roman" w:eastAsia="宋体"/>
                <w:b w:val="0"/>
                <w:i w:val="0"/>
                <w:sz w:val="19"/>
              </w:rPr>
              <w:t>contract-purchase-order-detail.html</w:t>
            </w:r>
          </w:p>
        </w:tc>
      </w:tr>
      <w:tr>
        <w:tc>
          <w:tcPr>
            <w:tcW w:type="dxa" w:w="1701"/>
          </w:tcPr>
          <w:p>
            <w:pPr>
              <w:spacing w:before="20" w:after="20" w:line="276" w:lineRule="auto"/>
              <w:ind w:firstLine="0"/>
            </w:pPr>
            <w:r/>
            <w:r>
              <w:rPr>
                <w:rFonts w:ascii="Times New Roman" w:hAnsi="Times New Roman" w:eastAsia="宋体"/>
                <w:b w:val="0"/>
                <w:i w:val="0"/>
                <w:sz w:val="19"/>
              </w:rPr>
              <w:t>合同管理</w:t>
            </w:r>
          </w:p>
        </w:tc>
        <w:tc>
          <w:tcPr>
            <w:tcW w:type="dxa" w:w="3402"/>
          </w:tcPr>
          <w:p>
            <w:pPr>
              <w:spacing w:before="20" w:after="20" w:line="276" w:lineRule="auto"/>
              <w:ind w:firstLine="0"/>
            </w:pPr>
            <w:r/>
            <w:r>
              <w:rPr>
                <w:rFonts w:ascii="Times New Roman" w:hAnsi="Times New Roman" w:eastAsia="宋体"/>
                <w:b w:val="0"/>
                <w:i w:val="0"/>
                <w:sz w:val="19"/>
              </w:rPr>
              <w:t>采购合同关联销售合同</w:t>
            </w:r>
          </w:p>
        </w:tc>
        <w:tc>
          <w:tcPr>
            <w:tcW w:type="dxa" w:w="3969"/>
          </w:tcPr>
          <w:p>
            <w:pPr>
              <w:spacing w:before="20" w:after="20" w:line="276" w:lineRule="auto"/>
              <w:ind w:firstLine="0"/>
            </w:pPr>
            <w:r/>
            <w:r>
              <w:rPr>
                <w:rFonts w:ascii="Times New Roman" w:hAnsi="Times New Roman" w:eastAsia="宋体"/>
                <w:b w:val="0"/>
                <w:i w:val="0"/>
                <w:sz w:val="19"/>
              </w:rPr>
              <w:t>contract-purchase-relate-sales.html</w:t>
            </w:r>
          </w:p>
        </w:tc>
      </w:tr>
      <w:tr>
        <w:tc>
          <w:tcPr>
            <w:tcW w:type="dxa" w:w="1701"/>
          </w:tcPr>
          <w:p>
            <w:pPr>
              <w:spacing w:before="20" w:after="20" w:line="276" w:lineRule="auto"/>
              <w:ind w:firstLine="0"/>
            </w:pPr>
            <w:r/>
            <w:r>
              <w:rPr>
                <w:rFonts w:ascii="Times New Roman" w:hAnsi="Times New Roman" w:eastAsia="宋体"/>
                <w:b w:val="0"/>
                <w:i w:val="0"/>
                <w:sz w:val="19"/>
              </w:rPr>
              <w:t>合同管理</w:t>
            </w:r>
          </w:p>
        </w:tc>
        <w:tc>
          <w:tcPr>
            <w:tcW w:type="dxa" w:w="3402"/>
          </w:tcPr>
          <w:p>
            <w:pPr>
              <w:spacing w:before="20" w:after="20" w:line="276" w:lineRule="auto"/>
              <w:ind w:firstLine="0"/>
            </w:pPr>
            <w:r/>
            <w:r>
              <w:rPr>
                <w:rFonts w:ascii="Times New Roman" w:hAnsi="Times New Roman" w:eastAsia="宋体"/>
                <w:b w:val="0"/>
                <w:i w:val="0"/>
                <w:sz w:val="19"/>
              </w:rPr>
              <w:t>补充协议列表</w:t>
            </w:r>
          </w:p>
        </w:tc>
        <w:tc>
          <w:tcPr>
            <w:tcW w:type="dxa" w:w="3969"/>
          </w:tcPr>
          <w:p>
            <w:pPr>
              <w:spacing w:before="20" w:after="20" w:line="276" w:lineRule="auto"/>
              <w:ind w:firstLine="0"/>
            </w:pPr>
            <w:r/>
            <w:r>
              <w:rPr>
                <w:rFonts w:ascii="Times New Roman" w:hAnsi="Times New Roman" w:eastAsia="宋体"/>
                <w:b w:val="0"/>
                <w:i w:val="0"/>
                <w:sz w:val="19"/>
              </w:rPr>
              <w:t>contract-supplement.html</w:t>
            </w:r>
          </w:p>
        </w:tc>
      </w:tr>
      <w:tr>
        <w:tc>
          <w:tcPr>
            <w:tcW w:type="dxa" w:w="1701"/>
          </w:tcPr>
          <w:p>
            <w:pPr>
              <w:spacing w:before="20" w:after="20" w:line="276" w:lineRule="auto"/>
              <w:ind w:firstLine="0"/>
            </w:pPr>
            <w:r/>
            <w:r>
              <w:rPr>
                <w:rFonts w:ascii="Times New Roman" w:hAnsi="Times New Roman" w:eastAsia="宋体"/>
                <w:b w:val="0"/>
                <w:i w:val="0"/>
                <w:sz w:val="19"/>
              </w:rPr>
              <w:t>合同管理</w:t>
            </w:r>
          </w:p>
        </w:tc>
        <w:tc>
          <w:tcPr>
            <w:tcW w:type="dxa" w:w="3402"/>
          </w:tcPr>
          <w:p>
            <w:pPr>
              <w:spacing w:before="20" w:after="20" w:line="276" w:lineRule="auto"/>
              <w:ind w:firstLine="0"/>
            </w:pPr>
            <w:r/>
            <w:r>
              <w:rPr>
                <w:rFonts w:ascii="Times New Roman" w:hAnsi="Times New Roman" w:eastAsia="宋体"/>
                <w:b w:val="0"/>
                <w:i w:val="0"/>
                <w:sz w:val="19"/>
              </w:rPr>
              <w:t>运输合同</w:t>
            </w:r>
          </w:p>
        </w:tc>
        <w:tc>
          <w:tcPr>
            <w:tcW w:type="dxa" w:w="3969"/>
          </w:tcPr>
          <w:p>
            <w:pPr>
              <w:spacing w:before="20" w:after="20" w:line="276" w:lineRule="auto"/>
              <w:ind w:firstLine="0"/>
            </w:pPr>
            <w:r/>
            <w:r>
              <w:rPr>
                <w:rFonts w:ascii="Times New Roman" w:hAnsi="Times New Roman" w:eastAsia="宋体"/>
                <w:b w:val="0"/>
                <w:i w:val="0"/>
                <w:sz w:val="19"/>
              </w:rPr>
              <w:t>contract-shipping.html</w:t>
            </w:r>
          </w:p>
        </w:tc>
      </w:tr>
      <w:tr>
        <w:tc>
          <w:tcPr>
            <w:tcW w:type="dxa" w:w="1701"/>
          </w:tcPr>
          <w:p>
            <w:pPr>
              <w:spacing w:before="20" w:after="20" w:line="276" w:lineRule="auto"/>
              <w:ind w:firstLine="0"/>
            </w:pPr>
            <w:r/>
            <w:r>
              <w:rPr>
                <w:rFonts w:ascii="Times New Roman" w:hAnsi="Times New Roman" w:eastAsia="宋体"/>
                <w:b w:val="0"/>
                <w:i w:val="0"/>
                <w:sz w:val="19"/>
              </w:rPr>
              <w:t>业务线管理</w:t>
            </w:r>
          </w:p>
        </w:tc>
        <w:tc>
          <w:tcPr>
            <w:tcW w:type="dxa" w:w="3402"/>
          </w:tcPr>
          <w:p>
            <w:pPr>
              <w:spacing w:before="20" w:after="20" w:line="276" w:lineRule="auto"/>
              <w:ind w:firstLine="0"/>
            </w:pPr>
            <w:r/>
            <w:r>
              <w:rPr>
                <w:rFonts w:ascii="Times New Roman" w:hAnsi="Times New Roman" w:eastAsia="宋体"/>
                <w:b w:val="0"/>
                <w:i w:val="0"/>
                <w:sz w:val="19"/>
              </w:rPr>
              <w:t>业务线管理（列表）</w:t>
            </w:r>
          </w:p>
        </w:tc>
        <w:tc>
          <w:tcPr>
            <w:tcW w:type="dxa" w:w="3969"/>
          </w:tcPr>
          <w:p>
            <w:pPr>
              <w:spacing w:before="20" w:after="20" w:line="276" w:lineRule="auto"/>
              <w:ind w:firstLine="0"/>
            </w:pPr>
            <w:r/>
            <w:r>
              <w:rPr>
                <w:rFonts w:ascii="Times New Roman" w:hAnsi="Times New Roman" w:eastAsia="宋体"/>
                <w:b w:val="0"/>
                <w:i w:val="0"/>
                <w:sz w:val="19"/>
              </w:rPr>
              <w:t>business-line.html</w:t>
            </w:r>
          </w:p>
        </w:tc>
      </w:tr>
      <w:tr>
        <w:tc>
          <w:tcPr>
            <w:tcW w:type="dxa" w:w="1701"/>
          </w:tcPr>
          <w:p>
            <w:pPr>
              <w:spacing w:before="20" w:after="20" w:line="276" w:lineRule="auto"/>
              <w:ind w:firstLine="0"/>
            </w:pPr>
            <w:r/>
            <w:r>
              <w:rPr>
                <w:rFonts w:ascii="Times New Roman" w:hAnsi="Times New Roman" w:eastAsia="宋体"/>
                <w:b w:val="0"/>
                <w:i w:val="0"/>
                <w:sz w:val="19"/>
              </w:rPr>
              <w:t>业务线管理</w:t>
            </w:r>
          </w:p>
        </w:tc>
        <w:tc>
          <w:tcPr>
            <w:tcW w:type="dxa" w:w="3402"/>
          </w:tcPr>
          <w:p>
            <w:pPr>
              <w:spacing w:before="20" w:after="20" w:line="276" w:lineRule="auto"/>
              <w:ind w:firstLine="0"/>
            </w:pPr>
            <w:r/>
            <w:r>
              <w:rPr>
                <w:rFonts w:ascii="Times New Roman" w:hAnsi="Times New Roman" w:eastAsia="宋体"/>
                <w:b w:val="0"/>
                <w:i w:val="0"/>
                <w:sz w:val="19"/>
              </w:rPr>
              <w:t>业务线关联</w:t>
            </w:r>
          </w:p>
        </w:tc>
        <w:tc>
          <w:tcPr>
            <w:tcW w:type="dxa" w:w="3969"/>
          </w:tcPr>
          <w:p>
            <w:pPr>
              <w:spacing w:before="20" w:after="20" w:line="276" w:lineRule="auto"/>
              <w:ind w:firstLine="0"/>
            </w:pPr>
            <w:r/>
            <w:r>
              <w:rPr>
                <w:rFonts w:ascii="Times New Roman" w:hAnsi="Times New Roman" w:eastAsia="宋体"/>
                <w:b w:val="0"/>
                <w:i w:val="0"/>
                <w:sz w:val="19"/>
              </w:rPr>
              <w:t>business-line-relate.html</w:t>
            </w:r>
          </w:p>
        </w:tc>
      </w:tr>
      <w:tr>
        <w:tc>
          <w:tcPr>
            <w:tcW w:type="dxa" w:w="1701"/>
          </w:tcPr>
          <w:p>
            <w:pPr>
              <w:spacing w:before="20" w:after="20" w:line="276" w:lineRule="auto"/>
              <w:ind w:firstLine="0"/>
            </w:pPr>
            <w:r/>
            <w:r>
              <w:rPr>
                <w:rFonts w:ascii="Times New Roman" w:hAnsi="Times New Roman" w:eastAsia="宋体"/>
                <w:b w:val="0"/>
                <w:i w:val="0"/>
                <w:sz w:val="19"/>
              </w:rPr>
              <w:t>业务线管理</w:t>
            </w:r>
          </w:p>
        </w:tc>
        <w:tc>
          <w:tcPr>
            <w:tcW w:type="dxa" w:w="3402"/>
          </w:tcPr>
          <w:p>
            <w:pPr>
              <w:spacing w:before="20" w:after="20" w:line="276" w:lineRule="auto"/>
              <w:ind w:firstLine="0"/>
            </w:pPr>
            <w:r/>
            <w:r>
              <w:rPr>
                <w:rFonts w:ascii="Times New Roman" w:hAnsi="Times New Roman" w:eastAsia="宋体"/>
                <w:b w:val="0"/>
                <w:i w:val="0"/>
                <w:sz w:val="19"/>
              </w:rPr>
              <w:t>业务线详情</w:t>
            </w:r>
          </w:p>
        </w:tc>
        <w:tc>
          <w:tcPr>
            <w:tcW w:type="dxa" w:w="3969"/>
          </w:tcPr>
          <w:p>
            <w:pPr>
              <w:spacing w:before="20" w:after="20" w:line="276" w:lineRule="auto"/>
              <w:ind w:firstLine="0"/>
            </w:pPr>
            <w:r/>
            <w:r>
              <w:rPr>
                <w:rFonts w:ascii="Times New Roman" w:hAnsi="Times New Roman" w:eastAsia="宋体"/>
                <w:b w:val="0"/>
                <w:i w:val="0"/>
                <w:sz w:val="19"/>
              </w:rPr>
              <w:t>business-line-detail.html</w:t>
            </w:r>
          </w:p>
        </w:tc>
      </w:tr>
      <w:tr>
        <w:tc>
          <w:tcPr>
            <w:tcW w:type="dxa" w:w="1701"/>
          </w:tcPr>
          <w:p>
            <w:pPr>
              <w:spacing w:before="20" w:after="20" w:line="276" w:lineRule="auto"/>
              <w:ind w:firstLine="0"/>
            </w:pPr>
            <w:r/>
            <w:r>
              <w:rPr>
                <w:rFonts w:ascii="Times New Roman" w:hAnsi="Times New Roman" w:eastAsia="宋体"/>
                <w:b w:val="0"/>
                <w:i w:val="0"/>
                <w:sz w:val="19"/>
              </w:rPr>
              <w:t>收发货管理</w:t>
            </w:r>
          </w:p>
        </w:tc>
        <w:tc>
          <w:tcPr>
            <w:tcW w:type="dxa" w:w="3402"/>
          </w:tcPr>
          <w:p>
            <w:pPr>
              <w:spacing w:before="20" w:after="20" w:line="276" w:lineRule="auto"/>
              <w:ind w:firstLine="0"/>
            </w:pPr>
            <w:r/>
            <w:r>
              <w:rPr>
                <w:rFonts w:ascii="Times New Roman" w:hAnsi="Times New Roman" w:eastAsia="宋体"/>
                <w:b w:val="0"/>
                <w:i w:val="0"/>
                <w:sz w:val="19"/>
              </w:rPr>
              <w:t>发货管理（列表）</w:t>
            </w:r>
          </w:p>
        </w:tc>
        <w:tc>
          <w:tcPr>
            <w:tcW w:type="dxa" w:w="3969"/>
          </w:tcPr>
          <w:p>
            <w:pPr>
              <w:spacing w:before="20" w:after="20" w:line="276" w:lineRule="auto"/>
              <w:ind w:firstLine="0"/>
            </w:pPr>
            <w:r/>
            <w:r>
              <w:rPr>
                <w:rFonts w:ascii="Times New Roman" w:hAnsi="Times New Roman" w:eastAsia="宋体"/>
                <w:b w:val="0"/>
                <w:i w:val="0"/>
                <w:sz w:val="19"/>
              </w:rPr>
              <w:t>shipment-out.html</w:t>
            </w:r>
          </w:p>
        </w:tc>
      </w:tr>
      <w:tr>
        <w:tc>
          <w:tcPr>
            <w:tcW w:type="dxa" w:w="1701"/>
          </w:tcPr>
          <w:p>
            <w:pPr>
              <w:spacing w:before="20" w:after="20" w:line="276" w:lineRule="auto"/>
              <w:ind w:firstLine="0"/>
            </w:pPr>
            <w:r/>
            <w:r>
              <w:rPr>
                <w:rFonts w:ascii="Times New Roman" w:hAnsi="Times New Roman" w:eastAsia="宋体"/>
                <w:b w:val="0"/>
                <w:i w:val="0"/>
                <w:sz w:val="19"/>
              </w:rPr>
              <w:t>收发货管理</w:t>
            </w:r>
          </w:p>
        </w:tc>
        <w:tc>
          <w:tcPr>
            <w:tcW w:type="dxa" w:w="3402"/>
          </w:tcPr>
          <w:p>
            <w:pPr>
              <w:spacing w:before="20" w:after="20" w:line="276" w:lineRule="auto"/>
              <w:ind w:firstLine="0"/>
            </w:pPr>
            <w:r/>
            <w:r>
              <w:rPr>
                <w:rFonts w:ascii="Times New Roman" w:hAnsi="Times New Roman" w:eastAsia="宋体"/>
                <w:b w:val="0"/>
                <w:i w:val="0"/>
                <w:sz w:val="19"/>
              </w:rPr>
              <w:t>新增发货申请</w:t>
            </w:r>
          </w:p>
        </w:tc>
        <w:tc>
          <w:tcPr>
            <w:tcW w:type="dxa" w:w="3969"/>
          </w:tcPr>
          <w:p>
            <w:pPr>
              <w:spacing w:before="20" w:after="20" w:line="276" w:lineRule="auto"/>
              <w:ind w:firstLine="0"/>
            </w:pPr>
            <w:r/>
            <w:r>
              <w:rPr>
                <w:rFonts w:ascii="Times New Roman" w:hAnsi="Times New Roman" w:eastAsia="宋体"/>
                <w:b w:val="0"/>
                <w:i w:val="0"/>
                <w:sz w:val="19"/>
              </w:rPr>
              <w:t>shipment-out-new.html</w:t>
            </w:r>
          </w:p>
        </w:tc>
      </w:tr>
      <w:tr>
        <w:tc>
          <w:tcPr>
            <w:tcW w:type="dxa" w:w="1701"/>
          </w:tcPr>
          <w:p>
            <w:pPr>
              <w:spacing w:before="20" w:after="20" w:line="276" w:lineRule="auto"/>
              <w:ind w:firstLine="0"/>
            </w:pPr>
            <w:r/>
            <w:r>
              <w:rPr>
                <w:rFonts w:ascii="Times New Roman" w:hAnsi="Times New Roman" w:eastAsia="宋体"/>
                <w:b w:val="0"/>
                <w:i w:val="0"/>
                <w:sz w:val="19"/>
              </w:rPr>
              <w:t>收发货管理</w:t>
            </w:r>
          </w:p>
        </w:tc>
        <w:tc>
          <w:tcPr>
            <w:tcW w:type="dxa" w:w="3402"/>
          </w:tcPr>
          <w:p>
            <w:pPr>
              <w:spacing w:before="20" w:after="20" w:line="276" w:lineRule="auto"/>
              <w:ind w:firstLine="0"/>
            </w:pPr>
            <w:r/>
            <w:r>
              <w:rPr>
                <w:rFonts w:ascii="Times New Roman" w:hAnsi="Times New Roman" w:eastAsia="宋体"/>
                <w:b w:val="0"/>
                <w:i w:val="0"/>
                <w:sz w:val="19"/>
              </w:rPr>
              <w:t>发货申请详情</w:t>
            </w:r>
          </w:p>
        </w:tc>
        <w:tc>
          <w:tcPr>
            <w:tcW w:type="dxa" w:w="3969"/>
          </w:tcPr>
          <w:p>
            <w:pPr>
              <w:spacing w:before="20" w:after="20" w:line="276" w:lineRule="auto"/>
              <w:ind w:firstLine="0"/>
            </w:pPr>
            <w:r/>
            <w:r>
              <w:rPr>
                <w:rFonts w:ascii="Times New Roman" w:hAnsi="Times New Roman" w:eastAsia="宋体"/>
                <w:b w:val="0"/>
                <w:i w:val="0"/>
                <w:sz w:val="19"/>
              </w:rPr>
              <w:t>shipment-out-detail.html</w:t>
            </w:r>
          </w:p>
        </w:tc>
      </w:tr>
      <w:tr>
        <w:tc>
          <w:tcPr>
            <w:tcW w:type="dxa" w:w="1701"/>
          </w:tcPr>
          <w:p>
            <w:pPr>
              <w:spacing w:before="20" w:after="20" w:line="276" w:lineRule="auto"/>
              <w:ind w:firstLine="0"/>
            </w:pPr>
            <w:r/>
            <w:r>
              <w:rPr>
                <w:rFonts w:ascii="Times New Roman" w:hAnsi="Times New Roman" w:eastAsia="宋体"/>
                <w:b w:val="0"/>
                <w:i w:val="0"/>
                <w:sz w:val="19"/>
              </w:rPr>
              <w:t>收发货管理</w:t>
            </w:r>
          </w:p>
        </w:tc>
        <w:tc>
          <w:tcPr>
            <w:tcW w:type="dxa" w:w="3402"/>
          </w:tcPr>
          <w:p>
            <w:pPr>
              <w:spacing w:before="20" w:after="20" w:line="276" w:lineRule="auto"/>
              <w:ind w:firstLine="0"/>
            </w:pPr>
            <w:r/>
            <w:r>
              <w:rPr>
                <w:rFonts w:ascii="Times New Roman" w:hAnsi="Times New Roman" w:eastAsia="宋体"/>
                <w:b w:val="0"/>
                <w:i w:val="0"/>
                <w:sz w:val="19"/>
              </w:rPr>
              <w:t>收货管理（列表）</w:t>
            </w:r>
          </w:p>
        </w:tc>
        <w:tc>
          <w:tcPr>
            <w:tcW w:type="dxa" w:w="3969"/>
          </w:tcPr>
          <w:p>
            <w:pPr>
              <w:spacing w:before="20" w:after="20" w:line="276" w:lineRule="auto"/>
              <w:ind w:firstLine="0"/>
            </w:pPr>
            <w:r/>
            <w:r>
              <w:rPr>
                <w:rFonts w:ascii="Times New Roman" w:hAnsi="Times New Roman" w:eastAsia="宋体"/>
                <w:b w:val="0"/>
                <w:i w:val="0"/>
                <w:sz w:val="19"/>
              </w:rPr>
              <w:t>shipment-in.html</w:t>
            </w:r>
          </w:p>
        </w:tc>
      </w:tr>
      <w:tr>
        <w:tc>
          <w:tcPr>
            <w:tcW w:type="dxa" w:w="1701"/>
          </w:tcPr>
          <w:p>
            <w:pPr>
              <w:spacing w:before="20" w:after="20" w:line="276" w:lineRule="auto"/>
              <w:ind w:firstLine="0"/>
            </w:pPr>
            <w:r/>
            <w:r>
              <w:rPr>
                <w:rFonts w:ascii="Times New Roman" w:hAnsi="Times New Roman" w:eastAsia="宋体"/>
                <w:b w:val="0"/>
                <w:i w:val="0"/>
                <w:sz w:val="19"/>
              </w:rPr>
              <w:t>收发货管理</w:t>
            </w:r>
          </w:p>
        </w:tc>
        <w:tc>
          <w:tcPr>
            <w:tcW w:type="dxa" w:w="3402"/>
          </w:tcPr>
          <w:p>
            <w:pPr>
              <w:spacing w:before="20" w:after="20" w:line="276" w:lineRule="auto"/>
              <w:ind w:firstLine="0"/>
            </w:pPr>
            <w:r/>
            <w:r>
              <w:rPr>
                <w:rFonts w:ascii="Times New Roman" w:hAnsi="Times New Roman" w:eastAsia="宋体"/>
                <w:b w:val="0"/>
                <w:i w:val="0"/>
                <w:sz w:val="19"/>
              </w:rPr>
              <w:t>填写收货信息（确认收货）</w:t>
            </w:r>
          </w:p>
        </w:tc>
        <w:tc>
          <w:tcPr>
            <w:tcW w:type="dxa" w:w="3969"/>
          </w:tcPr>
          <w:p>
            <w:pPr>
              <w:spacing w:before="20" w:after="20" w:line="276" w:lineRule="auto"/>
              <w:ind w:firstLine="0"/>
            </w:pPr>
            <w:r/>
            <w:r>
              <w:rPr>
                <w:rFonts w:ascii="Times New Roman" w:hAnsi="Times New Roman" w:eastAsia="宋体"/>
                <w:b w:val="0"/>
                <w:i w:val="0"/>
                <w:sz w:val="19"/>
              </w:rPr>
              <w:t>receipt-confirm.html</w:t>
            </w:r>
          </w:p>
        </w:tc>
      </w:tr>
      <w:tr>
        <w:tc>
          <w:tcPr>
            <w:tcW w:type="dxa" w:w="1701"/>
          </w:tcPr>
          <w:p>
            <w:pPr>
              <w:spacing w:before="20" w:after="20" w:line="276" w:lineRule="auto"/>
              <w:ind w:firstLine="0"/>
            </w:pPr>
            <w:r/>
            <w:r>
              <w:rPr>
                <w:rFonts w:ascii="Times New Roman" w:hAnsi="Times New Roman" w:eastAsia="宋体"/>
                <w:b w:val="0"/>
                <w:i w:val="0"/>
                <w:sz w:val="19"/>
              </w:rPr>
              <w:t>货转管理</w:t>
            </w:r>
          </w:p>
        </w:tc>
        <w:tc>
          <w:tcPr>
            <w:tcW w:type="dxa" w:w="3402"/>
          </w:tcPr>
          <w:p>
            <w:pPr>
              <w:spacing w:before="20" w:after="20" w:line="276" w:lineRule="auto"/>
              <w:ind w:firstLine="0"/>
            </w:pPr>
            <w:r/>
            <w:r>
              <w:rPr>
                <w:rFonts w:ascii="Times New Roman" w:hAnsi="Times New Roman" w:eastAsia="宋体"/>
                <w:b w:val="0"/>
                <w:i w:val="0"/>
                <w:sz w:val="19"/>
              </w:rPr>
              <w:t>货转管理（主列表）</w:t>
            </w:r>
          </w:p>
        </w:tc>
        <w:tc>
          <w:tcPr>
            <w:tcW w:type="dxa" w:w="3969"/>
          </w:tcPr>
          <w:p>
            <w:pPr>
              <w:spacing w:before="20" w:after="20" w:line="276" w:lineRule="auto"/>
              <w:ind w:firstLine="0"/>
            </w:pPr>
            <w:r/>
            <w:r>
              <w:rPr>
                <w:rFonts w:ascii="Times New Roman" w:hAnsi="Times New Roman" w:eastAsia="宋体"/>
                <w:b w:val="0"/>
                <w:i w:val="0"/>
                <w:sz w:val="19"/>
              </w:rPr>
              <w:t>goods-transfer.html</w:t>
            </w:r>
          </w:p>
        </w:tc>
      </w:tr>
      <w:tr>
        <w:tc>
          <w:tcPr>
            <w:tcW w:type="dxa" w:w="1701"/>
          </w:tcPr>
          <w:p>
            <w:pPr>
              <w:spacing w:before="20" w:after="20" w:line="276" w:lineRule="auto"/>
              <w:ind w:firstLine="0"/>
            </w:pPr>
            <w:r/>
            <w:r>
              <w:rPr>
                <w:rFonts w:ascii="Times New Roman" w:hAnsi="Times New Roman" w:eastAsia="宋体"/>
                <w:b w:val="0"/>
                <w:i w:val="0"/>
                <w:sz w:val="19"/>
              </w:rPr>
              <w:t>货转管理</w:t>
            </w:r>
          </w:p>
        </w:tc>
        <w:tc>
          <w:tcPr>
            <w:tcW w:type="dxa" w:w="3402"/>
          </w:tcPr>
          <w:p>
            <w:pPr>
              <w:spacing w:before="20" w:after="20" w:line="276" w:lineRule="auto"/>
              <w:ind w:firstLine="0"/>
            </w:pPr>
            <w:r/>
            <w:r>
              <w:rPr>
                <w:rFonts w:ascii="Times New Roman" w:hAnsi="Times New Roman" w:eastAsia="宋体"/>
                <w:b w:val="0"/>
                <w:i w:val="0"/>
                <w:sz w:val="19"/>
              </w:rPr>
              <w:t>上传上游货转</w:t>
            </w:r>
          </w:p>
        </w:tc>
        <w:tc>
          <w:tcPr>
            <w:tcW w:type="dxa" w:w="3969"/>
          </w:tcPr>
          <w:p>
            <w:pPr>
              <w:spacing w:before="20" w:after="20" w:line="276" w:lineRule="auto"/>
              <w:ind w:firstLine="0"/>
            </w:pPr>
            <w:r/>
            <w:r>
              <w:rPr>
                <w:rFonts w:ascii="Times New Roman" w:hAnsi="Times New Roman" w:eastAsia="宋体"/>
                <w:b w:val="0"/>
                <w:i w:val="0"/>
                <w:sz w:val="19"/>
              </w:rPr>
              <w:t>goods-transfer-up-new.html</w:t>
            </w:r>
          </w:p>
        </w:tc>
      </w:tr>
      <w:tr>
        <w:tc>
          <w:tcPr>
            <w:tcW w:type="dxa" w:w="1701"/>
          </w:tcPr>
          <w:p>
            <w:pPr>
              <w:spacing w:before="20" w:after="20" w:line="276" w:lineRule="auto"/>
              <w:ind w:firstLine="0"/>
            </w:pPr>
            <w:r/>
            <w:r>
              <w:rPr>
                <w:rFonts w:ascii="Times New Roman" w:hAnsi="Times New Roman" w:eastAsia="宋体"/>
                <w:b w:val="0"/>
                <w:i w:val="0"/>
                <w:sz w:val="19"/>
              </w:rPr>
              <w:t>货转管理</w:t>
            </w:r>
          </w:p>
        </w:tc>
        <w:tc>
          <w:tcPr>
            <w:tcW w:type="dxa" w:w="3402"/>
          </w:tcPr>
          <w:p>
            <w:pPr>
              <w:spacing w:before="20" w:after="20" w:line="276" w:lineRule="auto"/>
              <w:ind w:firstLine="0"/>
            </w:pPr>
            <w:r/>
            <w:r>
              <w:rPr>
                <w:rFonts w:ascii="Times New Roman" w:hAnsi="Times New Roman" w:eastAsia="宋体"/>
                <w:b w:val="0"/>
                <w:i w:val="0"/>
                <w:sz w:val="19"/>
              </w:rPr>
              <w:t>已上传上游货转详情</w:t>
            </w:r>
          </w:p>
        </w:tc>
        <w:tc>
          <w:tcPr>
            <w:tcW w:type="dxa" w:w="3969"/>
          </w:tcPr>
          <w:p>
            <w:pPr>
              <w:spacing w:before="20" w:after="20" w:line="276" w:lineRule="auto"/>
              <w:ind w:firstLine="0"/>
            </w:pPr>
            <w:r/>
            <w:r>
              <w:rPr>
                <w:rFonts w:ascii="Times New Roman" w:hAnsi="Times New Roman" w:eastAsia="宋体"/>
                <w:b w:val="0"/>
                <w:i w:val="0"/>
                <w:sz w:val="19"/>
              </w:rPr>
              <w:t>goods-transfer-up-detail.html</w:t>
            </w:r>
          </w:p>
        </w:tc>
      </w:tr>
      <w:tr>
        <w:tc>
          <w:tcPr>
            <w:tcW w:type="dxa" w:w="1701"/>
          </w:tcPr>
          <w:p>
            <w:pPr>
              <w:spacing w:before="20" w:after="20" w:line="276" w:lineRule="auto"/>
              <w:ind w:firstLine="0"/>
            </w:pPr>
            <w:r/>
            <w:r>
              <w:rPr>
                <w:rFonts w:ascii="Times New Roman" w:hAnsi="Times New Roman" w:eastAsia="宋体"/>
                <w:b w:val="0"/>
                <w:i w:val="0"/>
                <w:sz w:val="19"/>
              </w:rPr>
              <w:t>货转管理</w:t>
            </w:r>
          </w:p>
        </w:tc>
        <w:tc>
          <w:tcPr>
            <w:tcW w:type="dxa" w:w="3402"/>
          </w:tcPr>
          <w:p>
            <w:pPr>
              <w:spacing w:before="20" w:after="20" w:line="276" w:lineRule="auto"/>
              <w:ind w:firstLine="0"/>
            </w:pPr>
            <w:r/>
            <w:r>
              <w:rPr>
                <w:rFonts w:ascii="Times New Roman" w:hAnsi="Times New Roman" w:eastAsia="宋体"/>
                <w:b w:val="0"/>
                <w:i w:val="0"/>
                <w:sz w:val="19"/>
              </w:rPr>
              <w:t>新增下游货转</w:t>
            </w:r>
          </w:p>
        </w:tc>
        <w:tc>
          <w:tcPr>
            <w:tcW w:type="dxa" w:w="3969"/>
          </w:tcPr>
          <w:p>
            <w:pPr>
              <w:spacing w:before="20" w:after="20" w:line="276" w:lineRule="auto"/>
              <w:ind w:firstLine="0"/>
            </w:pPr>
            <w:r/>
            <w:r>
              <w:rPr>
                <w:rFonts w:ascii="Times New Roman" w:hAnsi="Times New Roman" w:eastAsia="宋体"/>
                <w:b w:val="0"/>
                <w:i w:val="0"/>
                <w:sz w:val="19"/>
              </w:rPr>
              <w:t>goods-transfer-down-new.html</w:t>
            </w:r>
          </w:p>
        </w:tc>
      </w:tr>
      <w:tr>
        <w:tc>
          <w:tcPr>
            <w:tcW w:type="dxa" w:w="1701"/>
          </w:tcPr>
          <w:p>
            <w:pPr>
              <w:spacing w:before="20" w:after="20" w:line="276" w:lineRule="auto"/>
              <w:ind w:firstLine="0"/>
            </w:pPr>
            <w:r/>
            <w:r>
              <w:rPr>
                <w:rFonts w:ascii="Times New Roman" w:hAnsi="Times New Roman" w:eastAsia="宋体"/>
                <w:b w:val="0"/>
                <w:i w:val="0"/>
                <w:sz w:val="19"/>
              </w:rPr>
              <w:t>货转管理</w:t>
            </w:r>
          </w:p>
        </w:tc>
        <w:tc>
          <w:tcPr>
            <w:tcW w:type="dxa" w:w="3402"/>
          </w:tcPr>
          <w:p>
            <w:pPr>
              <w:spacing w:before="20" w:after="20" w:line="276" w:lineRule="auto"/>
              <w:ind w:firstLine="0"/>
            </w:pPr>
            <w:r/>
            <w:r>
              <w:rPr>
                <w:rFonts w:ascii="Times New Roman" w:hAnsi="Times New Roman" w:eastAsia="宋体"/>
                <w:b w:val="0"/>
                <w:i w:val="0"/>
                <w:sz w:val="19"/>
              </w:rPr>
              <w:t>下游货转详情</w:t>
            </w:r>
          </w:p>
        </w:tc>
        <w:tc>
          <w:tcPr>
            <w:tcW w:type="dxa" w:w="3969"/>
          </w:tcPr>
          <w:p>
            <w:pPr>
              <w:spacing w:before="20" w:after="20" w:line="276" w:lineRule="auto"/>
              <w:ind w:firstLine="0"/>
            </w:pPr>
            <w:r/>
            <w:r>
              <w:rPr>
                <w:rFonts w:ascii="Times New Roman" w:hAnsi="Times New Roman" w:eastAsia="宋体"/>
                <w:b w:val="0"/>
                <w:i w:val="0"/>
                <w:sz w:val="19"/>
              </w:rPr>
              <w:t>goods-transfer-down-detail.html</w:t>
            </w:r>
          </w:p>
        </w:tc>
      </w:tr>
      <w:tr>
        <w:tc>
          <w:tcPr>
            <w:tcW w:type="dxa" w:w="1701"/>
          </w:tcPr>
          <w:p>
            <w:pPr>
              <w:spacing w:before="20" w:after="20" w:line="276" w:lineRule="auto"/>
              <w:ind w:firstLine="0"/>
            </w:pPr>
            <w:r/>
            <w:r>
              <w:rPr>
                <w:rFonts w:ascii="Times New Roman" w:hAnsi="Times New Roman" w:eastAsia="宋体"/>
                <w:b w:val="0"/>
                <w:i w:val="0"/>
                <w:sz w:val="19"/>
              </w:rPr>
              <w:t>付款管理</w:t>
            </w:r>
          </w:p>
        </w:tc>
        <w:tc>
          <w:tcPr>
            <w:tcW w:type="dxa" w:w="3402"/>
          </w:tcPr>
          <w:p>
            <w:pPr>
              <w:spacing w:before="20" w:after="20" w:line="276" w:lineRule="auto"/>
              <w:ind w:firstLine="0"/>
            </w:pPr>
            <w:r/>
            <w:r>
              <w:rPr>
                <w:rFonts w:ascii="Times New Roman" w:hAnsi="Times New Roman" w:eastAsia="宋体"/>
                <w:b w:val="0"/>
                <w:i w:val="0"/>
                <w:sz w:val="19"/>
              </w:rPr>
              <w:t>付款列表</w:t>
            </w:r>
          </w:p>
        </w:tc>
        <w:tc>
          <w:tcPr>
            <w:tcW w:type="dxa" w:w="3969"/>
          </w:tcPr>
          <w:p>
            <w:pPr>
              <w:spacing w:before="20" w:after="20" w:line="276" w:lineRule="auto"/>
              <w:ind w:firstLine="0"/>
            </w:pPr>
            <w:r/>
            <w:r>
              <w:rPr>
                <w:rFonts w:ascii="Times New Roman" w:hAnsi="Times New Roman" w:eastAsia="宋体"/>
                <w:b w:val="0"/>
                <w:i w:val="0"/>
                <w:sz w:val="19"/>
              </w:rPr>
              <w:t>payment-list.html</w:t>
            </w:r>
          </w:p>
        </w:tc>
      </w:tr>
      <w:tr>
        <w:tc>
          <w:tcPr>
            <w:tcW w:type="dxa" w:w="1701"/>
          </w:tcPr>
          <w:p>
            <w:pPr>
              <w:spacing w:before="20" w:after="20" w:line="276" w:lineRule="auto"/>
              <w:ind w:firstLine="0"/>
            </w:pPr>
            <w:r/>
            <w:r>
              <w:rPr>
                <w:rFonts w:ascii="Times New Roman" w:hAnsi="Times New Roman" w:eastAsia="宋体"/>
                <w:b w:val="0"/>
                <w:i w:val="0"/>
                <w:sz w:val="19"/>
              </w:rPr>
              <w:t>付款管理</w:t>
            </w:r>
          </w:p>
        </w:tc>
        <w:tc>
          <w:tcPr>
            <w:tcW w:type="dxa" w:w="3402"/>
          </w:tcPr>
          <w:p>
            <w:pPr>
              <w:spacing w:before="20" w:after="20" w:line="276" w:lineRule="auto"/>
              <w:ind w:firstLine="0"/>
            </w:pPr>
            <w:r/>
            <w:r>
              <w:rPr>
                <w:rFonts w:ascii="Times New Roman" w:hAnsi="Times New Roman" w:eastAsia="宋体"/>
                <w:b w:val="0"/>
                <w:i w:val="0"/>
                <w:sz w:val="19"/>
              </w:rPr>
              <w:t>新增付款</w:t>
            </w:r>
          </w:p>
        </w:tc>
        <w:tc>
          <w:tcPr>
            <w:tcW w:type="dxa" w:w="3969"/>
          </w:tcPr>
          <w:p>
            <w:pPr>
              <w:spacing w:before="20" w:after="20" w:line="276" w:lineRule="auto"/>
              <w:ind w:firstLine="0"/>
            </w:pPr>
            <w:r/>
            <w:r>
              <w:rPr>
                <w:rFonts w:ascii="Times New Roman" w:hAnsi="Times New Roman" w:eastAsia="宋体"/>
                <w:b w:val="0"/>
                <w:i w:val="0"/>
                <w:sz w:val="19"/>
              </w:rPr>
              <w:t>payment-new.html</w:t>
            </w:r>
          </w:p>
        </w:tc>
      </w:tr>
      <w:tr>
        <w:tc>
          <w:tcPr>
            <w:tcW w:type="dxa" w:w="1701"/>
          </w:tcPr>
          <w:p>
            <w:pPr>
              <w:spacing w:before="20" w:after="20" w:line="276" w:lineRule="auto"/>
              <w:ind w:firstLine="0"/>
            </w:pPr>
            <w:r/>
            <w:r>
              <w:rPr>
                <w:rFonts w:ascii="Times New Roman" w:hAnsi="Times New Roman" w:eastAsia="宋体"/>
                <w:b w:val="0"/>
                <w:i w:val="0"/>
                <w:sz w:val="19"/>
              </w:rPr>
              <w:t>付款管理</w:t>
            </w:r>
          </w:p>
        </w:tc>
        <w:tc>
          <w:tcPr>
            <w:tcW w:type="dxa" w:w="3402"/>
          </w:tcPr>
          <w:p>
            <w:pPr>
              <w:spacing w:before="20" w:after="20" w:line="276" w:lineRule="auto"/>
              <w:ind w:firstLine="0"/>
            </w:pPr>
            <w:r/>
            <w:r>
              <w:rPr>
                <w:rFonts w:ascii="Times New Roman" w:hAnsi="Times New Roman" w:eastAsia="宋体"/>
                <w:b w:val="0"/>
                <w:i w:val="0"/>
                <w:sz w:val="19"/>
              </w:rPr>
              <w:t>付款详情</w:t>
            </w:r>
          </w:p>
        </w:tc>
        <w:tc>
          <w:tcPr>
            <w:tcW w:type="dxa" w:w="3969"/>
          </w:tcPr>
          <w:p>
            <w:pPr>
              <w:spacing w:before="20" w:after="20" w:line="276" w:lineRule="auto"/>
              <w:ind w:firstLine="0"/>
            </w:pPr>
            <w:r/>
            <w:r>
              <w:rPr>
                <w:rFonts w:ascii="Times New Roman" w:hAnsi="Times New Roman" w:eastAsia="宋体"/>
                <w:b w:val="0"/>
                <w:i w:val="0"/>
                <w:sz w:val="19"/>
              </w:rPr>
              <w:t>payment-detail.html</w:t>
            </w:r>
          </w:p>
        </w:tc>
      </w:tr>
      <w:tr>
        <w:tc>
          <w:tcPr>
            <w:tcW w:type="dxa" w:w="1701"/>
          </w:tcPr>
          <w:p>
            <w:pPr>
              <w:spacing w:before="20" w:after="20" w:line="276" w:lineRule="auto"/>
              <w:ind w:firstLine="0"/>
            </w:pPr>
            <w:r/>
            <w:r>
              <w:rPr>
                <w:rFonts w:ascii="Times New Roman" w:hAnsi="Times New Roman" w:eastAsia="宋体"/>
                <w:b w:val="0"/>
                <w:i w:val="0"/>
                <w:sz w:val="19"/>
              </w:rPr>
              <w:t>退款管理</w:t>
            </w:r>
          </w:p>
        </w:tc>
        <w:tc>
          <w:tcPr>
            <w:tcW w:type="dxa" w:w="3402"/>
          </w:tcPr>
          <w:p>
            <w:pPr>
              <w:spacing w:before="20" w:after="20" w:line="276" w:lineRule="auto"/>
              <w:ind w:firstLine="0"/>
            </w:pPr>
            <w:r/>
            <w:r>
              <w:rPr>
                <w:rFonts w:ascii="Times New Roman" w:hAnsi="Times New Roman" w:eastAsia="宋体"/>
                <w:b w:val="0"/>
                <w:i w:val="0"/>
                <w:sz w:val="19"/>
              </w:rPr>
              <w:t>退款列表</w:t>
            </w:r>
          </w:p>
        </w:tc>
        <w:tc>
          <w:tcPr>
            <w:tcW w:type="dxa" w:w="3969"/>
          </w:tcPr>
          <w:p>
            <w:pPr>
              <w:spacing w:before="20" w:after="20" w:line="276" w:lineRule="auto"/>
              <w:ind w:firstLine="0"/>
            </w:pPr>
            <w:r/>
            <w:r>
              <w:rPr>
                <w:rFonts w:ascii="Times New Roman" w:hAnsi="Times New Roman" w:eastAsia="宋体"/>
                <w:b w:val="0"/>
                <w:i w:val="0"/>
                <w:sz w:val="19"/>
              </w:rPr>
              <w:t>refund-list.html</w:t>
            </w:r>
          </w:p>
        </w:tc>
      </w:tr>
      <w:tr>
        <w:tc>
          <w:tcPr>
            <w:tcW w:type="dxa" w:w="1701"/>
          </w:tcPr>
          <w:p>
            <w:pPr>
              <w:spacing w:before="20" w:after="20" w:line="276" w:lineRule="auto"/>
              <w:ind w:firstLine="0"/>
            </w:pPr>
            <w:r/>
            <w:r>
              <w:rPr>
                <w:rFonts w:ascii="Times New Roman" w:hAnsi="Times New Roman" w:eastAsia="宋体"/>
                <w:b w:val="0"/>
                <w:i w:val="0"/>
                <w:sz w:val="19"/>
              </w:rPr>
              <w:t>退款管理</w:t>
            </w:r>
          </w:p>
        </w:tc>
        <w:tc>
          <w:tcPr>
            <w:tcW w:type="dxa" w:w="3402"/>
          </w:tcPr>
          <w:p>
            <w:pPr>
              <w:spacing w:before="20" w:after="20" w:line="276" w:lineRule="auto"/>
              <w:ind w:firstLine="0"/>
            </w:pPr>
            <w:r/>
            <w:r>
              <w:rPr>
                <w:rFonts w:ascii="Times New Roman" w:hAnsi="Times New Roman" w:eastAsia="宋体"/>
                <w:b w:val="0"/>
                <w:i w:val="0"/>
                <w:sz w:val="19"/>
              </w:rPr>
              <w:t>新增退款</w:t>
            </w:r>
          </w:p>
        </w:tc>
        <w:tc>
          <w:tcPr>
            <w:tcW w:type="dxa" w:w="3969"/>
          </w:tcPr>
          <w:p>
            <w:pPr>
              <w:spacing w:before="20" w:after="20" w:line="276" w:lineRule="auto"/>
              <w:ind w:firstLine="0"/>
            </w:pPr>
            <w:r/>
            <w:r>
              <w:rPr>
                <w:rFonts w:ascii="Times New Roman" w:hAnsi="Times New Roman" w:eastAsia="宋体"/>
                <w:b w:val="0"/>
                <w:i w:val="0"/>
                <w:sz w:val="19"/>
              </w:rPr>
              <w:t>refund-apply.html</w:t>
            </w:r>
          </w:p>
        </w:tc>
      </w:tr>
      <w:tr>
        <w:tc>
          <w:tcPr>
            <w:tcW w:type="dxa" w:w="1701"/>
          </w:tcPr>
          <w:p>
            <w:pPr>
              <w:spacing w:before="20" w:after="20" w:line="276" w:lineRule="auto"/>
              <w:ind w:firstLine="0"/>
            </w:pPr>
            <w:r/>
            <w:r>
              <w:rPr>
                <w:rFonts w:ascii="Times New Roman" w:hAnsi="Times New Roman" w:eastAsia="宋体"/>
                <w:b w:val="0"/>
                <w:i w:val="0"/>
                <w:sz w:val="19"/>
              </w:rPr>
              <w:t>退款管理</w:t>
            </w:r>
          </w:p>
        </w:tc>
        <w:tc>
          <w:tcPr>
            <w:tcW w:type="dxa" w:w="3402"/>
          </w:tcPr>
          <w:p>
            <w:pPr>
              <w:spacing w:before="20" w:after="20" w:line="276" w:lineRule="auto"/>
              <w:ind w:firstLine="0"/>
            </w:pPr>
            <w:r/>
            <w:r>
              <w:rPr>
                <w:rFonts w:ascii="Times New Roman" w:hAnsi="Times New Roman" w:eastAsia="宋体"/>
                <w:b w:val="0"/>
                <w:i w:val="0"/>
                <w:sz w:val="19"/>
              </w:rPr>
              <w:t>退款详情</w:t>
            </w:r>
          </w:p>
        </w:tc>
        <w:tc>
          <w:tcPr>
            <w:tcW w:type="dxa" w:w="3969"/>
          </w:tcPr>
          <w:p>
            <w:pPr>
              <w:spacing w:before="20" w:after="20" w:line="276" w:lineRule="auto"/>
              <w:ind w:firstLine="0"/>
            </w:pPr>
            <w:r/>
            <w:r>
              <w:rPr>
                <w:rFonts w:ascii="Times New Roman" w:hAnsi="Times New Roman" w:eastAsia="宋体"/>
                <w:b w:val="0"/>
                <w:i w:val="0"/>
                <w:sz w:val="19"/>
              </w:rPr>
              <w:t>refund-detail.html</w:t>
            </w:r>
          </w:p>
        </w:tc>
      </w:tr>
      <w:tr>
        <w:tc>
          <w:tcPr>
            <w:tcW w:type="dxa" w:w="1701"/>
          </w:tcPr>
          <w:p>
            <w:pPr>
              <w:spacing w:before="20" w:after="20" w:line="276" w:lineRule="auto"/>
              <w:ind w:firstLine="0"/>
            </w:pPr>
            <w:r/>
            <w:r>
              <w:rPr>
                <w:rFonts w:ascii="Times New Roman" w:hAnsi="Times New Roman" w:eastAsia="宋体"/>
                <w:b w:val="0"/>
                <w:i w:val="0"/>
                <w:sz w:val="19"/>
              </w:rPr>
              <w:t>回款管理</w:t>
            </w:r>
          </w:p>
        </w:tc>
        <w:tc>
          <w:tcPr>
            <w:tcW w:type="dxa" w:w="3402"/>
          </w:tcPr>
          <w:p>
            <w:pPr>
              <w:spacing w:before="20" w:after="20" w:line="276" w:lineRule="auto"/>
              <w:ind w:firstLine="0"/>
            </w:pPr>
            <w:r/>
            <w:r>
              <w:rPr>
                <w:rFonts w:ascii="Times New Roman" w:hAnsi="Times New Roman" w:eastAsia="宋体"/>
                <w:b w:val="0"/>
                <w:i w:val="0"/>
                <w:sz w:val="19"/>
              </w:rPr>
              <w:t>回款列表</w:t>
            </w:r>
          </w:p>
        </w:tc>
        <w:tc>
          <w:tcPr>
            <w:tcW w:type="dxa" w:w="3969"/>
          </w:tcPr>
          <w:p>
            <w:pPr>
              <w:spacing w:before="20" w:after="20" w:line="276" w:lineRule="auto"/>
              <w:ind w:firstLine="0"/>
            </w:pPr>
            <w:r/>
            <w:r>
              <w:rPr>
                <w:rFonts w:ascii="Times New Roman" w:hAnsi="Times New Roman" w:eastAsia="宋体"/>
                <w:b w:val="0"/>
                <w:i w:val="0"/>
                <w:sz w:val="19"/>
              </w:rPr>
              <w:t>receipt-list.html</w:t>
            </w:r>
          </w:p>
        </w:tc>
      </w:tr>
      <w:tr>
        <w:tc>
          <w:tcPr>
            <w:tcW w:type="dxa" w:w="1701"/>
          </w:tcPr>
          <w:p>
            <w:pPr>
              <w:spacing w:before="20" w:after="20" w:line="276" w:lineRule="auto"/>
              <w:ind w:firstLine="0"/>
            </w:pPr>
            <w:r/>
            <w:r>
              <w:rPr>
                <w:rFonts w:ascii="Times New Roman" w:hAnsi="Times New Roman" w:eastAsia="宋体"/>
                <w:b w:val="0"/>
                <w:i w:val="0"/>
                <w:sz w:val="19"/>
              </w:rPr>
              <w:t>回款管理</w:t>
            </w:r>
          </w:p>
        </w:tc>
        <w:tc>
          <w:tcPr>
            <w:tcW w:type="dxa" w:w="3402"/>
          </w:tcPr>
          <w:p>
            <w:pPr>
              <w:spacing w:before="20" w:after="20" w:line="276" w:lineRule="auto"/>
              <w:ind w:firstLine="0"/>
            </w:pPr>
            <w:r/>
            <w:r>
              <w:rPr>
                <w:rFonts w:ascii="Times New Roman" w:hAnsi="Times New Roman" w:eastAsia="宋体"/>
                <w:b w:val="0"/>
                <w:i w:val="0"/>
                <w:sz w:val="19"/>
              </w:rPr>
              <w:t>回款编辑（新增 / 认领）</w:t>
            </w:r>
          </w:p>
        </w:tc>
        <w:tc>
          <w:tcPr>
            <w:tcW w:type="dxa" w:w="3969"/>
          </w:tcPr>
          <w:p>
            <w:pPr>
              <w:spacing w:before="20" w:after="20" w:line="276" w:lineRule="auto"/>
              <w:ind w:firstLine="0"/>
            </w:pPr>
            <w:r/>
            <w:r>
              <w:rPr>
                <w:rFonts w:ascii="Times New Roman" w:hAnsi="Times New Roman" w:eastAsia="宋体"/>
                <w:b w:val="0"/>
                <w:i w:val="0"/>
                <w:sz w:val="19"/>
              </w:rPr>
              <w:t>receipt-edit.html</w:t>
            </w:r>
          </w:p>
        </w:tc>
      </w:tr>
      <w:tr>
        <w:tc>
          <w:tcPr>
            <w:tcW w:type="dxa" w:w="1701"/>
          </w:tcPr>
          <w:p>
            <w:pPr>
              <w:spacing w:before="20" w:after="20" w:line="276" w:lineRule="auto"/>
              <w:ind w:firstLine="0"/>
            </w:pPr>
            <w:r/>
            <w:r>
              <w:rPr>
                <w:rFonts w:ascii="Times New Roman" w:hAnsi="Times New Roman" w:eastAsia="宋体"/>
                <w:b w:val="0"/>
                <w:i w:val="0"/>
                <w:sz w:val="19"/>
              </w:rPr>
              <w:t>回款管理</w:t>
            </w:r>
          </w:p>
        </w:tc>
        <w:tc>
          <w:tcPr>
            <w:tcW w:type="dxa" w:w="3402"/>
          </w:tcPr>
          <w:p>
            <w:pPr>
              <w:spacing w:before="20" w:after="20" w:line="276" w:lineRule="auto"/>
              <w:ind w:firstLine="0"/>
            </w:pPr>
            <w:r/>
            <w:r>
              <w:rPr>
                <w:rFonts w:ascii="Times New Roman" w:hAnsi="Times New Roman" w:eastAsia="宋体"/>
                <w:b w:val="0"/>
                <w:i w:val="0"/>
                <w:sz w:val="19"/>
              </w:rPr>
              <w:t>回款详情</w:t>
            </w:r>
          </w:p>
        </w:tc>
        <w:tc>
          <w:tcPr>
            <w:tcW w:type="dxa" w:w="3969"/>
          </w:tcPr>
          <w:p>
            <w:pPr>
              <w:spacing w:before="20" w:after="20" w:line="276" w:lineRule="auto"/>
              <w:ind w:firstLine="0"/>
            </w:pPr>
            <w:r/>
            <w:r>
              <w:rPr>
                <w:rFonts w:ascii="Times New Roman" w:hAnsi="Times New Roman" w:eastAsia="宋体"/>
                <w:b w:val="0"/>
                <w:i w:val="0"/>
                <w:sz w:val="19"/>
              </w:rPr>
              <w:t>receipt-detail.html</w:t>
            </w:r>
          </w:p>
        </w:tc>
      </w:tr>
      <w:tr>
        <w:tc>
          <w:tcPr>
            <w:tcW w:type="dxa" w:w="1701"/>
          </w:tcPr>
          <w:p>
            <w:pPr>
              <w:spacing w:before="20" w:after="20" w:line="276" w:lineRule="auto"/>
              <w:ind w:firstLine="0"/>
            </w:pPr>
            <w:r/>
            <w:r>
              <w:rPr>
                <w:rFonts w:ascii="Times New Roman" w:hAnsi="Times New Roman" w:eastAsia="宋体"/>
                <w:b w:val="0"/>
                <w:i w:val="0"/>
                <w:sz w:val="19"/>
              </w:rPr>
              <w:t>回款管理</w:t>
            </w:r>
          </w:p>
        </w:tc>
        <w:tc>
          <w:tcPr>
            <w:tcW w:type="dxa" w:w="3402"/>
          </w:tcPr>
          <w:p>
            <w:pPr>
              <w:spacing w:before="20" w:after="20" w:line="276" w:lineRule="auto"/>
              <w:ind w:firstLine="0"/>
            </w:pPr>
            <w:r/>
            <w:r>
              <w:rPr>
                <w:rFonts w:ascii="Times New Roman" w:hAnsi="Times New Roman" w:eastAsia="宋体"/>
                <w:b w:val="0"/>
                <w:i w:val="0"/>
                <w:sz w:val="19"/>
              </w:rPr>
              <w:t>回款审批详情</w:t>
            </w:r>
          </w:p>
        </w:tc>
        <w:tc>
          <w:tcPr>
            <w:tcW w:type="dxa" w:w="3969"/>
          </w:tcPr>
          <w:p>
            <w:pPr>
              <w:spacing w:before="20" w:after="20" w:line="276" w:lineRule="auto"/>
              <w:ind w:firstLine="0"/>
            </w:pPr>
            <w:r/>
            <w:r>
              <w:rPr>
                <w:rFonts w:ascii="Times New Roman" w:hAnsi="Times New Roman" w:eastAsia="宋体"/>
                <w:b w:val="0"/>
                <w:i w:val="0"/>
                <w:sz w:val="19"/>
              </w:rPr>
              <w:t>receipt-approval-detail.html</w:t>
            </w:r>
          </w:p>
        </w:tc>
      </w:tr>
      <w:tr>
        <w:tc>
          <w:tcPr>
            <w:tcW w:type="dxa" w:w="1701"/>
          </w:tcPr>
          <w:p>
            <w:pPr>
              <w:spacing w:before="20" w:after="20" w:line="276" w:lineRule="auto"/>
              <w:ind w:firstLine="0"/>
            </w:pPr>
            <w:r/>
            <w:r>
              <w:rPr>
                <w:rFonts w:ascii="Times New Roman" w:hAnsi="Times New Roman" w:eastAsia="宋体"/>
                <w:b w:val="0"/>
                <w:i w:val="0"/>
                <w:sz w:val="19"/>
              </w:rPr>
              <w:t>保证金管理</w:t>
            </w:r>
          </w:p>
        </w:tc>
        <w:tc>
          <w:tcPr>
            <w:tcW w:type="dxa" w:w="3402"/>
          </w:tcPr>
          <w:p>
            <w:pPr>
              <w:spacing w:before="20" w:after="20" w:line="276" w:lineRule="auto"/>
              <w:ind w:firstLine="0"/>
            </w:pPr>
            <w:r/>
            <w:r>
              <w:rPr>
                <w:rFonts w:ascii="Times New Roman" w:hAnsi="Times New Roman" w:eastAsia="宋体"/>
                <w:b w:val="0"/>
                <w:i w:val="0"/>
                <w:sz w:val="19"/>
              </w:rPr>
              <w:t>保证金管理（保证金池列表）</w:t>
            </w:r>
          </w:p>
        </w:tc>
        <w:tc>
          <w:tcPr>
            <w:tcW w:type="dxa" w:w="3969"/>
          </w:tcPr>
          <w:p>
            <w:pPr>
              <w:spacing w:before="20" w:after="20" w:line="276" w:lineRule="auto"/>
              <w:ind w:firstLine="0"/>
            </w:pPr>
            <w:r/>
            <w:r>
              <w:rPr>
                <w:rFonts w:ascii="Times New Roman" w:hAnsi="Times New Roman" w:eastAsia="宋体"/>
                <w:b w:val="0"/>
                <w:i w:val="0"/>
                <w:sz w:val="19"/>
              </w:rPr>
              <w:t>margin-pool.html</w:t>
            </w:r>
          </w:p>
        </w:tc>
      </w:tr>
      <w:tr>
        <w:tc>
          <w:tcPr>
            <w:tcW w:type="dxa" w:w="1701"/>
          </w:tcPr>
          <w:p>
            <w:pPr>
              <w:spacing w:before="20" w:after="20" w:line="276" w:lineRule="auto"/>
              <w:ind w:firstLine="0"/>
            </w:pPr>
            <w:r/>
            <w:r>
              <w:rPr>
                <w:rFonts w:ascii="Times New Roman" w:hAnsi="Times New Roman" w:eastAsia="宋体"/>
                <w:b w:val="0"/>
                <w:i w:val="0"/>
                <w:sz w:val="19"/>
              </w:rPr>
              <w:t>保证金管理</w:t>
            </w:r>
          </w:p>
        </w:tc>
        <w:tc>
          <w:tcPr>
            <w:tcW w:type="dxa" w:w="3402"/>
          </w:tcPr>
          <w:p>
            <w:pPr>
              <w:spacing w:before="20" w:after="20" w:line="276" w:lineRule="auto"/>
              <w:ind w:firstLine="0"/>
            </w:pPr>
            <w:r/>
            <w:r>
              <w:rPr>
                <w:rFonts w:ascii="Times New Roman" w:hAnsi="Times New Roman" w:eastAsia="宋体"/>
                <w:b w:val="0"/>
                <w:i w:val="0"/>
                <w:sz w:val="19"/>
              </w:rPr>
              <w:t>保证金登记</w:t>
            </w:r>
          </w:p>
        </w:tc>
        <w:tc>
          <w:tcPr>
            <w:tcW w:type="dxa" w:w="3969"/>
          </w:tcPr>
          <w:p>
            <w:pPr>
              <w:spacing w:before="20" w:after="20" w:line="276" w:lineRule="auto"/>
              <w:ind w:firstLine="0"/>
            </w:pPr>
            <w:r/>
            <w:r>
              <w:rPr>
                <w:rFonts w:ascii="Times New Roman" w:hAnsi="Times New Roman" w:eastAsia="宋体"/>
                <w:b w:val="0"/>
                <w:i w:val="0"/>
                <w:sz w:val="19"/>
              </w:rPr>
              <w:t>margin-register.html</w:t>
            </w:r>
          </w:p>
        </w:tc>
      </w:tr>
      <w:tr>
        <w:tc>
          <w:tcPr>
            <w:tcW w:type="dxa" w:w="1701"/>
          </w:tcPr>
          <w:p>
            <w:pPr>
              <w:spacing w:before="20" w:after="20" w:line="276" w:lineRule="auto"/>
              <w:ind w:firstLine="0"/>
            </w:pPr>
            <w:r/>
            <w:r>
              <w:rPr>
                <w:rFonts w:ascii="Times New Roman" w:hAnsi="Times New Roman" w:eastAsia="宋体"/>
                <w:b w:val="0"/>
                <w:i w:val="0"/>
                <w:sz w:val="19"/>
              </w:rPr>
              <w:t>保证金管理</w:t>
            </w:r>
          </w:p>
        </w:tc>
        <w:tc>
          <w:tcPr>
            <w:tcW w:type="dxa" w:w="3402"/>
          </w:tcPr>
          <w:p>
            <w:pPr>
              <w:spacing w:before="20" w:after="20" w:line="276" w:lineRule="auto"/>
              <w:ind w:firstLine="0"/>
            </w:pPr>
            <w:r/>
            <w:r>
              <w:rPr>
                <w:rFonts w:ascii="Times New Roman" w:hAnsi="Times New Roman" w:eastAsia="宋体"/>
                <w:b w:val="0"/>
                <w:i w:val="0"/>
                <w:sz w:val="19"/>
              </w:rPr>
              <w:t>保证金调整</w:t>
            </w:r>
          </w:p>
        </w:tc>
        <w:tc>
          <w:tcPr>
            <w:tcW w:type="dxa" w:w="3969"/>
          </w:tcPr>
          <w:p>
            <w:pPr>
              <w:spacing w:before="20" w:after="20" w:line="276" w:lineRule="auto"/>
              <w:ind w:firstLine="0"/>
            </w:pPr>
            <w:r/>
            <w:r>
              <w:rPr>
                <w:rFonts w:ascii="Times New Roman" w:hAnsi="Times New Roman" w:eastAsia="宋体"/>
                <w:b w:val="0"/>
                <w:i w:val="0"/>
                <w:sz w:val="19"/>
              </w:rPr>
              <w:t>margin-adjust.html</w:t>
            </w:r>
          </w:p>
        </w:tc>
      </w:tr>
      <w:tr>
        <w:tc>
          <w:tcPr>
            <w:tcW w:type="dxa" w:w="1701"/>
          </w:tcPr>
          <w:p>
            <w:pPr>
              <w:spacing w:before="20" w:after="20" w:line="276" w:lineRule="auto"/>
              <w:ind w:firstLine="0"/>
            </w:pPr>
            <w:r/>
            <w:r>
              <w:rPr>
                <w:rFonts w:ascii="Times New Roman" w:hAnsi="Times New Roman" w:eastAsia="宋体"/>
                <w:b w:val="0"/>
                <w:i w:val="0"/>
                <w:sz w:val="19"/>
              </w:rPr>
              <w:t>保证金管理</w:t>
            </w:r>
          </w:p>
        </w:tc>
        <w:tc>
          <w:tcPr>
            <w:tcW w:type="dxa" w:w="3402"/>
          </w:tcPr>
          <w:p>
            <w:pPr>
              <w:spacing w:before="20" w:after="20" w:line="276" w:lineRule="auto"/>
              <w:ind w:firstLine="0"/>
            </w:pPr>
            <w:r/>
            <w:r>
              <w:rPr>
                <w:rFonts w:ascii="Times New Roman" w:hAnsi="Times New Roman" w:eastAsia="宋体"/>
                <w:b w:val="0"/>
                <w:i w:val="0"/>
                <w:sz w:val="19"/>
              </w:rPr>
              <w:t>保证金调整记录详情</w:t>
            </w:r>
          </w:p>
        </w:tc>
        <w:tc>
          <w:tcPr>
            <w:tcW w:type="dxa" w:w="3969"/>
          </w:tcPr>
          <w:p>
            <w:pPr>
              <w:spacing w:before="20" w:after="20" w:line="276" w:lineRule="auto"/>
              <w:ind w:firstLine="0"/>
            </w:pPr>
            <w:r/>
            <w:r>
              <w:rPr>
                <w:rFonts w:ascii="Times New Roman" w:hAnsi="Times New Roman" w:eastAsia="宋体"/>
                <w:b w:val="0"/>
                <w:i w:val="0"/>
                <w:sz w:val="19"/>
              </w:rPr>
              <w:t>margin-adjust-detail.html</w:t>
            </w:r>
          </w:p>
        </w:tc>
      </w:tr>
      <w:tr>
        <w:tc>
          <w:tcPr>
            <w:tcW w:type="dxa" w:w="1701"/>
          </w:tcPr>
          <w:p>
            <w:pPr>
              <w:spacing w:before="20" w:after="20" w:line="276" w:lineRule="auto"/>
              <w:ind w:firstLine="0"/>
            </w:pPr>
            <w:r/>
            <w:r>
              <w:rPr>
                <w:rFonts w:ascii="Times New Roman" w:hAnsi="Times New Roman" w:eastAsia="宋体"/>
                <w:b w:val="0"/>
                <w:i w:val="0"/>
                <w:sz w:val="19"/>
              </w:rPr>
              <w:t>保证金管理</w:t>
            </w:r>
          </w:p>
        </w:tc>
        <w:tc>
          <w:tcPr>
            <w:tcW w:type="dxa" w:w="3402"/>
          </w:tcPr>
          <w:p>
            <w:pPr>
              <w:spacing w:before="20" w:after="20" w:line="276" w:lineRule="auto"/>
              <w:ind w:firstLine="0"/>
            </w:pPr>
            <w:r/>
            <w:r>
              <w:rPr>
                <w:rFonts w:ascii="Times New Roman" w:hAnsi="Times New Roman" w:eastAsia="宋体"/>
                <w:b w:val="0"/>
                <w:i w:val="0"/>
                <w:sz w:val="19"/>
              </w:rPr>
              <w:t>保证金调整记录（历史流水页，已停用）</w:t>
            </w:r>
          </w:p>
        </w:tc>
        <w:tc>
          <w:tcPr>
            <w:tcW w:type="dxa" w:w="3969"/>
          </w:tcPr>
          <w:p>
            <w:pPr>
              <w:spacing w:before="20" w:after="20" w:line="276" w:lineRule="auto"/>
              <w:ind w:firstLine="0"/>
            </w:pPr>
            <w:r/>
            <w:r>
              <w:rPr>
                <w:rFonts w:ascii="Times New Roman" w:hAnsi="Times New Roman" w:eastAsia="宋体"/>
                <w:b w:val="0"/>
                <w:i w:val="0"/>
                <w:sz w:val="19"/>
              </w:rPr>
              <w:t>margin-record.html</w:t>
            </w:r>
          </w:p>
        </w:tc>
      </w:tr>
      <w:tr>
        <w:tc>
          <w:tcPr>
            <w:tcW w:type="dxa" w:w="1701"/>
          </w:tcPr>
          <w:p>
            <w:pPr>
              <w:spacing w:before="20" w:after="20" w:line="276" w:lineRule="auto"/>
              <w:ind w:firstLine="0"/>
            </w:pPr>
            <w:r/>
            <w:r>
              <w:rPr>
                <w:rFonts w:ascii="Times New Roman" w:hAnsi="Times New Roman" w:eastAsia="宋体"/>
                <w:b w:val="0"/>
                <w:i w:val="0"/>
                <w:sz w:val="19"/>
              </w:rPr>
              <w:t>结算单管理</w:t>
            </w:r>
          </w:p>
        </w:tc>
        <w:tc>
          <w:tcPr>
            <w:tcW w:type="dxa" w:w="3402"/>
          </w:tcPr>
          <w:p>
            <w:pPr>
              <w:spacing w:before="20" w:after="20" w:line="276" w:lineRule="auto"/>
              <w:ind w:firstLine="0"/>
            </w:pPr>
            <w:r/>
            <w:r>
              <w:rPr>
                <w:rFonts w:ascii="Times New Roman" w:hAnsi="Times New Roman" w:eastAsia="宋体"/>
                <w:b w:val="0"/>
                <w:i w:val="0"/>
                <w:sz w:val="19"/>
              </w:rPr>
              <w:t>采购结算（列表）</w:t>
            </w:r>
          </w:p>
        </w:tc>
        <w:tc>
          <w:tcPr>
            <w:tcW w:type="dxa" w:w="3969"/>
          </w:tcPr>
          <w:p>
            <w:pPr>
              <w:spacing w:before="20" w:after="20" w:line="276" w:lineRule="auto"/>
              <w:ind w:firstLine="0"/>
            </w:pPr>
            <w:r/>
            <w:r>
              <w:rPr>
                <w:rFonts w:ascii="Times New Roman" w:hAnsi="Times New Roman" w:eastAsia="宋体"/>
                <w:b w:val="0"/>
                <w:i w:val="0"/>
                <w:sz w:val="19"/>
              </w:rPr>
              <w:t>settlement-purchase.html</w:t>
            </w:r>
          </w:p>
        </w:tc>
      </w:tr>
      <w:tr>
        <w:tc>
          <w:tcPr>
            <w:tcW w:type="dxa" w:w="1701"/>
          </w:tcPr>
          <w:p>
            <w:pPr>
              <w:spacing w:before="20" w:after="20" w:line="276" w:lineRule="auto"/>
              <w:ind w:firstLine="0"/>
            </w:pPr>
            <w:r/>
            <w:r>
              <w:rPr>
                <w:rFonts w:ascii="Times New Roman" w:hAnsi="Times New Roman" w:eastAsia="宋体"/>
                <w:b w:val="0"/>
                <w:i w:val="0"/>
                <w:sz w:val="19"/>
              </w:rPr>
              <w:t>结算单管理</w:t>
            </w:r>
          </w:p>
        </w:tc>
        <w:tc>
          <w:tcPr>
            <w:tcW w:type="dxa" w:w="3402"/>
          </w:tcPr>
          <w:p>
            <w:pPr>
              <w:spacing w:before="20" w:after="20" w:line="276" w:lineRule="auto"/>
              <w:ind w:firstLine="0"/>
            </w:pPr>
            <w:r/>
            <w:r>
              <w:rPr>
                <w:rFonts w:ascii="Times New Roman" w:hAnsi="Times New Roman" w:eastAsia="宋体"/>
                <w:b w:val="0"/>
                <w:i w:val="0"/>
                <w:sz w:val="19"/>
              </w:rPr>
              <w:t>采购结算 · 新增/编辑</w:t>
            </w:r>
          </w:p>
        </w:tc>
        <w:tc>
          <w:tcPr>
            <w:tcW w:type="dxa" w:w="3969"/>
          </w:tcPr>
          <w:p>
            <w:pPr>
              <w:spacing w:before="20" w:after="20" w:line="276" w:lineRule="auto"/>
              <w:ind w:firstLine="0"/>
            </w:pPr>
            <w:r/>
            <w:r>
              <w:rPr>
                <w:rFonts w:ascii="Times New Roman" w:hAnsi="Times New Roman" w:eastAsia="宋体"/>
                <w:b w:val="0"/>
                <w:i w:val="0"/>
                <w:sz w:val="19"/>
              </w:rPr>
              <w:t>settlement-purchase-new.html</w:t>
            </w:r>
          </w:p>
        </w:tc>
      </w:tr>
      <w:tr>
        <w:tc>
          <w:tcPr>
            <w:tcW w:type="dxa" w:w="1701"/>
          </w:tcPr>
          <w:p>
            <w:pPr>
              <w:spacing w:before="20" w:after="20" w:line="276" w:lineRule="auto"/>
              <w:ind w:firstLine="0"/>
            </w:pPr>
            <w:r/>
            <w:r>
              <w:rPr>
                <w:rFonts w:ascii="Times New Roman" w:hAnsi="Times New Roman" w:eastAsia="宋体"/>
                <w:b w:val="0"/>
                <w:i w:val="0"/>
                <w:sz w:val="19"/>
              </w:rPr>
              <w:t>结算单管理</w:t>
            </w:r>
          </w:p>
        </w:tc>
        <w:tc>
          <w:tcPr>
            <w:tcW w:type="dxa" w:w="3402"/>
          </w:tcPr>
          <w:p>
            <w:pPr>
              <w:spacing w:before="20" w:after="20" w:line="276" w:lineRule="auto"/>
              <w:ind w:firstLine="0"/>
            </w:pPr>
            <w:r/>
            <w:r>
              <w:rPr>
                <w:rFonts w:ascii="Times New Roman" w:hAnsi="Times New Roman" w:eastAsia="宋体"/>
                <w:b w:val="0"/>
                <w:i w:val="0"/>
                <w:sz w:val="19"/>
              </w:rPr>
              <w:t>采购结算单详情</w:t>
            </w:r>
          </w:p>
        </w:tc>
        <w:tc>
          <w:tcPr>
            <w:tcW w:type="dxa" w:w="3969"/>
          </w:tcPr>
          <w:p>
            <w:pPr>
              <w:spacing w:before="20" w:after="20" w:line="276" w:lineRule="auto"/>
              <w:ind w:firstLine="0"/>
            </w:pPr>
            <w:r/>
            <w:r>
              <w:rPr>
                <w:rFonts w:ascii="Times New Roman" w:hAnsi="Times New Roman" w:eastAsia="宋体"/>
                <w:b w:val="0"/>
                <w:i w:val="0"/>
                <w:sz w:val="19"/>
              </w:rPr>
              <w:t>settlement-purchase-detail.html</w:t>
            </w:r>
          </w:p>
        </w:tc>
      </w:tr>
      <w:tr>
        <w:tc>
          <w:tcPr>
            <w:tcW w:type="dxa" w:w="1701"/>
          </w:tcPr>
          <w:p>
            <w:pPr>
              <w:spacing w:before="20" w:after="20" w:line="276" w:lineRule="auto"/>
              <w:ind w:firstLine="0"/>
            </w:pPr>
            <w:r/>
            <w:r>
              <w:rPr>
                <w:rFonts w:ascii="Times New Roman" w:hAnsi="Times New Roman" w:eastAsia="宋体"/>
                <w:b w:val="0"/>
                <w:i w:val="0"/>
                <w:sz w:val="19"/>
              </w:rPr>
              <w:t>结算单管理</w:t>
            </w:r>
          </w:p>
        </w:tc>
        <w:tc>
          <w:tcPr>
            <w:tcW w:type="dxa" w:w="3402"/>
          </w:tcPr>
          <w:p>
            <w:pPr>
              <w:spacing w:before="20" w:after="20" w:line="276" w:lineRule="auto"/>
              <w:ind w:firstLine="0"/>
            </w:pPr>
            <w:r/>
            <w:r>
              <w:rPr>
                <w:rFonts w:ascii="Times New Roman" w:hAnsi="Times New Roman" w:eastAsia="宋体"/>
                <w:b w:val="0"/>
                <w:i w:val="0"/>
                <w:sz w:val="19"/>
              </w:rPr>
              <w:t>销售结算（列表）</w:t>
            </w:r>
          </w:p>
        </w:tc>
        <w:tc>
          <w:tcPr>
            <w:tcW w:type="dxa" w:w="3969"/>
          </w:tcPr>
          <w:p>
            <w:pPr>
              <w:spacing w:before="20" w:after="20" w:line="276" w:lineRule="auto"/>
              <w:ind w:firstLine="0"/>
            </w:pPr>
            <w:r/>
            <w:r>
              <w:rPr>
                <w:rFonts w:ascii="Times New Roman" w:hAnsi="Times New Roman" w:eastAsia="宋体"/>
                <w:b w:val="0"/>
                <w:i w:val="0"/>
                <w:sz w:val="19"/>
              </w:rPr>
              <w:t>settlement-sales.html</w:t>
            </w:r>
          </w:p>
        </w:tc>
      </w:tr>
      <w:tr>
        <w:tc>
          <w:tcPr>
            <w:tcW w:type="dxa" w:w="1701"/>
          </w:tcPr>
          <w:p>
            <w:pPr>
              <w:spacing w:before="20" w:after="20" w:line="276" w:lineRule="auto"/>
              <w:ind w:firstLine="0"/>
            </w:pPr>
            <w:r/>
            <w:r>
              <w:rPr>
                <w:rFonts w:ascii="Times New Roman" w:hAnsi="Times New Roman" w:eastAsia="宋体"/>
                <w:b w:val="0"/>
                <w:i w:val="0"/>
                <w:sz w:val="19"/>
              </w:rPr>
              <w:t>结算单管理</w:t>
            </w:r>
          </w:p>
        </w:tc>
        <w:tc>
          <w:tcPr>
            <w:tcW w:type="dxa" w:w="3402"/>
          </w:tcPr>
          <w:p>
            <w:pPr>
              <w:spacing w:before="20" w:after="20" w:line="276" w:lineRule="auto"/>
              <w:ind w:firstLine="0"/>
            </w:pPr>
            <w:r/>
            <w:r>
              <w:rPr>
                <w:rFonts w:ascii="Times New Roman" w:hAnsi="Times New Roman" w:eastAsia="宋体"/>
                <w:b w:val="0"/>
                <w:i w:val="0"/>
                <w:sz w:val="19"/>
              </w:rPr>
              <w:t>销售结算 · 新增/编辑</w:t>
            </w:r>
          </w:p>
        </w:tc>
        <w:tc>
          <w:tcPr>
            <w:tcW w:type="dxa" w:w="3969"/>
          </w:tcPr>
          <w:p>
            <w:pPr>
              <w:spacing w:before="20" w:after="20" w:line="276" w:lineRule="auto"/>
              <w:ind w:firstLine="0"/>
            </w:pPr>
            <w:r/>
            <w:r>
              <w:rPr>
                <w:rFonts w:ascii="Times New Roman" w:hAnsi="Times New Roman" w:eastAsia="宋体"/>
                <w:b w:val="0"/>
                <w:i w:val="0"/>
                <w:sz w:val="19"/>
              </w:rPr>
              <w:t>settlement-sales-new.html</w:t>
            </w:r>
          </w:p>
        </w:tc>
      </w:tr>
      <w:tr>
        <w:tc>
          <w:tcPr>
            <w:tcW w:type="dxa" w:w="1701"/>
          </w:tcPr>
          <w:p>
            <w:pPr>
              <w:spacing w:before="20" w:after="20" w:line="276" w:lineRule="auto"/>
              <w:ind w:firstLine="0"/>
            </w:pPr>
            <w:r/>
            <w:r>
              <w:rPr>
                <w:rFonts w:ascii="Times New Roman" w:hAnsi="Times New Roman" w:eastAsia="宋体"/>
                <w:b w:val="0"/>
                <w:i w:val="0"/>
                <w:sz w:val="19"/>
              </w:rPr>
              <w:t>结算单管理</w:t>
            </w:r>
          </w:p>
        </w:tc>
        <w:tc>
          <w:tcPr>
            <w:tcW w:type="dxa" w:w="3402"/>
          </w:tcPr>
          <w:p>
            <w:pPr>
              <w:spacing w:before="20" w:after="20" w:line="276" w:lineRule="auto"/>
              <w:ind w:firstLine="0"/>
            </w:pPr>
            <w:r/>
            <w:r>
              <w:rPr>
                <w:rFonts w:ascii="Times New Roman" w:hAnsi="Times New Roman" w:eastAsia="宋体"/>
                <w:b w:val="0"/>
                <w:i w:val="0"/>
                <w:sz w:val="19"/>
              </w:rPr>
              <w:t>销售结算单详情</w:t>
            </w:r>
          </w:p>
        </w:tc>
        <w:tc>
          <w:tcPr>
            <w:tcW w:type="dxa" w:w="3969"/>
          </w:tcPr>
          <w:p>
            <w:pPr>
              <w:spacing w:before="20" w:after="20" w:line="276" w:lineRule="auto"/>
              <w:ind w:firstLine="0"/>
            </w:pPr>
            <w:r/>
            <w:r>
              <w:rPr>
                <w:rFonts w:ascii="Times New Roman" w:hAnsi="Times New Roman" w:eastAsia="宋体"/>
                <w:b w:val="0"/>
                <w:i w:val="0"/>
                <w:sz w:val="19"/>
              </w:rPr>
              <w:t>settlement-sales-detail.html</w:t>
            </w:r>
          </w:p>
        </w:tc>
      </w:tr>
      <w:tr>
        <w:tc>
          <w:tcPr>
            <w:tcW w:type="dxa" w:w="1701"/>
          </w:tcPr>
          <w:p>
            <w:pPr>
              <w:spacing w:before="20" w:after="20" w:line="276" w:lineRule="auto"/>
              <w:ind w:firstLine="0"/>
            </w:pPr>
            <w:r/>
            <w:r>
              <w:rPr>
                <w:rFonts w:ascii="Times New Roman" w:hAnsi="Times New Roman" w:eastAsia="宋体"/>
                <w:b w:val="0"/>
                <w:i w:val="0"/>
                <w:sz w:val="19"/>
              </w:rPr>
              <w:t>发票管理</w:t>
            </w:r>
          </w:p>
        </w:tc>
        <w:tc>
          <w:tcPr>
            <w:tcW w:type="dxa" w:w="3402"/>
          </w:tcPr>
          <w:p>
            <w:pPr>
              <w:spacing w:before="20" w:after="20" w:line="276" w:lineRule="auto"/>
              <w:ind w:firstLine="0"/>
            </w:pPr>
            <w:r/>
            <w:r>
              <w:rPr>
                <w:rFonts w:ascii="Times New Roman" w:hAnsi="Times New Roman" w:eastAsia="宋体"/>
                <w:b w:val="0"/>
                <w:i w:val="0"/>
                <w:sz w:val="19"/>
              </w:rPr>
              <w:t>进项发票（列表）</w:t>
            </w:r>
          </w:p>
        </w:tc>
        <w:tc>
          <w:tcPr>
            <w:tcW w:type="dxa" w:w="3969"/>
          </w:tcPr>
          <w:p>
            <w:pPr>
              <w:spacing w:before="20" w:after="20" w:line="276" w:lineRule="auto"/>
              <w:ind w:firstLine="0"/>
            </w:pPr>
            <w:r/>
            <w:r>
              <w:rPr>
                <w:rFonts w:ascii="Times New Roman" w:hAnsi="Times New Roman" w:eastAsia="宋体"/>
                <w:b w:val="0"/>
                <w:i w:val="0"/>
                <w:sz w:val="19"/>
              </w:rPr>
              <w:t>invoice.html</w:t>
            </w:r>
          </w:p>
        </w:tc>
      </w:tr>
      <w:tr>
        <w:tc>
          <w:tcPr>
            <w:tcW w:type="dxa" w:w="1701"/>
          </w:tcPr>
          <w:p>
            <w:pPr>
              <w:spacing w:before="20" w:after="20" w:line="276" w:lineRule="auto"/>
              <w:ind w:firstLine="0"/>
            </w:pPr>
            <w:r/>
            <w:r>
              <w:rPr>
                <w:rFonts w:ascii="Times New Roman" w:hAnsi="Times New Roman" w:eastAsia="宋体"/>
                <w:b w:val="0"/>
                <w:i w:val="0"/>
                <w:sz w:val="19"/>
              </w:rPr>
              <w:t>发票管理</w:t>
            </w:r>
          </w:p>
        </w:tc>
        <w:tc>
          <w:tcPr>
            <w:tcW w:type="dxa" w:w="3402"/>
          </w:tcPr>
          <w:p>
            <w:pPr>
              <w:spacing w:before="20" w:after="20" w:line="276" w:lineRule="auto"/>
              <w:ind w:firstLine="0"/>
            </w:pPr>
            <w:r/>
            <w:r>
              <w:rPr>
                <w:rFonts w:ascii="Times New Roman" w:hAnsi="Times New Roman" w:eastAsia="宋体"/>
                <w:b w:val="0"/>
                <w:i w:val="0"/>
                <w:sz w:val="19"/>
              </w:rPr>
              <w:t>进项发票详情</w:t>
            </w:r>
          </w:p>
        </w:tc>
        <w:tc>
          <w:tcPr>
            <w:tcW w:type="dxa" w:w="3969"/>
          </w:tcPr>
          <w:p>
            <w:pPr>
              <w:spacing w:before="20" w:after="20" w:line="276" w:lineRule="auto"/>
              <w:ind w:firstLine="0"/>
            </w:pPr>
            <w:r/>
            <w:r>
              <w:rPr>
                <w:rFonts w:ascii="Times New Roman" w:hAnsi="Times New Roman" w:eastAsia="宋体"/>
                <w:b w:val="0"/>
                <w:i w:val="0"/>
                <w:sz w:val="19"/>
              </w:rPr>
              <w:t>invoice-detail.html</w:t>
            </w:r>
          </w:p>
        </w:tc>
      </w:tr>
      <w:tr>
        <w:tc>
          <w:tcPr>
            <w:tcW w:type="dxa" w:w="1701"/>
          </w:tcPr>
          <w:p>
            <w:pPr>
              <w:spacing w:before="20" w:after="20" w:line="276" w:lineRule="auto"/>
              <w:ind w:firstLine="0"/>
            </w:pPr>
            <w:r/>
            <w:r>
              <w:rPr>
                <w:rFonts w:ascii="Times New Roman" w:hAnsi="Times New Roman" w:eastAsia="宋体"/>
                <w:b w:val="0"/>
                <w:i w:val="0"/>
                <w:sz w:val="19"/>
              </w:rPr>
              <w:t>发票管理</w:t>
            </w:r>
          </w:p>
        </w:tc>
        <w:tc>
          <w:tcPr>
            <w:tcW w:type="dxa" w:w="3402"/>
          </w:tcPr>
          <w:p>
            <w:pPr>
              <w:spacing w:before="20" w:after="20" w:line="276" w:lineRule="auto"/>
              <w:ind w:firstLine="0"/>
            </w:pPr>
            <w:r/>
            <w:r>
              <w:rPr>
                <w:rFonts w:ascii="Times New Roman" w:hAnsi="Times New Roman" w:eastAsia="宋体"/>
                <w:b w:val="0"/>
                <w:i w:val="0"/>
                <w:sz w:val="19"/>
              </w:rPr>
              <w:t>销项发票（列表）</w:t>
            </w:r>
          </w:p>
        </w:tc>
        <w:tc>
          <w:tcPr>
            <w:tcW w:type="dxa" w:w="3969"/>
          </w:tcPr>
          <w:p>
            <w:pPr>
              <w:spacing w:before="20" w:after="20" w:line="276" w:lineRule="auto"/>
              <w:ind w:firstLine="0"/>
            </w:pPr>
            <w:r/>
            <w:r>
              <w:rPr>
                <w:rFonts w:ascii="Times New Roman" w:hAnsi="Times New Roman" w:eastAsia="宋体"/>
                <w:b w:val="0"/>
                <w:i w:val="0"/>
                <w:sz w:val="19"/>
              </w:rPr>
              <w:t>invoice-out.html</w:t>
            </w:r>
          </w:p>
        </w:tc>
      </w:tr>
      <w:tr>
        <w:tc>
          <w:tcPr>
            <w:tcW w:type="dxa" w:w="1701"/>
          </w:tcPr>
          <w:p>
            <w:pPr>
              <w:spacing w:before="20" w:after="20" w:line="276" w:lineRule="auto"/>
              <w:ind w:firstLine="0"/>
            </w:pPr>
            <w:r/>
            <w:r>
              <w:rPr>
                <w:rFonts w:ascii="Times New Roman" w:hAnsi="Times New Roman" w:eastAsia="宋体"/>
                <w:b w:val="0"/>
                <w:i w:val="0"/>
                <w:sz w:val="19"/>
              </w:rPr>
              <w:t>发票管理</w:t>
            </w:r>
          </w:p>
        </w:tc>
        <w:tc>
          <w:tcPr>
            <w:tcW w:type="dxa" w:w="3402"/>
          </w:tcPr>
          <w:p>
            <w:pPr>
              <w:spacing w:before="20" w:after="20" w:line="276" w:lineRule="auto"/>
              <w:ind w:firstLine="0"/>
            </w:pPr>
            <w:r/>
            <w:r>
              <w:rPr>
                <w:rFonts w:ascii="Times New Roman" w:hAnsi="Times New Roman" w:eastAsia="宋体"/>
                <w:b w:val="0"/>
                <w:i w:val="0"/>
                <w:sz w:val="19"/>
              </w:rPr>
              <w:t>销项发票详情</w:t>
            </w:r>
          </w:p>
        </w:tc>
        <w:tc>
          <w:tcPr>
            <w:tcW w:type="dxa" w:w="3969"/>
          </w:tcPr>
          <w:p>
            <w:pPr>
              <w:spacing w:before="20" w:after="20" w:line="276" w:lineRule="auto"/>
              <w:ind w:firstLine="0"/>
            </w:pPr>
            <w:r/>
            <w:r>
              <w:rPr>
                <w:rFonts w:ascii="Times New Roman" w:hAnsi="Times New Roman" w:eastAsia="宋体"/>
                <w:b w:val="0"/>
                <w:i w:val="0"/>
                <w:sz w:val="19"/>
              </w:rPr>
              <w:t>invoice-out-detail.html</w:t>
            </w:r>
          </w:p>
        </w:tc>
      </w:tr>
      <w:tr>
        <w:tc>
          <w:tcPr>
            <w:tcW w:type="dxa" w:w="1701"/>
          </w:tcPr>
          <w:p>
            <w:pPr>
              <w:spacing w:before="20" w:after="20" w:line="276" w:lineRule="auto"/>
              <w:ind w:firstLine="0"/>
            </w:pPr>
            <w:r/>
            <w:r>
              <w:rPr>
                <w:rFonts w:ascii="Times New Roman" w:hAnsi="Times New Roman" w:eastAsia="宋体"/>
                <w:b w:val="0"/>
                <w:i w:val="0"/>
                <w:sz w:val="19"/>
              </w:rPr>
              <w:t>盯市管理</w:t>
            </w:r>
          </w:p>
        </w:tc>
        <w:tc>
          <w:tcPr>
            <w:tcW w:type="dxa" w:w="3402"/>
          </w:tcPr>
          <w:p>
            <w:pPr>
              <w:spacing w:before="20" w:after="20" w:line="276" w:lineRule="auto"/>
              <w:ind w:firstLine="0"/>
            </w:pPr>
            <w:r/>
            <w:r>
              <w:rPr>
                <w:rFonts w:ascii="Times New Roman" w:hAnsi="Times New Roman" w:eastAsia="宋体"/>
                <w:b w:val="0"/>
                <w:i w:val="0"/>
                <w:sz w:val="19"/>
              </w:rPr>
              <w:t>盯市价格管理</w:t>
            </w:r>
          </w:p>
        </w:tc>
        <w:tc>
          <w:tcPr>
            <w:tcW w:type="dxa" w:w="3969"/>
          </w:tcPr>
          <w:p>
            <w:pPr>
              <w:spacing w:before="20" w:after="20" w:line="276" w:lineRule="auto"/>
              <w:ind w:firstLine="0"/>
            </w:pPr>
            <w:r/>
            <w:r>
              <w:rPr>
                <w:rFonts w:ascii="Times New Roman" w:hAnsi="Times New Roman" w:eastAsia="宋体"/>
                <w:b w:val="0"/>
                <w:i w:val="0"/>
                <w:sz w:val="19"/>
              </w:rPr>
              <w:t>market-price.html</w:t>
            </w:r>
          </w:p>
        </w:tc>
      </w:tr>
      <w:tr>
        <w:tc>
          <w:tcPr>
            <w:tcW w:type="dxa" w:w="1701"/>
          </w:tcPr>
          <w:p>
            <w:pPr>
              <w:spacing w:before="20" w:after="20" w:line="276" w:lineRule="auto"/>
              <w:ind w:firstLine="0"/>
            </w:pPr>
            <w:r/>
            <w:r>
              <w:rPr>
                <w:rFonts w:ascii="Times New Roman" w:hAnsi="Times New Roman" w:eastAsia="宋体"/>
                <w:b w:val="0"/>
                <w:i w:val="0"/>
                <w:sz w:val="19"/>
              </w:rPr>
              <w:t>盯市管理</w:t>
            </w:r>
          </w:p>
        </w:tc>
        <w:tc>
          <w:tcPr>
            <w:tcW w:type="dxa" w:w="3402"/>
          </w:tcPr>
          <w:p>
            <w:pPr>
              <w:spacing w:before="20" w:after="20" w:line="276" w:lineRule="auto"/>
              <w:ind w:firstLine="0"/>
            </w:pPr>
            <w:r/>
            <w:r>
              <w:rPr>
                <w:rFonts w:ascii="Times New Roman" w:hAnsi="Times New Roman" w:eastAsia="宋体"/>
                <w:b w:val="0"/>
                <w:i w:val="0"/>
                <w:sz w:val="19"/>
              </w:rPr>
              <w:t>指标详情</w:t>
            </w:r>
          </w:p>
        </w:tc>
        <w:tc>
          <w:tcPr>
            <w:tcW w:type="dxa" w:w="3969"/>
          </w:tcPr>
          <w:p>
            <w:pPr>
              <w:spacing w:before="20" w:after="20" w:line="276" w:lineRule="auto"/>
              <w:ind w:firstLine="0"/>
            </w:pPr>
            <w:r/>
            <w:r>
              <w:rPr>
                <w:rFonts w:ascii="Times New Roman" w:hAnsi="Times New Roman" w:eastAsia="宋体"/>
                <w:b w:val="0"/>
                <w:i w:val="0"/>
                <w:sz w:val="19"/>
              </w:rPr>
              <w:t>market-price-detail.html</w:t>
            </w:r>
          </w:p>
        </w:tc>
      </w:tr>
      <w:tr>
        <w:tc>
          <w:tcPr>
            <w:tcW w:type="dxa" w:w="1701"/>
          </w:tcPr>
          <w:p>
            <w:pPr>
              <w:spacing w:before="20" w:after="20" w:line="276" w:lineRule="auto"/>
              <w:ind w:firstLine="0"/>
            </w:pPr>
            <w:r/>
            <w:r>
              <w:rPr>
                <w:rFonts w:ascii="Times New Roman" w:hAnsi="Times New Roman" w:eastAsia="宋体"/>
                <w:b w:val="0"/>
                <w:i w:val="0"/>
                <w:sz w:val="19"/>
              </w:rPr>
              <w:t>盯市管理</w:t>
            </w:r>
          </w:p>
        </w:tc>
        <w:tc>
          <w:tcPr>
            <w:tcW w:type="dxa" w:w="3402"/>
          </w:tcPr>
          <w:p>
            <w:pPr>
              <w:spacing w:before="20" w:after="20" w:line="276" w:lineRule="auto"/>
              <w:ind w:firstLine="0"/>
            </w:pPr>
            <w:r/>
            <w:r>
              <w:rPr>
                <w:rFonts w:ascii="Times New Roman" w:hAnsi="Times New Roman" w:eastAsia="宋体"/>
                <w:b w:val="0"/>
                <w:i w:val="0"/>
                <w:sz w:val="19"/>
              </w:rPr>
              <w:t>监控合同配置</w:t>
            </w:r>
          </w:p>
        </w:tc>
        <w:tc>
          <w:tcPr>
            <w:tcW w:type="dxa" w:w="3969"/>
          </w:tcPr>
          <w:p>
            <w:pPr>
              <w:spacing w:before="20" w:after="20" w:line="276" w:lineRule="auto"/>
              <w:ind w:firstLine="0"/>
            </w:pPr>
            <w:r/>
            <w:r>
              <w:rPr>
                <w:rFonts w:ascii="Times New Roman" w:hAnsi="Times New Roman" w:eastAsia="宋体"/>
                <w:b w:val="0"/>
                <w:i w:val="0"/>
                <w:sz w:val="19"/>
              </w:rPr>
              <w:t>warning-price-contract-config.html</w:t>
            </w:r>
          </w:p>
        </w:tc>
      </w:tr>
      <w:tr>
        <w:tc>
          <w:tcPr>
            <w:tcW w:type="dxa" w:w="1701"/>
          </w:tcPr>
          <w:p>
            <w:pPr>
              <w:spacing w:before="20" w:after="20" w:line="276" w:lineRule="auto"/>
              <w:ind w:firstLine="0"/>
            </w:pPr>
            <w:r/>
            <w:r>
              <w:rPr>
                <w:rFonts w:ascii="Times New Roman" w:hAnsi="Times New Roman" w:eastAsia="宋体"/>
                <w:b w:val="0"/>
                <w:i w:val="0"/>
                <w:sz w:val="19"/>
              </w:rPr>
              <w:t>盯市管理</w:t>
            </w:r>
          </w:p>
        </w:tc>
        <w:tc>
          <w:tcPr>
            <w:tcW w:type="dxa" w:w="3402"/>
          </w:tcPr>
          <w:p>
            <w:pPr>
              <w:spacing w:before="20" w:after="20" w:line="276" w:lineRule="auto"/>
              <w:ind w:firstLine="0"/>
            </w:pPr>
            <w:r/>
            <w:r>
              <w:rPr>
                <w:rFonts w:ascii="Times New Roman" w:hAnsi="Times New Roman" w:eastAsia="宋体"/>
                <w:b w:val="0"/>
                <w:i w:val="0"/>
                <w:sz w:val="19"/>
              </w:rPr>
              <w:t>价格波动规则配置</w:t>
            </w:r>
          </w:p>
        </w:tc>
        <w:tc>
          <w:tcPr>
            <w:tcW w:type="dxa" w:w="3969"/>
          </w:tcPr>
          <w:p>
            <w:pPr>
              <w:spacing w:before="20" w:after="20" w:line="276" w:lineRule="auto"/>
              <w:ind w:firstLine="0"/>
            </w:pPr>
            <w:r/>
            <w:r>
              <w:rPr>
                <w:rFonts w:ascii="Times New Roman" w:hAnsi="Times New Roman" w:eastAsia="宋体"/>
                <w:b w:val="0"/>
                <w:i w:val="0"/>
                <w:sz w:val="19"/>
              </w:rPr>
              <w:t>warning-config.html</w:t>
            </w:r>
          </w:p>
        </w:tc>
      </w:tr>
      <w:tr>
        <w:tc>
          <w:tcPr>
            <w:tcW w:type="dxa" w:w="1701"/>
          </w:tcPr>
          <w:p>
            <w:pPr>
              <w:spacing w:before="20" w:after="20" w:line="276" w:lineRule="auto"/>
              <w:ind w:firstLine="0"/>
            </w:pPr>
            <w:r/>
            <w:r>
              <w:rPr>
                <w:rFonts w:ascii="Times New Roman" w:hAnsi="Times New Roman" w:eastAsia="宋体"/>
                <w:b w:val="0"/>
                <w:i w:val="0"/>
                <w:sz w:val="19"/>
              </w:rPr>
              <w:t>追保函管理</w:t>
            </w:r>
          </w:p>
        </w:tc>
        <w:tc>
          <w:tcPr>
            <w:tcW w:type="dxa" w:w="3402"/>
          </w:tcPr>
          <w:p>
            <w:pPr>
              <w:spacing w:before="20" w:after="20" w:line="276" w:lineRule="auto"/>
              <w:ind w:firstLine="0"/>
            </w:pPr>
            <w:r/>
            <w:r>
              <w:rPr>
                <w:rFonts w:ascii="Times New Roman" w:hAnsi="Times New Roman" w:eastAsia="宋体"/>
                <w:b w:val="0"/>
                <w:i w:val="0"/>
                <w:sz w:val="19"/>
              </w:rPr>
              <w:t>追保函管理</w:t>
            </w:r>
          </w:p>
        </w:tc>
        <w:tc>
          <w:tcPr>
            <w:tcW w:type="dxa" w:w="3969"/>
          </w:tcPr>
          <w:p>
            <w:pPr>
              <w:spacing w:before="20" w:after="20" w:line="276" w:lineRule="auto"/>
              <w:ind w:firstLine="0"/>
            </w:pPr>
            <w:r/>
            <w:r>
              <w:rPr>
                <w:rFonts w:ascii="Times New Roman" w:hAnsi="Times New Roman" w:eastAsia="宋体"/>
                <w:b w:val="0"/>
                <w:i w:val="0"/>
                <w:sz w:val="19"/>
              </w:rPr>
              <w:t>bond-letter.html</w:t>
            </w:r>
          </w:p>
        </w:tc>
      </w:tr>
      <w:tr>
        <w:tc>
          <w:tcPr>
            <w:tcW w:type="dxa" w:w="1701"/>
          </w:tcPr>
          <w:p>
            <w:pPr>
              <w:spacing w:before="20" w:after="20" w:line="276" w:lineRule="auto"/>
              <w:ind w:firstLine="0"/>
            </w:pPr>
            <w:r/>
            <w:r>
              <w:rPr>
                <w:rFonts w:ascii="Times New Roman" w:hAnsi="Times New Roman" w:eastAsia="宋体"/>
                <w:b w:val="0"/>
                <w:i w:val="0"/>
                <w:sz w:val="19"/>
              </w:rPr>
              <w:t>追保函管理</w:t>
            </w:r>
          </w:p>
        </w:tc>
        <w:tc>
          <w:tcPr>
            <w:tcW w:type="dxa" w:w="3402"/>
          </w:tcPr>
          <w:p>
            <w:pPr>
              <w:spacing w:before="20" w:after="20" w:line="276" w:lineRule="auto"/>
              <w:ind w:firstLine="0"/>
            </w:pPr>
            <w:r/>
            <w:r>
              <w:rPr>
                <w:rFonts w:ascii="Times New Roman" w:hAnsi="Times New Roman" w:eastAsia="宋体"/>
                <w:b w:val="0"/>
                <w:i w:val="0"/>
                <w:sz w:val="19"/>
              </w:rPr>
              <w:t>新增追保函</w:t>
            </w:r>
          </w:p>
        </w:tc>
        <w:tc>
          <w:tcPr>
            <w:tcW w:type="dxa" w:w="3969"/>
          </w:tcPr>
          <w:p>
            <w:pPr>
              <w:spacing w:before="20" w:after="20" w:line="276" w:lineRule="auto"/>
              <w:ind w:firstLine="0"/>
            </w:pPr>
            <w:r/>
            <w:r>
              <w:rPr>
                <w:rFonts w:ascii="Times New Roman" w:hAnsi="Times New Roman" w:eastAsia="宋体"/>
                <w:b w:val="0"/>
                <w:i w:val="0"/>
                <w:sz w:val="19"/>
              </w:rPr>
              <w:t>bond-letter-new.html</w:t>
            </w:r>
          </w:p>
        </w:tc>
      </w:tr>
      <w:tr>
        <w:tc>
          <w:tcPr>
            <w:tcW w:type="dxa" w:w="1701"/>
          </w:tcPr>
          <w:p>
            <w:pPr>
              <w:spacing w:before="20" w:after="20" w:line="276" w:lineRule="auto"/>
              <w:ind w:firstLine="0"/>
            </w:pPr>
            <w:r/>
            <w:r>
              <w:rPr>
                <w:rFonts w:ascii="Times New Roman" w:hAnsi="Times New Roman" w:eastAsia="宋体"/>
                <w:b w:val="0"/>
                <w:i w:val="0"/>
                <w:sz w:val="19"/>
              </w:rPr>
              <w:t>追保函管理</w:t>
            </w:r>
          </w:p>
        </w:tc>
        <w:tc>
          <w:tcPr>
            <w:tcW w:type="dxa" w:w="3402"/>
          </w:tcPr>
          <w:p>
            <w:pPr>
              <w:spacing w:before="20" w:after="20" w:line="276" w:lineRule="auto"/>
              <w:ind w:firstLine="0"/>
            </w:pPr>
            <w:r/>
            <w:r>
              <w:rPr>
                <w:rFonts w:ascii="Times New Roman" w:hAnsi="Times New Roman" w:eastAsia="宋体"/>
                <w:b w:val="0"/>
                <w:i w:val="0"/>
                <w:sz w:val="19"/>
              </w:rPr>
              <w:t>新增追保函（线下）</w:t>
            </w:r>
          </w:p>
        </w:tc>
        <w:tc>
          <w:tcPr>
            <w:tcW w:type="dxa" w:w="3969"/>
          </w:tcPr>
          <w:p>
            <w:pPr>
              <w:spacing w:before="20" w:after="20" w:line="276" w:lineRule="auto"/>
              <w:ind w:firstLine="0"/>
            </w:pPr>
            <w:r/>
            <w:r>
              <w:rPr>
                <w:rFonts w:ascii="Times New Roman" w:hAnsi="Times New Roman" w:eastAsia="宋体"/>
                <w:b w:val="0"/>
                <w:i w:val="0"/>
                <w:sz w:val="19"/>
              </w:rPr>
              <w:t>bond-letter-new-offline.html</w:t>
            </w:r>
          </w:p>
        </w:tc>
      </w:tr>
      <w:tr>
        <w:tc>
          <w:tcPr>
            <w:tcW w:type="dxa" w:w="1701"/>
          </w:tcPr>
          <w:p>
            <w:pPr>
              <w:spacing w:before="20" w:after="20" w:line="276" w:lineRule="auto"/>
              <w:ind w:firstLine="0"/>
            </w:pPr>
            <w:r/>
            <w:r>
              <w:rPr>
                <w:rFonts w:ascii="Times New Roman" w:hAnsi="Times New Roman" w:eastAsia="宋体"/>
                <w:b w:val="0"/>
                <w:i w:val="0"/>
                <w:sz w:val="19"/>
              </w:rPr>
              <w:t>追保函管理</w:t>
            </w:r>
          </w:p>
        </w:tc>
        <w:tc>
          <w:tcPr>
            <w:tcW w:type="dxa" w:w="3402"/>
          </w:tcPr>
          <w:p>
            <w:pPr>
              <w:spacing w:before="20" w:after="20" w:line="276" w:lineRule="auto"/>
              <w:ind w:firstLine="0"/>
            </w:pPr>
            <w:r/>
            <w:r>
              <w:rPr>
                <w:rFonts w:ascii="Times New Roman" w:hAnsi="Times New Roman" w:eastAsia="宋体"/>
                <w:b w:val="0"/>
                <w:i w:val="0"/>
                <w:sz w:val="19"/>
              </w:rPr>
              <w:t>追保函详情</w:t>
            </w:r>
          </w:p>
        </w:tc>
        <w:tc>
          <w:tcPr>
            <w:tcW w:type="dxa" w:w="3969"/>
          </w:tcPr>
          <w:p>
            <w:pPr>
              <w:spacing w:before="20" w:after="20" w:line="276" w:lineRule="auto"/>
              <w:ind w:firstLine="0"/>
            </w:pPr>
            <w:r/>
            <w:r>
              <w:rPr>
                <w:rFonts w:ascii="Times New Roman" w:hAnsi="Times New Roman" w:eastAsia="宋体"/>
                <w:b w:val="0"/>
                <w:i w:val="0"/>
                <w:sz w:val="19"/>
              </w:rPr>
              <w:t>bond-letter-detail.html</w:t>
            </w:r>
          </w:p>
        </w:tc>
      </w:tr>
      <w:tr>
        <w:tc>
          <w:tcPr>
            <w:tcW w:type="dxa" w:w="1701"/>
          </w:tcPr>
          <w:p>
            <w:pPr>
              <w:spacing w:before="20" w:after="20" w:line="276" w:lineRule="auto"/>
              <w:ind w:firstLine="0"/>
            </w:pPr>
            <w:r/>
            <w:r>
              <w:rPr>
                <w:rFonts w:ascii="Times New Roman" w:hAnsi="Times New Roman" w:eastAsia="宋体"/>
                <w:b w:val="0"/>
                <w:i w:val="0"/>
                <w:sz w:val="19"/>
              </w:rPr>
              <w:t>审批管理</w:t>
            </w:r>
          </w:p>
        </w:tc>
        <w:tc>
          <w:tcPr>
            <w:tcW w:type="dxa" w:w="3402"/>
          </w:tcPr>
          <w:p>
            <w:pPr>
              <w:spacing w:before="20" w:after="20" w:line="276" w:lineRule="auto"/>
              <w:ind w:firstLine="0"/>
            </w:pPr>
            <w:r/>
            <w:r>
              <w:rPr>
                <w:rFonts w:ascii="Times New Roman" w:hAnsi="Times New Roman" w:eastAsia="宋体"/>
                <w:b w:val="0"/>
                <w:i w:val="0"/>
                <w:sz w:val="19"/>
              </w:rPr>
              <w:t>审批流程配置</w:t>
            </w:r>
          </w:p>
        </w:tc>
        <w:tc>
          <w:tcPr>
            <w:tcW w:type="dxa" w:w="3969"/>
          </w:tcPr>
          <w:p>
            <w:pPr>
              <w:spacing w:before="20" w:after="20" w:line="276" w:lineRule="auto"/>
              <w:ind w:firstLine="0"/>
            </w:pPr>
            <w:r/>
            <w:r>
              <w:rPr>
                <w:rFonts w:ascii="Times New Roman" w:hAnsi="Times New Roman" w:eastAsia="宋体"/>
                <w:b w:val="0"/>
                <w:i w:val="0"/>
                <w:sz w:val="19"/>
              </w:rPr>
              <w:t>approval-flow-list.html</w:t>
            </w:r>
          </w:p>
        </w:tc>
      </w:tr>
      <w:tr>
        <w:tc>
          <w:tcPr>
            <w:tcW w:type="dxa" w:w="1701"/>
          </w:tcPr>
          <w:p>
            <w:pPr>
              <w:spacing w:before="20" w:after="20" w:line="276" w:lineRule="auto"/>
              <w:ind w:firstLine="0"/>
            </w:pPr>
            <w:r/>
            <w:r>
              <w:rPr>
                <w:rFonts w:ascii="Times New Roman" w:hAnsi="Times New Roman" w:eastAsia="宋体"/>
                <w:b w:val="0"/>
                <w:i w:val="0"/>
                <w:sz w:val="19"/>
              </w:rPr>
              <w:t>审批管理</w:t>
            </w:r>
          </w:p>
        </w:tc>
        <w:tc>
          <w:tcPr>
            <w:tcW w:type="dxa" w:w="3402"/>
          </w:tcPr>
          <w:p>
            <w:pPr>
              <w:spacing w:before="20" w:after="20" w:line="276" w:lineRule="auto"/>
              <w:ind w:firstLine="0"/>
            </w:pPr>
            <w:r/>
            <w:r>
              <w:rPr>
                <w:rFonts w:ascii="Times New Roman" w:hAnsi="Times New Roman" w:eastAsia="宋体"/>
                <w:b w:val="0"/>
                <w:i w:val="0"/>
                <w:sz w:val="19"/>
              </w:rPr>
              <w:t>流程编排画布</w:t>
            </w:r>
          </w:p>
        </w:tc>
        <w:tc>
          <w:tcPr>
            <w:tcW w:type="dxa" w:w="3969"/>
          </w:tcPr>
          <w:p>
            <w:pPr>
              <w:spacing w:before="20" w:after="20" w:line="276" w:lineRule="auto"/>
              <w:ind w:firstLine="0"/>
            </w:pPr>
            <w:r/>
            <w:r>
              <w:rPr>
                <w:rFonts w:ascii="Times New Roman" w:hAnsi="Times New Roman" w:eastAsia="宋体"/>
                <w:b w:val="0"/>
                <w:i w:val="0"/>
                <w:sz w:val="19"/>
              </w:rPr>
              <w:t>approval-flow-editor.html</w:t>
            </w:r>
          </w:p>
        </w:tc>
      </w:tr>
      <w:tr>
        <w:tc>
          <w:tcPr>
            <w:tcW w:type="dxa" w:w="1701"/>
          </w:tcPr>
          <w:p>
            <w:pPr>
              <w:spacing w:before="20" w:after="20" w:line="276" w:lineRule="auto"/>
              <w:ind w:firstLine="0"/>
            </w:pPr>
            <w:r/>
            <w:r>
              <w:rPr>
                <w:rFonts w:ascii="Times New Roman" w:hAnsi="Times New Roman" w:eastAsia="宋体"/>
                <w:b w:val="0"/>
                <w:i w:val="0"/>
                <w:sz w:val="19"/>
              </w:rPr>
              <w:t>审批管理</w:t>
            </w:r>
          </w:p>
        </w:tc>
        <w:tc>
          <w:tcPr>
            <w:tcW w:type="dxa" w:w="3402"/>
          </w:tcPr>
          <w:p>
            <w:pPr>
              <w:spacing w:before="20" w:after="20" w:line="276" w:lineRule="auto"/>
              <w:ind w:firstLine="0"/>
            </w:pPr>
            <w:r/>
            <w:r>
              <w:rPr>
                <w:rFonts w:ascii="Times New Roman" w:hAnsi="Times New Roman" w:eastAsia="宋体"/>
                <w:b w:val="0"/>
                <w:i w:val="0"/>
                <w:sz w:val="19"/>
              </w:rPr>
              <w:t>审批流程监控</w:t>
            </w:r>
          </w:p>
        </w:tc>
        <w:tc>
          <w:tcPr>
            <w:tcW w:type="dxa" w:w="3969"/>
          </w:tcPr>
          <w:p>
            <w:pPr>
              <w:spacing w:before="20" w:after="20" w:line="276" w:lineRule="auto"/>
              <w:ind w:firstLine="0"/>
            </w:pPr>
            <w:r/>
            <w:r>
              <w:rPr>
                <w:rFonts w:ascii="Times New Roman" w:hAnsi="Times New Roman" w:eastAsia="宋体"/>
                <w:b w:val="0"/>
                <w:i w:val="0"/>
                <w:sz w:val="19"/>
              </w:rPr>
              <w:t>approval-monitor.html</w:t>
            </w:r>
          </w:p>
        </w:tc>
      </w:tr>
      <w:tr>
        <w:tc>
          <w:tcPr>
            <w:tcW w:type="dxa" w:w="1701"/>
          </w:tcPr>
          <w:p>
            <w:pPr>
              <w:spacing w:before="20" w:after="20" w:line="276" w:lineRule="auto"/>
              <w:ind w:firstLine="0"/>
            </w:pPr>
            <w:r/>
            <w:r>
              <w:rPr>
                <w:rFonts w:ascii="Times New Roman" w:hAnsi="Times New Roman" w:eastAsia="宋体"/>
                <w:b w:val="0"/>
                <w:i w:val="0"/>
                <w:sz w:val="19"/>
              </w:rPr>
              <w:t>入库管理</w:t>
            </w:r>
          </w:p>
        </w:tc>
        <w:tc>
          <w:tcPr>
            <w:tcW w:type="dxa" w:w="3402"/>
          </w:tcPr>
          <w:p>
            <w:pPr>
              <w:spacing w:before="20" w:after="20" w:line="276" w:lineRule="auto"/>
              <w:ind w:firstLine="0"/>
            </w:pPr>
            <w:r/>
            <w:r>
              <w:rPr>
                <w:rFonts w:ascii="Times New Roman" w:hAnsi="Times New Roman" w:eastAsia="宋体"/>
                <w:b w:val="0"/>
                <w:i w:val="0"/>
                <w:sz w:val="19"/>
              </w:rPr>
              <w:t>入库记录（列表）</w:t>
            </w:r>
          </w:p>
        </w:tc>
        <w:tc>
          <w:tcPr>
            <w:tcW w:type="dxa" w:w="3969"/>
          </w:tcPr>
          <w:p>
            <w:pPr>
              <w:spacing w:before="20" w:after="20" w:line="276" w:lineRule="auto"/>
              <w:ind w:firstLine="0"/>
            </w:pPr>
            <w:r/>
            <w:r>
              <w:rPr>
                <w:rFonts w:ascii="Times New Roman" w:hAnsi="Times New Roman" w:eastAsia="宋体"/>
                <w:b w:val="0"/>
                <w:i w:val="0"/>
                <w:sz w:val="19"/>
              </w:rPr>
              <w:t>warehouse-inbound.html</w:t>
            </w:r>
          </w:p>
        </w:tc>
      </w:tr>
      <w:tr>
        <w:tc>
          <w:tcPr>
            <w:tcW w:type="dxa" w:w="1701"/>
          </w:tcPr>
          <w:p>
            <w:pPr>
              <w:spacing w:before="20" w:after="20" w:line="276" w:lineRule="auto"/>
              <w:ind w:firstLine="0"/>
            </w:pPr>
            <w:r/>
            <w:r>
              <w:rPr>
                <w:rFonts w:ascii="Times New Roman" w:hAnsi="Times New Roman" w:eastAsia="宋体"/>
                <w:b w:val="0"/>
                <w:i w:val="0"/>
                <w:sz w:val="19"/>
              </w:rPr>
              <w:t>入库管理</w:t>
            </w:r>
          </w:p>
        </w:tc>
        <w:tc>
          <w:tcPr>
            <w:tcW w:type="dxa" w:w="3402"/>
          </w:tcPr>
          <w:p>
            <w:pPr>
              <w:spacing w:before="20" w:after="20" w:line="276" w:lineRule="auto"/>
              <w:ind w:firstLine="0"/>
            </w:pPr>
            <w:r/>
            <w:r>
              <w:rPr>
                <w:rFonts w:ascii="Times New Roman" w:hAnsi="Times New Roman" w:eastAsia="宋体"/>
                <w:b w:val="0"/>
                <w:i w:val="0"/>
                <w:sz w:val="19"/>
              </w:rPr>
              <w:t>新增采购入库（表单）</w:t>
            </w:r>
          </w:p>
        </w:tc>
        <w:tc>
          <w:tcPr>
            <w:tcW w:type="dxa" w:w="3969"/>
          </w:tcPr>
          <w:p>
            <w:pPr>
              <w:spacing w:before="20" w:after="20" w:line="276" w:lineRule="auto"/>
              <w:ind w:firstLine="0"/>
            </w:pPr>
            <w:r/>
            <w:r>
              <w:rPr>
                <w:rFonts w:ascii="Times New Roman" w:hAnsi="Times New Roman" w:eastAsia="宋体"/>
                <w:b w:val="0"/>
                <w:i w:val="0"/>
                <w:sz w:val="19"/>
              </w:rPr>
              <w:t>warehouse-inbound-new.html</w:t>
            </w:r>
          </w:p>
        </w:tc>
      </w:tr>
      <w:tr>
        <w:tc>
          <w:tcPr>
            <w:tcW w:type="dxa" w:w="1701"/>
          </w:tcPr>
          <w:p>
            <w:pPr>
              <w:spacing w:before="20" w:after="20" w:line="276" w:lineRule="auto"/>
              <w:ind w:firstLine="0"/>
            </w:pPr>
            <w:r/>
            <w:r>
              <w:rPr>
                <w:rFonts w:ascii="Times New Roman" w:hAnsi="Times New Roman" w:eastAsia="宋体"/>
                <w:b w:val="0"/>
                <w:i w:val="0"/>
                <w:sz w:val="19"/>
              </w:rPr>
              <w:t>入库管理</w:t>
            </w:r>
          </w:p>
        </w:tc>
        <w:tc>
          <w:tcPr>
            <w:tcW w:type="dxa" w:w="3402"/>
          </w:tcPr>
          <w:p>
            <w:pPr>
              <w:spacing w:before="20" w:after="20" w:line="276" w:lineRule="auto"/>
              <w:ind w:firstLine="0"/>
            </w:pPr>
            <w:r/>
            <w:r>
              <w:rPr>
                <w:rFonts w:ascii="Times New Roman" w:hAnsi="Times New Roman" w:eastAsia="宋体"/>
                <w:b w:val="0"/>
                <w:i w:val="0"/>
                <w:sz w:val="19"/>
              </w:rPr>
              <w:t>盘盈入库（无合同版表单）</w:t>
            </w:r>
          </w:p>
        </w:tc>
        <w:tc>
          <w:tcPr>
            <w:tcW w:type="dxa" w:w="3969"/>
          </w:tcPr>
          <w:p>
            <w:pPr>
              <w:spacing w:before="20" w:after="20" w:line="276" w:lineRule="auto"/>
              <w:ind w:firstLine="0"/>
            </w:pPr>
            <w:r/>
            <w:r>
              <w:rPr>
                <w:rFonts w:ascii="Times New Roman" w:hAnsi="Times New Roman" w:eastAsia="宋体"/>
                <w:b w:val="0"/>
                <w:i w:val="0"/>
                <w:sz w:val="19"/>
              </w:rPr>
              <w:t>warehouse-inbound-overflow-new.html</w:t>
            </w:r>
          </w:p>
        </w:tc>
      </w:tr>
      <w:tr>
        <w:tc>
          <w:tcPr>
            <w:tcW w:type="dxa" w:w="1701"/>
          </w:tcPr>
          <w:p>
            <w:pPr>
              <w:spacing w:before="20" w:after="20" w:line="276" w:lineRule="auto"/>
              <w:ind w:firstLine="0"/>
            </w:pPr>
            <w:r/>
            <w:r>
              <w:rPr>
                <w:rFonts w:ascii="Times New Roman" w:hAnsi="Times New Roman" w:eastAsia="宋体"/>
                <w:b w:val="0"/>
                <w:i w:val="0"/>
                <w:sz w:val="19"/>
              </w:rPr>
              <w:t>入库管理</w:t>
            </w:r>
          </w:p>
        </w:tc>
        <w:tc>
          <w:tcPr>
            <w:tcW w:type="dxa" w:w="3402"/>
          </w:tcPr>
          <w:p>
            <w:pPr>
              <w:spacing w:before="20" w:after="20" w:line="276" w:lineRule="auto"/>
              <w:ind w:firstLine="0"/>
            </w:pPr>
            <w:r/>
            <w:r>
              <w:rPr>
                <w:rFonts w:ascii="Times New Roman" w:hAnsi="Times New Roman" w:eastAsia="宋体"/>
                <w:b w:val="0"/>
                <w:i w:val="0"/>
                <w:sz w:val="19"/>
              </w:rPr>
              <w:t>入库信息详情</w:t>
            </w:r>
          </w:p>
        </w:tc>
        <w:tc>
          <w:tcPr>
            <w:tcW w:type="dxa" w:w="3969"/>
          </w:tcPr>
          <w:p>
            <w:pPr>
              <w:spacing w:before="20" w:after="20" w:line="276" w:lineRule="auto"/>
              <w:ind w:firstLine="0"/>
            </w:pPr>
            <w:r/>
            <w:r>
              <w:rPr>
                <w:rFonts w:ascii="Times New Roman" w:hAnsi="Times New Roman" w:eastAsia="宋体"/>
                <w:b w:val="0"/>
                <w:i w:val="0"/>
                <w:sz w:val="19"/>
              </w:rPr>
              <w:t>warehouse-inbound-detail.html</w:t>
            </w:r>
          </w:p>
        </w:tc>
      </w:tr>
      <w:tr>
        <w:tc>
          <w:tcPr>
            <w:tcW w:type="dxa" w:w="1701"/>
          </w:tcPr>
          <w:p>
            <w:pPr>
              <w:spacing w:before="20" w:after="20" w:line="276" w:lineRule="auto"/>
              <w:ind w:firstLine="0"/>
            </w:pPr>
            <w:r/>
            <w:r>
              <w:rPr>
                <w:rFonts w:ascii="Times New Roman" w:hAnsi="Times New Roman" w:eastAsia="宋体"/>
                <w:b w:val="0"/>
                <w:i w:val="0"/>
                <w:sz w:val="19"/>
              </w:rPr>
              <w:t>出库管理</w:t>
            </w:r>
          </w:p>
        </w:tc>
        <w:tc>
          <w:tcPr>
            <w:tcW w:type="dxa" w:w="3402"/>
          </w:tcPr>
          <w:p>
            <w:pPr>
              <w:spacing w:before="20" w:after="20" w:line="276" w:lineRule="auto"/>
              <w:ind w:firstLine="0"/>
            </w:pPr>
            <w:r/>
            <w:r>
              <w:rPr>
                <w:rFonts w:ascii="Times New Roman" w:hAnsi="Times New Roman" w:eastAsia="宋体"/>
                <w:b w:val="0"/>
                <w:i w:val="0"/>
                <w:sz w:val="19"/>
              </w:rPr>
              <w:t>出库记录（列表）</w:t>
            </w:r>
          </w:p>
        </w:tc>
        <w:tc>
          <w:tcPr>
            <w:tcW w:type="dxa" w:w="3969"/>
          </w:tcPr>
          <w:p>
            <w:pPr>
              <w:spacing w:before="20" w:after="20" w:line="276" w:lineRule="auto"/>
              <w:ind w:firstLine="0"/>
            </w:pPr>
            <w:r/>
            <w:r>
              <w:rPr>
                <w:rFonts w:ascii="Times New Roman" w:hAnsi="Times New Roman" w:eastAsia="宋体"/>
                <w:b w:val="0"/>
                <w:i w:val="0"/>
                <w:sz w:val="19"/>
              </w:rPr>
              <w:t>warehouse-outbound.html</w:t>
            </w:r>
          </w:p>
        </w:tc>
      </w:tr>
      <w:tr>
        <w:tc>
          <w:tcPr>
            <w:tcW w:type="dxa" w:w="1701"/>
          </w:tcPr>
          <w:p>
            <w:pPr>
              <w:spacing w:before="20" w:after="20" w:line="276" w:lineRule="auto"/>
              <w:ind w:firstLine="0"/>
            </w:pPr>
            <w:r/>
            <w:r>
              <w:rPr>
                <w:rFonts w:ascii="Times New Roman" w:hAnsi="Times New Roman" w:eastAsia="宋体"/>
                <w:b w:val="0"/>
                <w:i w:val="0"/>
                <w:sz w:val="19"/>
              </w:rPr>
              <w:t>出库管理</w:t>
            </w:r>
          </w:p>
        </w:tc>
        <w:tc>
          <w:tcPr>
            <w:tcW w:type="dxa" w:w="3402"/>
          </w:tcPr>
          <w:p>
            <w:pPr>
              <w:spacing w:before="20" w:after="20" w:line="276" w:lineRule="auto"/>
              <w:ind w:firstLine="0"/>
            </w:pPr>
            <w:r/>
            <w:r>
              <w:rPr>
                <w:rFonts w:ascii="Times New Roman" w:hAnsi="Times New Roman" w:eastAsia="宋体"/>
                <w:b w:val="0"/>
                <w:i w:val="0"/>
                <w:sz w:val="19"/>
              </w:rPr>
              <w:t>新增销售出库（表单）</w:t>
            </w:r>
          </w:p>
        </w:tc>
        <w:tc>
          <w:tcPr>
            <w:tcW w:type="dxa" w:w="3969"/>
          </w:tcPr>
          <w:p>
            <w:pPr>
              <w:spacing w:before="20" w:after="20" w:line="276" w:lineRule="auto"/>
              <w:ind w:firstLine="0"/>
            </w:pPr>
            <w:r/>
            <w:r>
              <w:rPr>
                <w:rFonts w:ascii="Times New Roman" w:hAnsi="Times New Roman" w:eastAsia="宋体"/>
                <w:b w:val="0"/>
                <w:i w:val="0"/>
                <w:sz w:val="19"/>
              </w:rPr>
              <w:t>warehouse-outbound-new.html</w:t>
            </w:r>
          </w:p>
        </w:tc>
      </w:tr>
      <w:tr>
        <w:tc>
          <w:tcPr>
            <w:tcW w:type="dxa" w:w="1701"/>
          </w:tcPr>
          <w:p>
            <w:pPr>
              <w:spacing w:before="20" w:after="20" w:line="276" w:lineRule="auto"/>
              <w:ind w:firstLine="0"/>
            </w:pPr>
            <w:r/>
            <w:r>
              <w:rPr>
                <w:rFonts w:ascii="Times New Roman" w:hAnsi="Times New Roman" w:eastAsia="宋体"/>
                <w:b w:val="0"/>
                <w:i w:val="0"/>
                <w:sz w:val="19"/>
              </w:rPr>
              <w:t>出库管理</w:t>
            </w:r>
          </w:p>
        </w:tc>
        <w:tc>
          <w:tcPr>
            <w:tcW w:type="dxa" w:w="3402"/>
          </w:tcPr>
          <w:p>
            <w:pPr>
              <w:spacing w:before="20" w:after="20" w:line="276" w:lineRule="auto"/>
              <w:ind w:firstLine="0"/>
            </w:pPr>
            <w:r/>
            <w:r>
              <w:rPr>
                <w:rFonts w:ascii="Times New Roman" w:hAnsi="Times New Roman" w:eastAsia="宋体"/>
                <w:b w:val="0"/>
                <w:i w:val="0"/>
                <w:sz w:val="19"/>
              </w:rPr>
              <w:t>出库信息详情</w:t>
            </w:r>
          </w:p>
        </w:tc>
        <w:tc>
          <w:tcPr>
            <w:tcW w:type="dxa" w:w="3969"/>
          </w:tcPr>
          <w:p>
            <w:pPr>
              <w:spacing w:before="20" w:after="20" w:line="276" w:lineRule="auto"/>
              <w:ind w:firstLine="0"/>
            </w:pPr>
            <w:r/>
            <w:r>
              <w:rPr>
                <w:rFonts w:ascii="Times New Roman" w:hAnsi="Times New Roman" w:eastAsia="宋体"/>
                <w:b w:val="0"/>
                <w:i w:val="0"/>
                <w:sz w:val="19"/>
              </w:rPr>
              <w:t>warehouse-outbound-detail.html</w:t>
            </w:r>
          </w:p>
        </w:tc>
      </w:tr>
      <w:tr>
        <w:tc>
          <w:tcPr>
            <w:tcW w:type="dxa" w:w="1701"/>
          </w:tcPr>
          <w:p>
            <w:pPr>
              <w:spacing w:before="20" w:after="20" w:line="276" w:lineRule="auto"/>
              <w:ind w:firstLine="0"/>
            </w:pPr>
            <w:r/>
            <w:r>
              <w:rPr>
                <w:rFonts w:ascii="Times New Roman" w:hAnsi="Times New Roman" w:eastAsia="宋体"/>
                <w:b w:val="0"/>
                <w:i w:val="0"/>
                <w:sz w:val="19"/>
              </w:rPr>
              <w:t>提放货管理</w:t>
            </w:r>
          </w:p>
        </w:tc>
        <w:tc>
          <w:tcPr>
            <w:tcW w:type="dxa" w:w="3402"/>
          </w:tcPr>
          <w:p>
            <w:pPr>
              <w:spacing w:before="20" w:after="20" w:line="276" w:lineRule="auto"/>
              <w:ind w:firstLine="0"/>
            </w:pPr>
            <w:r/>
            <w:r>
              <w:rPr>
                <w:rFonts w:ascii="Times New Roman" w:hAnsi="Times New Roman" w:eastAsia="宋体"/>
                <w:b w:val="0"/>
                <w:i w:val="0"/>
                <w:sz w:val="19"/>
              </w:rPr>
              <w:t>提货管理（列表）</w:t>
            </w:r>
          </w:p>
        </w:tc>
        <w:tc>
          <w:tcPr>
            <w:tcW w:type="dxa" w:w="3969"/>
          </w:tcPr>
          <w:p>
            <w:pPr>
              <w:spacing w:before="20" w:after="20" w:line="276" w:lineRule="auto"/>
              <w:ind w:firstLine="0"/>
            </w:pPr>
            <w:r/>
            <w:r>
              <w:rPr>
                <w:rFonts w:ascii="Times New Roman" w:hAnsi="Times New Roman" w:eastAsia="宋体"/>
                <w:b w:val="0"/>
                <w:i w:val="0"/>
                <w:sz w:val="19"/>
              </w:rPr>
              <w:t>warehouse-pickup.html</w:t>
            </w:r>
          </w:p>
        </w:tc>
      </w:tr>
      <w:tr>
        <w:tc>
          <w:tcPr>
            <w:tcW w:type="dxa" w:w="1701"/>
          </w:tcPr>
          <w:p>
            <w:pPr>
              <w:spacing w:before="20" w:after="20" w:line="276" w:lineRule="auto"/>
              <w:ind w:firstLine="0"/>
            </w:pPr>
            <w:r/>
            <w:r>
              <w:rPr>
                <w:rFonts w:ascii="Times New Roman" w:hAnsi="Times New Roman" w:eastAsia="宋体"/>
                <w:b w:val="0"/>
                <w:i w:val="0"/>
                <w:sz w:val="19"/>
              </w:rPr>
              <w:t>提放货管理</w:t>
            </w:r>
          </w:p>
        </w:tc>
        <w:tc>
          <w:tcPr>
            <w:tcW w:type="dxa" w:w="3402"/>
          </w:tcPr>
          <w:p>
            <w:pPr>
              <w:spacing w:before="20" w:after="20" w:line="276" w:lineRule="auto"/>
              <w:ind w:firstLine="0"/>
            </w:pPr>
            <w:r/>
            <w:r>
              <w:rPr>
                <w:rFonts w:ascii="Times New Roman" w:hAnsi="Times New Roman" w:eastAsia="宋体"/>
                <w:b w:val="0"/>
                <w:i w:val="0"/>
                <w:sz w:val="19"/>
              </w:rPr>
              <w:t>放货指令（列表）</w:t>
            </w:r>
          </w:p>
        </w:tc>
        <w:tc>
          <w:tcPr>
            <w:tcW w:type="dxa" w:w="3969"/>
          </w:tcPr>
          <w:p>
            <w:pPr>
              <w:spacing w:before="20" w:after="20" w:line="276" w:lineRule="auto"/>
              <w:ind w:firstLine="0"/>
            </w:pPr>
            <w:r/>
            <w:r>
              <w:rPr>
                <w:rFonts w:ascii="Times New Roman" w:hAnsi="Times New Roman" w:eastAsia="宋体"/>
                <w:b w:val="0"/>
                <w:i w:val="0"/>
                <w:sz w:val="19"/>
              </w:rPr>
              <w:t>warehouse-release.html</w:t>
            </w:r>
          </w:p>
        </w:tc>
      </w:tr>
      <w:tr>
        <w:tc>
          <w:tcPr>
            <w:tcW w:type="dxa" w:w="1701"/>
          </w:tcPr>
          <w:p>
            <w:pPr>
              <w:spacing w:before="20" w:after="20" w:line="276" w:lineRule="auto"/>
              <w:ind w:firstLine="0"/>
            </w:pPr>
            <w:r/>
            <w:r>
              <w:rPr>
                <w:rFonts w:ascii="Times New Roman" w:hAnsi="Times New Roman" w:eastAsia="宋体"/>
                <w:b w:val="0"/>
                <w:i w:val="0"/>
                <w:sz w:val="19"/>
              </w:rPr>
              <w:t>提放货管理</w:t>
            </w:r>
          </w:p>
        </w:tc>
        <w:tc>
          <w:tcPr>
            <w:tcW w:type="dxa" w:w="3402"/>
          </w:tcPr>
          <w:p>
            <w:pPr>
              <w:spacing w:before="20" w:after="20" w:line="276" w:lineRule="auto"/>
              <w:ind w:firstLine="0"/>
            </w:pPr>
            <w:r/>
            <w:r>
              <w:rPr>
                <w:rFonts w:ascii="Times New Roman" w:hAnsi="Times New Roman" w:eastAsia="宋体"/>
                <w:b w:val="0"/>
                <w:i w:val="0"/>
                <w:sz w:val="19"/>
              </w:rPr>
              <w:t>新增放货指令（表单）</w:t>
            </w:r>
          </w:p>
        </w:tc>
        <w:tc>
          <w:tcPr>
            <w:tcW w:type="dxa" w:w="3969"/>
          </w:tcPr>
          <w:p>
            <w:pPr>
              <w:spacing w:before="20" w:after="20" w:line="276" w:lineRule="auto"/>
              <w:ind w:firstLine="0"/>
            </w:pPr>
            <w:r/>
            <w:r>
              <w:rPr>
                <w:rFonts w:ascii="Times New Roman" w:hAnsi="Times New Roman" w:eastAsia="宋体"/>
                <w:b w:val="0"/>
                <w:i w:val="0"/>
                <w:sz w:val="19"/>
              </w:rPr>
              <w:t>warehouse-release-new.html</w:t>
            </w:r>
          </w:p>
        </w:tc>
      </w:tr>
      <w:tr>
        <w:tc>
          <w:tcPr>
            <w:tcW w:type="dxa" w:w="1701"/>
          </w:tcPr>
          <w:p>
            <w:pPr>
              <w:spacing w:before="20" w:after="20" w:line="276" w:lineRule="auto"/>
              <w:ind w:firstLine="0"/>
            </w:pPr>
            <w:r/>
            <w:r>
              <w:rPr>
                <w:rFonts w:ascii="Times New Roman" w:hAnsi="Times New Roman" w:eastAsia="宋体"/>
                <w:b w:val="0"/>
                <w:i w:val="0"/>
                <w:sz w:val="19"/>
              </w:rPr>
              <w:t>提放货管理</w:t>
            </w:r>
          </w:p>
        </w:tc>
        <w:tc>
          <w:tcPr>
            <w:tcW w:type="dxa" w:w="3402"/>
          </w:tcPr>
          <w:p>
            <w:pPr>
              <w:spacing w:before="20" w:after="20" w:line="276" w:lineRule="auto"/>
              <w:ind w:firstLine="0"/>
            </w:pPr>
            <w:r/>
            <w:r>
              <w:rPr>
                <w:rFonts w:ascii="Times New Roman" w:hAnsi="Times New Roman" w:eastAsia="宋体"/>
                <w:b w:val="0"/>
                <w:i w:val="0"/>
                <w:sz w:val="19"/>
              </w:rPr>
              <w:t>放货指令详情</w:t>
            </w:r>
          </w:p>
        </w:tc>
        <w:tc>
          <w:tcPr>
            <w:tcW w:type="dxa" w:w="3969"/>
          </w:tcPr>
          <w:p>
            <w:pPr>
              <w:spacing w:before="20" w:after="20" w:line="276" w:lineRule="auto"/>
              <w:ind w:firstLine="0"/>
            </w:pPr>
            <w:r/>
            <w:r>
              <w:rPr>
                <w:rFonts w:ascii="Times New Roman" w:hAnsi="Times New Roman" w:eastAsia="宋体"/>
                <w:b w:val="0"/>
                <w:i w:val="0"/>
                <w:sz w:val="19"/>
              </w:rPr>
              <w:t>warehouse-release-detail.html</w:t>
            </w:r>
          </w:p>
        </w:tc>
      </w:tr>
      <w:tr>
        <w:tc>
          <w:tcPr>
            <w:tcW w:type="dxa" w:w="1701"/>
          </w:tcPr>
          <w:p>
            <w:pPr>
              <w:spacing w:before="20" w:after="20" w:line="276" w:lineRule="auto"/>
              <w:ind w:firstLine="0"/>
            </w:pPr>
            <w:r/>
            <w:r>
              <w:rPr>
                <w:rFonts w:ascii="Times New Roman" w:hAnsi="Times New Roman" w:eastAsia="宋体"/>
                <w:b w:val="0"/>
                <w:i w:val="0"/>
                <w:sz w:val="19"/>
              </w:rPr>
              <w:t>库存管理</w:t>
            </w:r>
          </w:p>
        </w:tc>
        <w:tc>
          <w:tcPr>
            <w:tcW w:type="dxa" w:w="3402"/>
          </w:tcPr>
          <w:p>
            <w:pPr>
              <w:spacing w:before="20" w:after="20" w:line="276" w:lineRule="auto"/>
              <w:ind w:firstLine="0"/>
            </w:pPr>
            <w:r/>
            <w:r>
              <w:rPr>
                <w:rFonts w:ascii="Times New Roman" w:hAnsi="Times New Roman" w:eastAsia="宋体"/>
                <w:b w:val="0"/>
                <w:i w:val="0"/>
                <w:sz w:val="19"/>
              </w:rPr>
              <w:t>库存台账（列表与看板）</w:t>
            </w:r>
          </w:p>
        </w:tc>
        <w:tc>
          <w:tcPr>
            <w:tcW w:type="dxa" w:w="3969"/>
          </w:tcPr>
          <w:p>
            <w:pPr>
              <w:spacing w:before="20" w:after="20" w:line="276" w:lineRule="auto"/>
              <w:ind w:firstLine="0"/>
            </w:pPr>
            <w:r/>
            <w:r>
              <w:rPr>
                <w:rFonts w:ascii="Times New Roman" w:hAnsi="Times New Roman" w:eastAsia="宋体"/>
                <w:b w:val="0"/>
                <w:i w:val="0"/>
                <w:sz w:val="19"/>
              </w:rPr>
              <w:t>warehouse-inventory.html</w:t>
            </w:r>
          </w:p>
        </w:tc>
      </w:tr>
      <w:tr>
        <w:tc>
          <w:tcPr>
            <w:tcW w:type="dxa" w:w="1701"/>
          </w:tcPr>
          <w:p>
            <w:pPr>
              <w:spacing w:before="20" w:after="20" w:line="276" w:lineRule="auto"/>
              <w:ind w:firstLine="0"/>
            </w:pPr>
            <w:r/>
            <w:r>
              <w:rPr>
                <w:rFonts w:ascii="Times New Roman" w:hAnsi="Times New Roman" w:eastAsia="宋体"/>
                <w:b w:val="0"/>
                <w:i w:val="0"/>
                <w:sz w:val="19"/>
              </w:rPr>
              <w:t>库存管理</w:t>
            </w:r>
          </w:p>
        </w:tc>
        <w:tc>
          <w:tcPr>
            <w:tcW w:type="dxa" w:w="3402"/>
          </w:tcPr>
          <w:p>
            <w:pPr>
              <w:spacing w:before="20" w:after="20" w:line="276" w:lineRule="auto"/>
              <w:ind w:firstLine="0"/>
            </w:pPr>
            <w:r/>
            <w:r>
              <w:rPr>
                <w:rFonts w:ascii="Times New Roman" w:hAnsi="Times New Roman" w:eastAsia="宋体"/>
                <w:b w:val="0"/>
                <w:i w:val="0"/>
                <w:sz w:val="19"/>
              </w:rPr>
              <w:t>行情管理（列表）</w:t>
            </w:r>
          </w:p>
        </w:tc>
        <w:tc>
          <w:tcPr>
            <w:tcW w:type="dxa" w:w="3969"/>
          </w:tcPr>
          <w:p>
            <w:pPr>
              <w:spacing w:before="20" w:after="20" w:line="276" w:lineRule="auto"/>
              <w:ind w:firstLine="0"/>
            </w:pPr>
            <w:r/>
            <w:r>
              <w:rPr>
                <w:rFonts w:ascii="Times New Roman" w:hAnsi="Times New Roman" w:eastAsia="宋体"/>
                <w:b w:val="0"/>
                <w:i w:val="0"/>
                <w:sz w:val="19"/>
              </w:rPr>
              <w:t>warehouse-market.html</w:t>
            </w:r>
          </w:p>
        </w:tc>
      </w:tr>
      <w:tr>
        <w:tc>
          <w:tcPr>
            <w:tcW w:type="dxa" w:w="1701"/>
          </w:tcPr>
          <w:p>
            <w:pPr>
              <w:spacing w:before="20" w:after="20" w:line="276" w:lineRule="auto"/>
              <w:ind w:firstLine="0"/>
            </w:pPr>
            <w:r/>
            <w:r>
              <w:rPr>
                <w:rFonts w:ascii="Times New Roman" w:hAnsi="Times New Roman" w:eastAsia="宋体"/>
                <w:b w:val="0"/>
                <w:i w:val="0"/>
                <w:sz w:val="19"/>
              </w:rPr>
              <w:t>视频监控</w:t>
            </w:r>
          </w:p>
        </w:tc>
        <w:tc>
          <w:tcPr>
            <w:tcW w:type="dxa" w:w="3402"/>
          </w:tcPr>
          <w:p>
            <w:pPr>
              <w:spacing w:before="20" w:after="20" w:line="276" w:lineRule="auto"/>
              <w:ind w:firstLine="0"/>
            </w:pPr>
            <w:r/>
            <w:r>
              <w:rPr>
                <w:rFonts w:ascii="Times New Roman" w:hAnsi="Times New Roman" w:eastAsia="宋体"/>
                <w:b w:val="0"/>
                <w:i w:val="0"/>
                <w:sz w:val="19"/>
              </w:rPr>
              <w:t>视频监控（库点监控）</w:t>
            </w:r>
          </w:p>
        </w:tc>
        <w:tc>
          <w:tcPr>
            <w:tcW w:type="dxa" w:w="3969"/>
          </w:tcPr>
          <w:p>
            <w:pPr>
              <w:spacing w:before="20" w:after="20" w:line="276" w:lineRule="auto"/>
              <w:ind w:firstLine="0"/>
            </w:pPr>
            <w:r/>
            <w:r>
              <w:rPr>
                <w:rFonts w:ascii="Times New Roman" w:hAnsi="Times New Roman" w:eastAsia="宋体"/>
                <w:b w:val="0"/>
                <w:i w:val="0"/>
                <w:sz w:val="19"/>
              </w:rPr>
              <w:t>warehouse-video.html</w:t>
            </w:r>
          </w:p>
        </w:tc>
      </w:tr>
      <w:tr>
        <w:tc>
          <w:tcPr>
            <w:tcW w:type="dxa" w:w="1701"/>
          </w:tcPr>
          <w:p>
            <w:pPr>
              <w:spacing w:before="20" w:after="20" w:line="276" w:lineRule="auto"/>
              <w:ind w:firstLine="0"/>
            </w:pPr>
            <w:r/>
            <w:r>
              <w:rPr>
                <w:rFonts w:ascii="Times New Roman" w:hAnsi="Times New Roman" w:eastAsia="宋体"/>
                <w:b w:val="0"/>
                <w:i w:val="0"/>
                <w:sz w:val="19"/>
              </w:rPr>
              <w:t>视频监控</w:t>
            </w:r>
          </w:p>
        </w:tc>
        <w:tc>
          <w:tcPr>
            <w:tcW w:type="dxa" w:w="3402"/>
          </w:tcPr>
          <w:p>
            <w:pPr>
              <w:spacing w:before="20" w:after="20" w:line="276" w:lineRule="auto"/>
              <w:ind w:firstLine="0"/>
            </w:pPr>
            <w:r/>
            <w:r>
              <w:rPr>
                <w:rFonts w:ascii="Times New Roman" w:hAnsi="Times New Roman" w:eastAsia="宋体"/>
                <w:b w:val="0"/>
                <w:i w:val="0"/>
                <w:sz w:val="19"/>
              </w:rPr>
              <w:t>系统监控（监控入口）</w:t>
            </w:r>
          </w:p>
        </w:tc>
        <w:tc>
          <w:tcPr>
            <w:tcW w:type="dxa" w:w="3969"/>
          </w:tcPr>
          <w:p>
            <w:pPr>
              <w:spacing w:before="20" w:after="20" w:line="276" w:lineRule="auto"/>
              <w:ind w:firstLine="0"/>
            </w:pPr>
            <w:r/>
            <w:r>
              <w:rPr>
                <w:rFonts w:ascii="Times New Roman" w:hAnsi="Times New Roman" w:eastAsia="宋体"/>
                <w:b w:val="0"/>
                <w:i w:val="0"/>
                <w:sz w:val="19"/>
              </w:rPr>
              <w:t>warehouse-system.html</w:t>
            </w:r>
          </w:p>
        </w:tc>
      </w:tr>
      <w:tr>
        <w:tc>
          <w:tcPr>
            <w:tcW w:type="dxa" w:w="1701"/>
          </w:tcPr>
          <w:p>
            <w:pPr>
              <w:spacing w:before="20" w:after="20" w:line="276" w:lineRule="auto"/>
              <w:ind w:firstLine="0"/>
            </w:pPr>
            <w:r/>
            <w:r>
              <w:rPr>
                <w:rFonts w:ascii="Times New Roman" w:hAnsi="Times New Roman" w:eastAsia="宋体"/>
                <w:b w:val="0"/>
                <w:i w:val="0"/>
                <w:sz w:val="19"/>
              </w:rPr>
              <w:t>巡库管理</w:t>
            </w:r>
          </w:p>
        </w:tc>
        <w:tc>
          <w:tcPr>
            <w:tcW w:type="dxa" w:w="3402"/>
          </w:tcPr>
          <w:p>
            <w:pPr>
              <w:spacing w:before="20" w:after="20" w:line="276" w:lineRule="auto"/>
              <w:ind w:firstLine="0"/>
            </w:pPr>
            <w:r/>
            <w:r>
              <w:rPr>
                <w:rFonts w:ascii="Times New Roman" w:hAnsi="Times New Roman" w:eastAsia="宋体"/>
                <w:b w:val="0"/>
                <w:i w:val="0"/>
                <w:sz w:val="19"/>
              </w:rPr>
              <w:t>巡库记录（列表）</w:t>
            </w:r>
          </w:p>
        </w:tc>
        <w:tc>
          <w:tcPr>
            <w:tcW w:type="dxa" w:w="3969"/>
          </w:tcPr>
          <w:p>
            <w:pPr>
              <w:spacing w:before="20" w:after="20" w:line="276" w:lineRule="auto"/>
              <w:ind w:firstLine="0"/>
            </w:pPr>
            <w:r/>
            <w:r>
              <w:rPr>
                <w:rFonts w:ascii="Times New Roman" w:hAnsi="Times New Roman" w:eastAsia="宋体"/>
                <w:b w:val="0"/>
                <w:i w:val="0"/>
                <w:sz w:val="19"/>
              </w:rPr>
              <w:t>warehouse-patrol.html</w:t>
            </w:r>
          </w:p>
        </w:tc>
      </w:tr>
      <w:tr>
        <w:tc>
          <w:tcPr>
            <w:tcW w:type="dxa" w:w="1701"/>
          </w:tcPr>
          <w:p>
            <w:pPr>
              <w:spacing w:before="20" w:after="20" w:line="276" w:lineRule="auto"/>
              <w:ind w:firstLine="0"/>
            </w:pPr>
            <w:r/>
            <w:r>
              <w:rPr>
                <w:rFonts w:ascii="Times New Roman" w:hAnsi="Times New Roman" w:eastAsia="宋体"/>
                <w:b w:val="0"/>
                <w:i w:val="0"/>
                <w:sz w:val="19"/>
              </w:rPr>
              <w:t>巡库管理</w:t>
            </w:r>
          </w:p>
        </w:tc>
        <w:tc>
          <w:tcPr>
            <w:tcW w:type="dxa" w:w="3402"/>
          </w:tcPr>
          <w:p>
            <w:pPr>
              <w:spacing w:before="20" w:after="20" w:line="276" w:lineRule="auto"/>
              <w:ind w:firstLine="0"/>
            </w:pPr>
            <w:r/>
            <w:r>
              <w:rPr>
                <w:rFonts w:ascii="Times New Roman" w:hAnsi="Times New Roman" w:eastAsia="宋体"/>
                <w:b w:val="0"/>
                <w:i w:val="0"/>
                <w:sz w:val="19"/>
              </w:rPr>
              <w:t>仓房管理（巡库任务配置）</w:t>
            </w:r>
          </w:p>
        </w:tc>
        <w:tc>
          <w:tcPr>
            <w:tcW w:type="dxa" w:w="3969"/>
          </w:tcPr>
          <w:p>
            <w:pPr>
              <w:spacing w:before="20" w:after="20" w:line="276" w:lineRule="auto"/>
              <w:ind w:firstLine="0"/>
            </w:pPr>
            <w:r/>
            <w:r>
              <w:rPr>
                <w:rFonts w:ascii="Times New Roman" w:hAnsi="Times New Roman" w:eastAsia="宋体"/>
                <w:b w:val="0"/>
                <w:i w:val="0"/>
                <w:sz w:val="19"/>
              </w:rPr>
              <w:t>warehouse-warehouse.html</w:t>
            </w:r>
          </w:p>
        </w:tc>
      </w:tr>
      <w:tr>
        <w:tc>
          <w:tcPr>
            <w:tcW w:type="dxa" w:w="1701"/>
          </w:tcPr>
          <w:p>
            <w:pPr>
              <w:spacing w:before="20" w:after="20" w:line="276" w:lineRule="auto"/>
              <w:ind w:firstLine="0"/>
            </w:pPr>
            <w:r/>
            <w:r>
              <w:rPr>
                <w:rFonts w:ascii="Times New Roman" w:hAnsi="Times New Roman" w:eastAsia="宋体"/>
                <w:b w:val="0"/>
                <w:i w:val="0"/>
                <w:sz w:val="19"/>
              </w:rPr>
              <w:t>系统管理</w:t>
            </w:r>
          </w:p>
        </w:tc>
        <w:tc>
          <w:tcPr>
            <w:tcW w:type="dxa" w:w="3402"/>
          </w:tcPr>
          <w:p>
            <w:pPr>
              <w:spacing w:before="20" w:after="20" w:line="276" w:lineRule="auto"/>
              <w:ind w:firstLine="0"/>
            </w:pPr>
            <w:r/>
            <w:r>
              <w:rPr>
                <w:rFonts w:ascii="Times New Roman" w:hAnsi="Times New Roman" w:eastAsia="宋体"/>
                <w:b w:val="0"/>
                <w:i w:val="0"/>
                <w:sz w:val="19"/>
              </w:rPr>
              <w:t>库点信息管理</w:t>
            </w:r>
          </w:p>
        </w:tc>
        <w:tc>
          <w:tcPr>
            <w:tcW w:type="dxa" w:w="3969"/>
          </w:tcPr>
          <w:p>
            <w:pPr>
              <w:spacing w:before="20" w:after="20" w:line="276" w:lineRule="auto"/>
              <w:ind w:firstLine="0"/>
            </w:pPr>
            <w:r/>
            <w:r>
              <w:rPr>
                <w:rFonts w:ascii="Times New Roman" w:hAnsi="Times New Roman" w:eastAsia="宋体"/>
                <w:b w:val="0"/>
                <w:i w:val="0"/>
                <w:sz w:val="19"/>
              </w:rPr>
              <w:t>warehouse-point.html</w:t>
            </w:r>
          </w:p>
        </w:tc>
      </w:tr>
      <w:tr>
        <w:tc>
          <w:tcPr>
            <w:tcW w:type="dxa" w:w="1701"/>
          </w:tcPr>
          <w:p>
            <w:pPr>
              <w:spacing w:before="20" w:after="20" w:line="276" w:lineRule="auto"/>
              <w:ind w:firstLine="0"/>
            </w:pPr>
            <w:r/>
            <w:r>
              <w:rPr>
                <w:rFonts w:ascii="Times New Roman" w:hAnsi="Times New Roman" w:eastAsia="宋体"/>
                <w:b w:val="0"/>
                <w:i w:val="0"/>
                <w:sz w:val="19"/>
              </w:rPr>
              <w:t>系统管理</w:t>
            </w:r>
          </w:p>
        </w:tc>
        <w:tc>
          <w:tcPr>
            <w:tcW w:type="dxa" w:w="3402"/>
          </w:tcPr>
          <w:p>
            <w:pPr>
              <w:spacing w:before="20" w:after="20" w:line="276" w:lineRule="auto"/>
              <w:ind w:firstLine="0"/>
            </w:pPr>
            <w:r/>
            <w:r>
              <w:rPr>
                <w:rFonts w:ascii="Times New Roman" w:hAnsi="Times New Roman" w:eastAsia="宋体"/>
                <w:b w:val="0"/>
                <w:i w:val="0"/>
                <w:sz w:val="19"/>
              </w:rPr>
              <w:t>仓房管理</w:t>
            </w:r>
          </w:p>
        </w:tc>
        <w:tc>
          <w:tcPr>
            <w:tcW w:type="dxa" w:w="3969"/>
          </w:tcPr>
          <w:p>
            <w:pPr>
              <w:spacing w:before="20" w:after="20" w:line="276" w:lineRule="auto"/>
              <w:ind w:firstLine="0"/>
            </w:pPr>
            <w:r/>
            <w:r>
              <w:rPr>
                <w:rFonts w:ascii="Times New Roman" w:hAnsi="Times New Roman" w:eastAsia="宋体"/>
                <w:b w:val="0"/>
                <w:i w:val="0"/>
                <w:sz w:val="19"/>
              </w:rPr>
              <w:t>warehouse-warehouse.html</w:t>
            </w:r>
          </w:p>
        </w:tc>
      </w:tr>
      <w:tr>
        <w:tc>
          <w:tcPr>
            <w:tcW w:type="dxa" w:w="1701"/>
          </w:tcPr>
          <w:p>
            <w:pPr>
              <w:spacing w:before="20" w:after="20" w:line="276" w:lineRule="auto"/>
              <w:ind w:firstLine="0"/>
            </w:pPr>
            <w:r/>
            <w:r>
              <w:rPr>
                <w:rFonts w:ascii="Times New Roman" w:hAnsi="Times New Roman" w:eastAsia="宋体"/>
                <w:b w:val="0"/>
                <w:i w:val="0"/>
                <w:sz w:val="19"/>
              </w:rPr>
              <w:t>系统管理</w:t>
            </w:r>
          </w:p>
        </w:tc>
        <w:tc>
          <w:tcPr>
            <w:tcW w:type="dxa" w:w="3402"/>
          </w:tcPr>
          <w:p>
            <w:pPr>
              <w:spacing w:before="20" w:after="20" w:line="276" w:lineRule="auto"/>
              <w:ind w:firstLine="0"/>
            </w:pPr>
            <w:r/>
            <w:r>
              <w:rPr>
                <w:rFonts w:ascii="Times New Roman" w:hAnsi="Times New Roman" w:eastAsia="宋体"/>
                <w:b w:val="0"/>
                <w:i w:val="0"/>
                <w:sz w:val="19"/>
              </w:rPr>
              <w:t>品类配置</w:t>
            </w:r>
          </w:p>
        </w:tc>
        <w:tc>
          <w:tcPr>
            <w:tcW w:type="dxa" w:w="3969"/>
          </w:tcPr>
          <w:p>
            <w:pPr>
              <w:spacing w:before="20" w:after="20" w:line="276" w:lineRule="auto"/>
              <w:ind w:firstLine="0"/>
            </w:pPr>
            <w:r/>
            <w:r>
              <w:rPr>
                <w:rFonts w:ascii="Times New Roman" w:hAnsi="Times New Roman" w:eastAsia="宋体"/>
                <w:b w:val="0"/>
                <w:i w:val="0"/>
                <w:sz w:val="19"/>
              </w:rPr>
              <w:t>warehouse-category.html</w:t>
            </w:r>
          </w:p>
        </w:tc>
      </w:tr>
      <w:tr>
        <w:tc>
          <w:tcPr>
            <w:tcW w:type="dxa" w:w="1701"/>
          </w:tcPr>
          <w:p>
            <w:pPr>
              <w:spacing w:before="20" w:after="20" w:line="276" w:lineRule="auto"/>
              <w:ind w:firstLine="0"/>
            </w:pPr>
            <w:r/>
            <w:r>
              <w:rPr>
                <w:rFonts w:ascii="Times New Roman" w:hAnsi="Times New Roman" w:eastAsia="宋体"/>
                <w:b w:val="0"/>
                <w:i w:val="0"/>
                <w:sz w:val="19"/>
              </w:rPr>
              <w:t>系统管理</w:t>
            </w:r>
          </w:p>
        </w:tc>
        <w:tc>
          <w:tcPr>
            <w:tcW w:type="dxa" w:w="3402"/>
          </w:tcPr>
          <w:p>
            <w:pPr>
              <w:spacing w:before="20" w:after="20" w:line="276" w:lineRule="auto"/>
              <w:ind w:firstLine="0"/>
            </w:pPr>
            <w:r/>
            <w:r>
              <w:rPr>
                <w:rFonts w:ascii="Times New Roman" w:hAnsi="Times New Roman" w:eastAsia="宋体"/>
                <w:b w:val="0"/>
                <w:i w:val="0"/>
                <w:sz w:val="19"/>
              </w:rPr>
              <w:t>系统监控</w:t>
            </w:r>
          </w:p>
        </w:tc>
        <w:tc>
          <w:tcPr>
            <w:tcW w:type="dxa" w:w="3969"/>
          </w:tcPr>
          <w:p>
            <w:pPr>
              <w:spacing w:before="20" w:after="20" w:line="276" w:lineRule="auto"/>
              <w:ind w:firstLine="0"/>
            </w:pPr>
            <w:r/>
            <w:r>
              <w:rPr>
                <w:rFonts w:ascii="Times New Roman" w:hAnsi="Times New Roman" w:eastAsia="宋体"/>
                <w:b w:val="0"/>
                <w:i w:val="0"/>
                <w:sz w:val="19"/>
              </w:rPr>
              <w:t>warehouse-system.html</w:t>
            </w:r>
          </w:p>
        </w:tc>
      </w:tr>
      <w:tr>
        <w:tc>
          <w:tcPr>
            <w:tcW w:type="dxa" w:w="1701"/>
          </w:tcPr>
          <w:p>
            <w:pPr>
              <w:spacing w:before="20" w:after="20" w:line="276" w:lineRule="auto"/>
              <w:ind w:firstLine="0"/>
            </w:pPr>
            <w:r/>
            <w:r>
              <w:rPr>
                <w:rFonts w:ascii="Times New Roman" w:hAnsi="Times New Roman" w:eastAsia="宋体"/>
                <w:b w:val="0"/>
                <w:i w:val="0"/>
                <w:sz w:val="19"/>
              </w:rPr>
              <w:t>预警管理</w:t>
            </w:r>
          </w:p>
        </w:tc>
        <w:tc>
          <w:tcPr>
            <w:tcW w:type="dxa" w:w="3402"/>
          </w:tcPr>
          <w:p>
            <w:pPr>
              <w:spacing w:before="20" w:after="20" w:line="276" w:lineRule="auto"/>
              <w:ind w:firstLine="0"/>
            </w:pPr>
            <w:r/>
            <w:r>
              <w:rPr>
                <w:rFonts w:ascii="Times New Roman" w:hAnsi="Times New Roman" w:eastAsia="宋体"/>
                <w:b w:val="0"/>
                <w:i w:val="0"/>
                <w:sz w:val="19"/>
              </w:rPr>
              <w:t>预警列表</w:t>
            </w:r>
          </w:p>
        </w:tc>
        <w:tc>
          <w:tcPr>
            <w:tcW w:type="dxa" w:w="3969"/>
          </w:tcPr>
          <w:p>
            <w:pPr>
              <w:spacing w:before="20" w:after="20" w:line="276" w:lineRule="auto"/>
              <w:ind w:firstLine="0"/>
            </w:pPr>
            <w:r/>
            <w:r>
              <w:rPr>
                <w:rFonts w:ascii="Times New Roman" w:hAnsi="Times New Roman" w:eastAsia="宋体"/>
                <w:b w:val="0"/>
                <w:i w:val="0"/>
                <w:sz w:val="19"/>
              </w:rPr>
              <w:t>warning-list.html</w:t>
            </w:r>
          </w:p>
        </w:tc>
      </w:tr>
      <w:tr>
        <w:tc>
          <w:tcPr>
            <w:tcW w:type="dxa" w:w="1701"/>
          </w:tcPr>
          <w:p>
            <w:pPr>
              <w:spacing w:before="20" w:after="20" w:line="276" w:lineRule="auto"/>
              <w:ind w:firstLine="0"/>
            </w:pPr>
            <w:r/>
            <w:r>
              <w:rPr>
                <w:rFonts w:ascii="Times New Roman" w:hAnsi="Times New Roman" w:eastAsia="宋体"/>
                <w:b w:val="0"/>
                <w:i w:val="0"/>
                <w:sz w:val="19"/>
              </w:rPr>
              <w:t>预警管理</w:t>
            </w:r>
          </w:p>
        </w:tc>
        <w:tc>
          <w:tcPr>
            <w:tcW w:type="dxa" w:w="3402"/>
          </w:tcPr>
          <w:p>
            <w:pPr>
              <w:spacing w:before="20" w:after="20" w:line="276" w:lineRule="auto"/>
              <w:ind w:firstLine="0"/>
            </w:pPr>
            <w:r/>
            <w:r>
              <w:rPr>
                <w:rFonts w:ascii="Times New Roman" w:hAnsi="Times New Roman" w:eastAsia="宋体"/>
                <w:b w:val="0"/>
                <w:i w:val="0"/>
                <w:sz w:val="19"/>
              </w:rPr>
              <w:t>预警详情</w:t>
            </w:r>
          </w:p>
        </w:tc>
        <w:tc>
          <w:tcPr>
            <w:tcW w:type="dxa" w:w="3969"/>
          </w:tcPr>
          <w:p>
            <w:pPr>
              <w:spacing w:before="20" w:after="20" w:line="276" w:lineRule="auto"/>
              <w:ind w:firstLine="0"/>
            </w:pPr>
            <w:r/>
            <w:r>
              <w:rPr>
                <w:rFonts w:ascii="Times New Roman" w:hAnsi="Times New Roman" w:eastAsia="宋体"/>
                <w:b w:val="0"/>
                <w:i w:val="0"/>
                <w:sz w:val="19"/>
              </w:rPr>
              <w:t>warning-detail.html</w:t>
            </w:r>
          </w:p>
        </w:tc>
      </w:tr>
      <w:tr>
        <w:tc>
          <w:tcPr>
            <w:tcW w:type="dxa" w:w="1701"/>
          </w:tcPr>
          <w:p>
            <w:pPr>
              <w:spacing w:before="20" w:after="20" w:line="276" w:lineRule="auto"/>
              <w:ind w:firstLine="0"/>
            </w:pPr>
            <w:r/>
            <w:r>
              <w:rPr>
                <w:rFonts w:ascii="Times New Roman" w:hAnsi="Times New Roman" w:eastAsia="宋体"/>
                <w:b w:val="0"/>
                <w:i w:val="0"/>
                <w:sz w:val="19"/>
              </w:rPr>
              <w:t>预警规则配置</w:t>
            </w:r>
          </w:p>
        </w:tc>
        <w:tc>
          <w:tcPr>
            <w:tcW w:type="dxa" w:w="3402"/>
          </w:tcPr>
          <w:p>
            <w:pPr>
              <w:spacing w:before="20" w:after="20" w:line="276" w:lineRule="auto"/>
              <w:ind w:firstLine="0"/>
            </w:pPr>
            <w:r/>
            <w:r>
              <w:rPr>
                <w:rFonts w:ascii="Times New Roman" w:hAnsi="Times New Roman" w:eastAsia="宋体"/>
                <w:b w:val="0"/>
                <w:i w:val="0"/>
                <w:sz w:val="19"/>
              </w:rPr>
              <w:t>预警规则配置</w:t>
            </w:r>
          </w:p>
        </w:tc>
        <w:tc>
          <w:tcPr>
            <w:tcW w:type="dxa" w:w="3969"/>
          </w:tcPr>
          <w:p>
            <w:pPr>
              <w:spacing w:before="20" w:after="20" w:line="276" w:lineRule="auto"/>
              <w:ind w:firstLine="0"/>
            </w:pPr>
            <w:r/>
            <w:r>
              <w:rPr>
                <w:rFonts w:ascii="Times New Roman" w:hAnsi="Times New Roman" w:eastAsia="宋体"/>
                <w:b w:val="0"/>
                <w:i w:val="0"/>
                <w:sz w:val="19"/>
              </w:rPr>
              <w:t>warning-config.html</w:t>
            </w:r>
          </w:p>
        </w:tc>
      </w:tr>
      <w:tr>
        <w:tc>
          <w:tcPr>
            <w:tcW w:type="dxa" w:w="1701"/>
          </w:tcPr>
          <w:p>
            <w:pPr>
              <w:spacing w:before="20" w:after="20" w:line="276" w:lineRule="auto"/>
              <w:ind w:firstLine="0"/>
            </w:pPr>
            <w:r/>
            <w:r>
              <w:rPr>
                <w:rFonts w:ascii="Times New Roman" w:hAnsi="Times New Roman" w:eastAsia="宋体"/>
                <w:b w:val="0"/>
                <w:i w:val="0"/>
                <w:sz w:val="19"/>
              </w:rPr>
              <w:t>预警规则配置</w:t>
            </w:r>
          </w:p>
        </w:tc>
        <w:tc>
          <w:tcPr>
            <w:tcW w:type="dxa" w:w="3402"/>
          </w:tcPr>
          <w:p>
            <w:pPr>
              <w:spacing w:before="20" w:after="20" w:line="276" w:lineRule="auto"/>
              <w:ind w:firstLine="0"/>
            </w:pPr>
            <w:r/>
            <w:r>
              <w:rPr>
                <w:rFonts w:ascii="Times New Roman" w:hAnsi="Times New Roman" w:eastAsia="宋体"/>
                <w:b w:val="0"/>
                <w:i w:val="0"/>
                <w:sz w:val="19"/>
              </w:rPr>
              <w:t>监控合同配置</w:t>
            </w:r>
          </w:p>
        </w:tc>
        <w:tc>
          <w:tcPr>
            <w:tcW w:type="dxa" w:w="3969"/>
          </w:tcPr>
          <w:p>
            <w:pPr>
              <w:spacing w:before="20" w:after="20" w:line="276" w:lineRule="auto"/>
              <w:ind w:firstLine="0"/>
            </w:pPr>
            <w:r/>
            <w:r>
              <w:rPr>
                <w:rFonts w:ascii="Times New Roman" w:hAnsi="Times New Roman" w:eastAsia="宋体"/>
                <w:b w:val="0"/>
                <w:i w:val="0"/>
                <w:sz w:val="19"/>
              </w:rPr>
              <w:t>warning-price-contract-config.html</w:t>
            </w:r>
          </w:p>
        </w:tc>
      </w:tr>
      <w:tr>
        <w:tc>
          <w:tcPr>
            <w:tcW w:type="dxa" w:w="1701"/>
          </w:tcPr>
          <w:p>
            <w:pPr>
              <w:spacing w:before="20" w:after="20" w:line="276" w:lineRule="auto"/>
              <w:ind w:firstLine="0"/>
            </w:pPr>
            <w:r/>
            <w:r>
              <w:rPr>
                <w:rFonts w:ascii="Times New Roman" w:hAnsi="Times New Roman" w:eastAsia="宋体"/>
                <w:b w:val="0"/>
                <w:i w:val="0"/>
                <w:sz w:val="19"/>
              </w:rPr>
              <w:t>数据中心</w:t>
            </w:r>
          </w:p>
        </w:tc>
        <w:tc>
          <w:tcPr>
            <w:tcW w:type="dxa" w:w="3402"/>
          </w:tcPr>
          <w:p>
            <w:pPr>
              <w:spacing w:before="20" w:after="20" w:line="276" w:lineRule="auto"/>
              <w:ind w:firstLine="0"/>
            </w:pPr>
            <w:r/>
            <w:r>
              <w:rPr>
                <w:rFonts w:ascii="Times New Roman" w:hAnsi="Times New Roman" w:eastAsia="宋体"/>
                <w:b w:val="0"/>
                <w:i w:val="0"/>
                <w:sz w:val="19"/>
              </w:rPr>
              <w:t>驾驶舱</w:t>
            </w:r>
          </w:p>
        </w:tc>
        <w:tc>
          <w:tcPr>
            <w:tcW w:type="dxa" w:w="3969"/>
          </w:tcPr>
          <w:p>
            <w:pPr>
              <w:spacing w:before="20" w:after="20" w:line="276" w:lineRule="auto"/>
              <w:ind w:firstLine="0"/>
            </w:pPr>
            <w:r/>
            <w:r>
              <w:rPr>
                <w:rFonts w:ascii="Times New Roman" w:hAnsi="Times New Roman" w:eastAsia="宋体"/>
                <w:b w:val="0"/>
                <w:i w:val="0"/>
                <w:sz w:val="19"/>
              </w:rPr>
              <w:t>cockpit.html</w:t>
            </w:r>
          </w:p>
        </w:tc>
      </w:tr>
      <w:tr>
        <w:tc>
          <w:tcPr>
            <w:tcW w:type="dxa" w:w="1701"/>
          </w:tcPr>
          <w:p>
            <w:pPr>
              <w:spacing w:before="20" w:after="20" w:line="276" w:lineRule="auto"/>
              <w:ind w:firstLine="0"/>
            </w:pPr>
            <w:r/>
            <w:r>
              <w:rPr>
                <w:rFonts w:ascii="Times New Roman" w:hAnsi="Times New Roman" w:eastAsia="宋体"/>
                <w:b w:val="0"/>
                <w:i w:val="0"/>
                <w:sz w:val="19"/>
              </w:rPr>
              <w:t>数据中心</w:t>
            </w:r>
          </w:p>
        </w:tc>
        <w:tc>
          <w:tcPr>
            <w:tcW w:type="dxa" w:w="3402"/>
          </w:tcPr>
          <w:p>
            <w:pPr>
              <w:spacing w:before="20" w:after="20" w:line="276" w:lineRule="auto"/>
              <w:ind w:firstLine="0"/>
            </w:pPr>
            <w:r/>
            <w:r>
              <w:rPr>
                <w:rFonts w:ascii="Times New Roman" w:hAnsi="Times New Roman" w:eastAsia="宋体"/>
                <w:b w:val="0"/>
                <w:i w:val="0"/>
                <w:sz w:val="19"/>
              </w:rPr>
              <w:t>项目台账表</w:t>
            </w:r>
          </w:p>
        </w:tc>
        <w:tc>
          <w:tcPr>
            <w:tcW w:type="dxa" w:w="3969"/>
          </w:tcPr>
          <w:p>
            <w:pPr>
              <w:spacing w:before="20" w:after="20" w:line="276" w:lineRule="auto"/>
              <w:ind w:firstLine="0"/>
            </w:pPr>
            <w:r/>
            <w:r>
              <w:rPr>
                <w:rFonts w:ascii="Times New Roman" w:hAnsi="Times New Roman" w:eastAsia="宋体"/>
                <w:b w:val="0"/>
                <w:i w:val="0"/>
                <w:sz w:val="19"/>
              </w:rPr>
              <w:t>report-project.html</w:t>
            </w:r>
          </w:p>
        </w:tc>
      </w:tr>
      <w:tr>
        <w:tc>
          <w:tcPr>
            <w:tcW w:type="dxa" w:w="1701"/>
          </w:tcPr>
          <w:p>
            <w:pPr>
              <w:spacing w:before="20" w:after="20" w:line="276" w:lineRule="auto"/>
              <w:ind w:firstLine="0"/>
            </w:pPr>
            <w:r/>
            <w:r>
              <w:rPr>
                <w:rFonts w:ascii="Times New Roman" w:hAnsi="Times New Roman" w:eastAsia="宋体"/>
                <w:b w:val="0"/>
                <w:i w:val="0"/>
                <w:sz w:val="19"/>
              </w:rPr>
              <w:t>数据中心</w:t>
            </w:r>
          </w:p>
        </w:tc>
        <w:tc>
          <w:tcPr>
            <w:tcW w:type="dxa" w:w="3402"/>
          </w:tcPr>
          <w:p>
            <w:pPr>
              <w:spacing w:before="20" w:after="20" w:line="276" w:lineRule="auto"/>
              <w:ind w:firstLine="0"/>
            </w:pPr>
            <w:r/>
            <w:r>
              <w:rPr>
                <w:rFonts w:ascii="Times New Roman" w:hAnsi="Times New Roman" w:eastAsia="宋体"/>
                <w:b w:val="0"/>
                <w:i w:val="0"/>
                <w:sz w:val="19"/>
              </w:rPr>
              <w:t>业务线台账表</w:t>
            </w:r>
          </w:p>
        </w:tc>
        <w:tc>
          <w:tcPr>
            <w:tcW w:type="dxa" w:w="3969"/>
          </w:tcPr>
          <w:p>
            <w:pPr>
              <w:spacing w:before="20" w:after="20" w:line="276" w:lineRule="auto"/>
              <w:ind w:firstLine="0"/>
            </w:pPr>
            <w:r/>
            <w:r>
              <w:rPr>
                <w:rFonts w:ascii="Times New Roman" w:hAnsi="Times New Roman" w:eastAsia="宋体"/>
                <w:b w:val="0"/>
                <w:i w:val="0"/>
                <w:sz w:val="19"/>
              </w:rPr>
              <w:t>report-bizline.html</w:t>
            </w:r>
          </w:p>
        </w:tc>
      </w:tr>
      <w:tr>
        <w:tc>
          <w:tcPr>
            <w:tcW w:type="dxa" w:w="1701"/>
          </w:tcPr>
          <w:p>
            <w:pPr>
              <w:spacing w:before="20" w:after="20" w:line="276" w:lineRule="auto"/>
              <w:ind w:firstLine="0"/>
            </w:pPr>
            <w:r/>
            <w:r>
              <w:rPr>
                <w:rFonts w:ascii="Times New Roman" w:hAnsi="Times New Roman" w:eastAsia="宋体"/>
                <w:b w:val="0"/>
                <w:i w:val="0"/>
                <w:sz w:val="19"/>
              </w:rPr>
              <w:t>数据中心</w:t>
            </w:r>
          </w:p>
        </w:tc>
        <w:tc>
          <w:tcPr>
            <w:tcW w:type="dxa" w:w="3402"/>
          </w:tcPr>
          <w:p>
            <w:pPr>
              <w:spacing w:before="20" w:after="20" w:line="276" w:lineRule="auto"/>
              <w:ind w:firstLine="0"/>
            </w:pPr>
            <w:r/>
            <w:r>
              <w:rPr>
                <w:rFonts w:ascii="Times New Roman" w:hAnsi="Times New Roman" w:eastAsia="宋体"/>
                <w:b w:val="0"/>
                <w:i w:val="0"/>
                <w:sz w:val="19"/>
              </w:rPr>
              <w:t>资金占压表</w:t>
            </w:r>
          </w:p>
        </w:tc>
        <w:tc>
          <w:tcPr>
            <w:tcW w:type="dxa" w:w="3969"/>
          </w:tcPr>
          <w:p>
            <w:pPr>
              <w:spacing w:before="20" w:after="20" w:line="276" w:lineRule="auto"/>
              <w:ind w:firstLine="0"/>
            </w:pPr>
            <w:r/>
            <w:r>
              <w:rPr>
                <w:rFonts w:ascii="Times New Roman" w:hAnsi="Times New Roman" w:eastAsia="宋体"/>
                <w:b w:val="0"/>
                <w:i w:val="0"/>
                <w:sz w:val="19"/>
              </w:rPr>
              <w:t>report-fund.html</w:t>
            </w:r>
          </w:p>
        </w:tc>
      </w:tr>
      <w:tr>
        <w:tc>
          <w:tcPr>
            <w:tcW w:type="dxa" w:w="1701"/>
          </w:tcPr>
          <w:p>
            <w:pPr>
              <w:spacing w:before="20" w:after="20" w:line="276" w:lineRule="auto"/>
              <w:ind w:firstLine="0"/>
            </w:pPr>
            <w:r/>
            <w:r>
              <w:rPr>
                <w:rFonts w:ascii="Times New Roman" w:hAnsi="Times New Roman" w:eastAsia="宋体"/>
                <w:b w:val="0"/>
                <w:i w:val="0"/>
                <w:sz w:val="19"/>
              </w:rPr>
              <w:t>数据中心</w:t>
            </w:r>
          </w:p>
        </w:tc>
        <w:tc>
          <w:tcPr>
            <w:tcW w:type="dxa" w:w="3402"/>
          </w:tcPr>
          <w:p>
            <w:pPr>
              <w:spacing w:before="20" w:after="20" w:line="276" w:lineRule="auto"/>
              <w:ind w:firstLine="0"/>
            </w:pPr>
            <w:r/>
            <w:r>
              <w:rPr>
                <w:rFonts w:ascii="Times New Roman" w:hAnsi="Times New Roman" w:eastAsia="宋体"/>
                <w:b w:val="0"/>
                <w:i w:val="0"/>
                <w:sz w:val="19"/>
              </w:rPr>
              <w:t>库存明细表</w:t>
            </w:r>
          </w:p>
        </w:tc>
        <w:tc>
          <w:tcPr>
            <w:tcW w:type="dxa" w:w="3969"/>
          </w:tcPr>
          <w:p>
            <w:pPr>
              <w:spacing w:before="20" w:after="20" w:line="276" w:lineRule="auto"/>
              <w:ind w:firstLine="0"/>
            </w:pPr>
            <w:r/>
            <w:r>
              <w:rPr>
                <w:rFonts w:ascii="Times New Roman" w:hAnsi="Times New Roman" w:eastAsia="宋体"/>
                <w:b w:val="0"/>
                <w:i w:val="0"/>
                <w:sz w:val="19"/>
              </w:rPr>
              <w:t>report-inventory.html</w:t>
            </w:r>
          </w:p>
        </w:tc>
      </w:tr>
      <w:tr>
        <w:tc>
          <w:tcPr>
            <w:tcW w:type="dxa" w:w="1701"/>
          </w:tcPr>
          <w:p>
            <w:pPr>
              <w:spacing w:before="20" w:after="20" w:line="276" w:lineRule="auto"/>
              <w:ind w:firstLine="0"/>
            </w:pPr>
            <w:r/>
            <w:r>
              <w:rPr>
                <w:rFonts w:ascii="Times New Roman" w:hAnsi="Times New Roman" w:eastAsia="宋体"/>
                <w:b w:val="0"/>
                <w:i w:val="0"/>
                <w:sz w:val="19"/>
              </w:rPr>
              <w:t>数据中心</w:t>
            </w:r>
          </w:p>
        </w:tc>
        <w:tc>
          <w:tcPr>
            <w:tcW w:type="dxa" w:w="3402"/>
          </w:tcPr>
          <w:p>
            <w:pPr>
              <w:spacing w:before="20" w:after="20" w:line="276" w:lineRule="auto"/>
              <w:ind w:firstLine="0"/>
            </w:pPr>
            <w:r/>
            <w:r>
              <w:rPr>
                <w:rFonts w:ascii="Times New Roman" w:hAnsi="Times New Roman" w:eastAsia="宋体"/>
                <w:b w:val="0"/>
                <w:i w:val="0"/>
                <w:sz w:val="19"/>
              </w:rPr>
              <w:t>应收应付表</w:t>
            </w:r>
          </w:p>
        </w:tc>
        <w:tc>
          <w:tcPr>
            <w:tcW w:type="dxa" w:w="3969"/>
          </w:tcPr>
          <w:p>
            <w:pPr>
              <w:spacing w:before="20" w:after="20" w:line="276" w:lineRule="auto"/>
              <w:ind w:firstLine="0"/>
            </w:pPr>
            <w:r/>
            <w:r>
              <w:rPr>
                <w:rFonts w:ascii="Times New Roman" w:hAnsi="Times New Roman" w:eastAsia="宋体"/>
                <w:b w:val="0"/>
                <w:i w:val="0"/>
                <w:sz w:val="19"/>
              </w:rPr>
              <w:t>report-ar-ap.html</w:t>
            </w:r>
          </w:p>
        </w:tc>
      </w:tr>
    </w:tbl>
    <w:p>
      <w:pPr>
        <w:spacing w:before="0" w:after="0" w:line="240" w:lineRule="auto"/>
      </w:pPr>
    </w:p>
    <w:p>
      <w:pPr>
        <w:pStyle w:val="Heading1"/>
        <w:keepNext/>
        <w:spacing w:before="360" w:after="200" w:line="312" w:lineRule="auto"/>
        <w:ind w:firstLine="0"/>
      </w:pPr>
      <w:r>
        <w:rPr>
          <w:rFonts w:ascii="Times New Roman" w:hAnsi="Times New Roman" w:eastAsia="黑体"/>
          <w:b/>
          <w:i w:val="0"/>
          <w:sz w:val="32"/>
        </w:rPr>
        <w:t>附录 B　术语与缩写</w:t>
      </w:r>
    </w:p>
    <w:tbl>
      <w:tblPr>
        <w:tblStyle w:val="TableGrid"/>
        <w:tblW w:type="auto" w:w="0"/>
        <w:jc w:val="center"/>
        <w:tblLayout w:type="fixed"/>
        <w:tblLook w:firstColumn="1" w:firstRow="1" w:lastColumn="0" w:lastRow="0" w:noHBand="0" w:noVBand="1" w:val="04A0"/>
      </w:tblPr>
      <w:tblGrid>
        <w:gridCol w:w="4479"/>
        <w:gridCol w:w="4479"/>
      </w:tblGrid>
      <w:tr>
        <w:trPr>
          <w:tblHeader w:val="true"/>
        </w:trPr>
        <w:tc>
          <w:tcPr>
            <w:tcW w:type="dxa" w:w="1701"/>
            <w:shd w:val="clear" w:color="auto" w:fill="DCE6F1"/>
          </w:tcPr>
          <w:p>
            <w:pPr>
              <w:spacing w:before="40" w:after="40" w:line="276" w:lineRule="auto"/>
              <w:jc w:val="center"/>
            </w:pPr>
            <w:r/>
            <w:r>
              <w:rPr>
                <w:rFonts w:ascii="Times New Roman" w:hAnsi="Times New Roman" w:eastAsia="黑体"/>
                <w:b/>
                <w:i w:val="0"/>
                <w:sz w:val="21"/>
              </w:rPr>
              <w:t>术语</w:t>
            </w:r>
          </w:p>
        </w:tc>
        <w:tc>
          <w:tcPr>
            <w:tcW w:type="dxa" w:w="7370"/>
            <w:shd w:val="clear" w:color="auto" w:fill="DCE6F1"/>
          </w:tcPr>
          <w:p>
            <w:pPr>
              <w:spacing w:before="40" w:after="40" w:line="276" w:lineRule="auto"/>
              <w:jc w:val="center"/>
            </w:pPr>
            <w:r/>
            <w:r>
              <w:rPr>
                <w:rFonts w:ascii="Times New Roman" w:hAnsi="Times New Roman" w:eastAsia="黑体"/>
                <w:b/>
                <w:i w:val="0"/>
                <w:sz w:val="21"/>
              </w:rPr>
              <w:t>说明</w:t>
            </w:r>
          </w:p>
        </w:tc>
      </w:tr>
      <w:tr>
        <w:tc>
          <w:tcPr>
            <w:tcW w:type="dxa" w:w="1701"/>
          </w:tcPr>
          <w:p>
            <w:pPr>
              <w:spacing w:before="20" w:after="20" w:line="276" w:lineRule="auto"/>
              <w:ind w:firstLine="0"/>
            </w:pPr>
            <w:r/>
            <w:r>
              <w:rPr>
                <w:rFonts w:ascii="Times New Roman" w:hAnsi="Times New Roman" w:eastAsia="宋体"/>
                <w:b w:val="0"/>
                <w:i w:val="0"/>
                <w:sz w:val="21"/>
              </w:rPr>
              <w:t>单据</w:t>
            </w:r>
          </w:p>
        </w:tc>
        <w:tc>
          <w:tcPr>
            <w:tcW w:type="dxa" w:w="7370"/>
          </w:tcPr>
          <w:p>
            <w:pPr>
              <w:spacing w:before="20" w:after="20" w:line="276" w:lineRule="auto"/>
              <w:ind w:firstLine="0"/>
            </w:pPr>
            <w:r/>
            <w:r>
              <w:rPr>
                <w:rFonts w:ascii="Times New Roman" w:hAnsi="Times New Roman" w:eastAsia="宋体"/>
                <w:b w:val="0"/>
                <w:i w:val="0"/>
                <w:sz w:val="21"/>
              </w:rPr>
              <w:t>业务动作的书面凭证，如合同、发货单、结算单、付款单；是系统内流转的基本单位</w:t>
            </w:r>
          </w:p>
        </w:tc>
      </w:tr>
      <w:tr>
        <w:tc>
          <w:tcPr>
            <w:tcW w:type="dxa" w:w="1701"/>
          </w:tcPr>
          <w:p>
            <w:pPr>
              <w:spacing w:before="20" w:after="20" w:line="276" w:lineRule="auto"/>
              <w:ind w:firstLine="0"/>
            </w:pPr>
            <w:r/>
            <w:r>
              <w:rPr>
                <w:rFonts w:ascii="Times New Roman" w:hAnsi="Times New Roman" w:eastAsia="宋体"/>
                <w:b w:val="0"/>
                <w:i w:val="0"/>
                <w:sz w:val="21"/>
              </w:rPr>
              <w:t>业务线</w:t>
            </w:r>
          </w:p>
        </w:tc>
        <w:tc>
          <w:tcPr>
            <w:tcW w:type="dxa" w:w="7370"/>
          </w:tcPr>
          <w:p>
            <w:pPr>
              <w:spacing w:before="20" w:after="20" w:line="276" w:lineRule="auto"/>
              <w:ind w:firstLine="0"/>
            </w:pPr>
            <w:r/>
            <w:r>
              <w:rPr>
                <w:rFonts w:ascii="Times New Roman" w:hAnsi="Times New Roman" w:eastAsia="宋体"/>
                <w:b w:val="0"/>
                <w:i w:val="0"/>
                <w:sz w:val="21"/>
              </w:rPr>
              <w:t>业务归属维度，用于把合同、货转、仓储等单据归到同一条业务线并统计账面库存</w:t>
            </w:r>
          </w:p>
        </w:tc>
      </w:tr>
      <w:tr>
        <w:tc>
          <w:tcPr>
            <w:tcW w:type="dxa" w:w="1701"/>
          </w:tcPr>
          <w:p>
            <w:pPr>
              <w:spacing w:before="20" w:after="20" w:line="276" w:lineRule="auto"/>
              <w:ind w:firstLine="0"/>
            </w:pPr>
            <w:r/>
            <w:r>
              <w:rPr>
                <w:rFonts w:ascii="Times New Roman" w:hAnsi="Times New Roman" w:eastAsia="宋体"/>
                <w:b w:val="0"/>
                <w:i w:val="0"/>
                <w:sz w:val="21"/>
              </w:rPr>
              <w:t>货转</w:t>
            </w:r>
          </w:p>
        </w:tc>
        <w:tc>
          <w:tcPr>
            <w:tcW w:type="dxa" w:w="7370"/>
          </w:tcPr>
          <w:p>
            <w:pPr>
              <w:spacing w:before="20" w:after="20" w:line="276" w:lineRule="auto"/>
              <w:ind w:firstLine="0"/>
            </w:pPr>
            <w:r/>
            <w:r>
              <w:rPr>
                <w:rFonts w:ascii="Times New Roman" w:hAnsi="Times New Roman" w:eastAsia="宋体"/>
                <w:b w:val="0"/>
                <w:i w:val="0"/>
                <w:sz w:val="21"/>
              </w:rPr>
              <w:t>货权转移业务，记录货物所有权在不同主体间的流转</w:t>
            </w:r>
          </w:p>
        </w:tc>
      </w:tr>
      <w:tr>
        <w:tc>
          <w:tcPr>
            <w:tcW w:type="dxa" w:w="1701"/>
          </w:tcPr>
          <w:p>
            <w:pPr>
              <w:spacing w:before="20" w:after="20" w:line="276" w:lineRule="auto"/>
              <w:ind w:firstLine="0"/>
            </w:pPr>
            <w:r/>
            <w:r>
              <w:rPr>
                <w:rFonts w:ascii="Times New Roman" w:hAnsi="Times New Roman" w:eastAsia="宋体"/>
                <w:b w:val="0"/>
                <w:i w:val="0"/>
                <w:sz w:val="21"/>
              </w:rPr>
              <w:t>提放货</w:t>
            </w:r>
          </w:p>
        </w:tc>
        <w:tc>
          <w:tcPr>
            <w:tcW w:type="dxa" w:w="7370"/>
          </w:tcPr>
          <w:p>
            <w:pPr>
              <w:spacing w:before="20" w:after="20" w:line="276" w:lineRule="auto"/>
              <w:ind w:firstLine="0"/>
            </w:pPr>
            <w:r/>
            <w:r>
              <w:rPr>
                <w:rFonts w:ascii="Times New Roman" w:hAnsi="Times New Roman" w:eastAsia="宋体"/>
                <w:b w:val="0"/>
                <w:i w:val="0"/>
                <w:sz w:val="21"/>
              </w:rPr>
              <w:t>仓储侧的实物作业动作：提货与放货</w:t>
            </w:r>
          </w:p>
        </w:tc>
      </w:tr>
      <w:tr>
        <w:tc>
          <w:tcPr>
            <w:tcW w:type="dxa" w:w="1701"/>
          </w:tcPr>
          <w:p>
            <w:pPr>
              <w:spacing w:before="20" w:after="20" w:line="276" w:lineRule="auto"/>
              <w:ind w:firstLine="0"/>
            </w:pPr>
            <w:r/>
            <w:r>
              <w:rPr>
                <w:rFonts w:ascii="Times New Roman" w:hAnsi="Times New Roman" w:eastAsia="宋体"/>
                <w:b w:val="0"/>
                <w:i w:val="0"/>
                <w:sz w:val="21"/>
              </w:rPr>
              <w:t>盯市</w:t>
            </w:r>
          </w:p>
        </w:tc>
        <w:tc>
          <w:tcPr>
            <w:tcW w:type="dxa" w:w="7370"/>
          </w:tcPr>
          <w:p>
            <w:pPr>
              <w:spacing w:before="20" w:after="20" w:line="276" w:lineRule="auto"/>
              <w:ind w:firstLine="0"/>
            </w:pPr>
            <w:r/>
            <w:r>
              <w:rPr>
                <w:rFonts w:ascii="Times New Roman" w:hAnsi="Times New Roman" w:eastAsia="宋体"/>
                <w:b w:val="0"/>
                <w:i w:val="0"/>
                <w:sz w:val="21"/>
              </w:rPr>
              <w:t>对约定货物的市场价格持续监控并触发预警</w:t>
            </w:r>
          </w:p>
        </w:tc>
      </w:tr>
      <w:tr>
        <w:tc>
          <w:tcPr>
            <w:tcW w:type="dxa" w:w="1701"/>
          </w:tcPr>
          <w:p>
            <w:pPr>
              <w:spacing w:before="20" w:after="20" w:line="276" w:lineRule="auto"/>
              <w:ind w:firstLine="0"/>
            </w:pPr>
            <w:r/>
            <w:r>
              <w:rPr>
                <w:rFonts w:ascii="Times New Roman" w:hAnsi="Times New Roman" w:eastAsia="宋体"/>
                <w:b w:val="0"/>
                <w:i w:val="0"/>
                <w:sz w:val="21"/>
              </w:rPr>
              <w:t>追保函</w:t>
            </w:r>
          </w:p>
        </w:tc>
        <w:tc>
          <w:tcPr>
            <w:tcW w:type="dxa" w:w="7370"/>
          </w:tcPr>
          <w:p>
            <w:pPr>
              <w:spacing w:before="20" w:after="20" w:line="276" w:lineRule="auto"/>
              <w:ind w:firstLine="0"/>
            </w:pPr>
            <w:r/>
            <w:r>
              <w:rPr>
                <w:rFonts w:ascii="Times New Roman" w:hAnsi="Times New Roman" w:eastAsia="宋体"/>
                <w:b w:val="0"/>
                <w:i w:val="0"/>
                <w:sz w:val="21"/>
              </w:rPr>
              <w:t>为业务提供担保责任的函件凭证</w:t>
            </w:r>
          </w:p>
        </w:tc>
      </w:tr>
      <w:tr>
        <w:tc>
          <w:tcPr>
            <w:tcW w:type="dxa" w:w="1701"/>
          </w:tcPr>
          <w:p>
            <w:pPr>
              <w:spacing w:before="20" w:after="20" w:line="276" w:lineRule="auto"/>
              <w:ind w:firstLine="0"/>
            </w:pPr>
            <w:r/>
            <w:r>
              <w:rPr>
                <w:rFonts w:ascii="Times New Roman" w:hAnsi="Times New Roman" w:eastAsia="宋体"/>
                <w:b w:val="0"/>
                <w:i w:val="0"/>
                <w:sz w:val="21"/>
              </w:rPr>
              <w:t>在途</w:t>
            </w:r>
          </w:p>
        </w:tc>
        <w:tc>
          <w:tcPr>
            <w:tcW w:type="dxa" w:w="7370"/>
          </w:tcPr>
          <w:p>
            <w:pPr>
              <w:spacing w:before="20" w:after="20" w:line="276" w:lineRule="auto"/>
              <w:ind w:firstLine="0"/>
            </w:pPr>
            <w:r/>
            <w:r>
              <w:rPr>
                <w:rFonts w:ascii="Times New Roman" w:hAnsi="Times New Roman" w:eastAsia="宋体"/>
                <w:b w:val="0"/>
                <w:i w:val="0"/>
                <w:sz w:val="21"/>
              </w:rPr>
              <w:t>单据已发起但流程尚未结束的状态</w:t>
            </w:r>
          </w:p>
        </w:tc>
      </w:tr>
      <w:tr>
        <w:tc>
          <w:tcPr>
            <w:tcW w:type="dxa" w:w="1701"/>
          </w:tcPr>
          <w:p>
            <w:pPr>
              <w:spacing w:before="20" w:after="20" w:line="276" w:lineRule="auto"/>
              <w:ind w:firstLine="0"/>
            </w:pPr>
            <w:r/>
            <w:r>
              <w:rPr>
                <w:rFonts w:ascii="Times New Roman" w:hAnsi="Times New Roman" w:eastAsia="宋体"/>
                <w:b w:val="0"/>
                <w:i w:val="0"/>
                <w:sz w:val="21"/>
              </w:rPr>
              <w:t>待办</w:t>
            </w:r>
          </w:p>
        </w:tc>
        <w:tc>
          <w:tcPr>
            <w:tcW w:type="dxa" w:w="7370"/>
          </w:tcPr>
          <w:p>
            <w:pPr>
              <w:spacing w:before="20" w:after="20" w:line="276" w:lineRule="auto"/>
              <w:ind w:firstLine="0"/>
            </w:pPr>
            <w:r/>
            <w:r>
              <w:rPr>
                <w:rFonts w:ascii="Times New Roman" w:hAnsi="Times New Roman" w:eastAsia="宋体"/>
                <w:b w:val="0"/>
                <w:i w:val="0"/>
                <w:sz w:val="21"/>
              </w:rPr>
              <w:t>当前登录人需要处理的单据集合</w:t>
            </w:r>
          </w:p>
        </w:tc>
      </w:tr>
      <w:tr>
        <w:tc>
          <w:tcPr>
            <w:tcW w:type="dxa" w:w="1701"/>
          </w:tcPr>
          <w:p>
            <w:pPr>
              <w:spacing w:before="20" w:after="20" w:line="276" w:lineRule="auto"/>
              <w:ind w:firstLine="0"/>
            </w:pPr>
            <w:r/>
            <w:r>
              <w:rPr>
                <w:rFonts w:ascii="Times New Roman" w:hAnsi="Times New Roman" w:eastAsia="宋体"/>
                <w:b w:val="0"/>
                <w:i w:val="0"/>
                <w:sz w:val="21"/>
              </w:rPr>
              <w:t>串行审批</w:t>
            </w:r>
          </w:p>
        </w:tc>
        <w:tc>
          <w:tcPr>
            <w:tcW w:type="dxa" w:w="7370"/>
          </w:tcPr>
          <w:p>
            <w:pPr>
              <w:spacing w:before="20" w:after="20" w:line="276" w:lineRule="auto"/>
              <w:ind w:firstLine="0"/>
            </w:pPr>
            <w:r/>
            <w:r>
              <w:rPr>
                <w:rFonts w:ascii="Times New Roman" w:hAnsi="Times New Roman" w:eastAsia="宋体"/>
                <w:b w:val="0"/>
                <w:i w:val="0"/>
                <w:sz w:val="21"/>
              </w:rPr>
              <w:t>节点按顺序逐级流转，前一级通过后才进入下一级</w:t>
            </w:r>
          </w:p>
        </w:tc>
      </w:tr>
      <w:tr>
        <w:tc>
          <w:tcPr>
            <w:tcW w:type="dxa" w:w="1701"/>
          </w:tcPr>
          <w:p>
            <w:pPr>
              <w:spacing w:before="20" w:after="20" w:line="276" w:lineRule="auto"/>
              <w:ind w:firstLine="0"/>
            </w:pPr>
            <w:r/>
            <w:r>
              <w:rPr>
                <w:rFonts w:ascii="Times New Roman" w:hAnsi="Times New Roman" w:eastAsia="宋体"/>
                <w:b w:val="0"/>
                <w:i w:val="0"/>
                <w:sz w:val="21"/>
              </w:rPr>
              <w:t>并行会签</w:t>
            </w:r>
          </w:p>
        </w:tc>
        <w:tc>
          <w:tcPr>
            <w:tcW w:type="dxa" w:w="7370"/>
          </w:tcPr>
          <w:p>
            <w:pPr>
              <w:spacing w:before="20" w:after="20" w:line="276" w:lineRule="auto"/>
              <w:ind w:firstLine="0"/>
            </w:pPr>
            <w:r/>
            <w:r>
              <w:rPr>
                <w:rFonts w:ascii="Times New Roman" w:hAnsi="Times New Roman" w:eastAsia="宋体"/>
                <w:b w:val="0"/>
                <w:i w:val="0"/>
                <w:sz w:val="21"/>
              </w:rPr>
              <w:t>同一节点内多人同时收到待办，需全部通过才进入下一节点</w:t>
            </w:r>
          </w:p>
        </w:tc>
      </w:tr>
      <w:tr>
        <w:tc>
          <w:tcPr>
            <w:tcW w:type="dxa" w:w="1701"/>
          </w:tcPr>
          <w:p>
            <w:pPr>
              <w:spacing w:before="20" w:after="20" w:line="276" w:lineRule="auto"/>
              <w:ind w:firstLine="0"/>
            </w:pPr>
            <w:r/>
            <w:r>
              <w:rPr>
                <w:rFonts w:ascii="Times New Roman" w:hAnsi="Times New Roman" w:eastAsia="宋体"/>
                <w:b w:val="0"/>
                <w:i w:val="0"/>
                <w:sz w:val="21"/>
              </w:rPr>
              <w:t>凭证</w:t>
            </w:r>
          </w:p>
        </w:tc>
        <w:tc>
          <w:tcPr>
            <w:tcW w:type="dxa" w:w="7370"/>
          </w:tcPr>
          <w:p>
            <w:pPr>
              <w:spacing w:before="20" w:after="20" w:line="276" w:lineRule="auto"/>
              <w:ind w:firstLine="0"/>
            </w:pPr>
            <w:r/>
            <w:r>
              <w:rPr>
                <w:rFonts w:ascii="Times New Roman" w:hAnsi="Times New Roman" w:eastAsia="宋体"/>
                <w:b w:val="0"/>
                <w:i w:val="0"/>
                <w:sz w:val="21"/>
              </w:rPr>
              <w:t>线下资金动作发生后上传系统的证明材料（图片或 PDF）</w:t>
            </w:r>
          </w:p>
        </w:tc>
      </w:tr>
      <w:tr>
        <w:tc>
          <w:tcPr>
            <w:tcW w:type="dxa" w:w="1701"/>
          </w:tcPr>
          <w:p>
            <w:pPr>
              <w:spacing w:before="20" w:after="20" w:line="276" w:lineRule="auto"/>
              <w:ind w:firstLine="0"/>
            </w:pPr>
            <w:r/>
            <w:r>
              <w:rPr>
                <w:rFonts w:ascii="Times New Roman" w:hAnsi="Times New Roman" w:eastAsia="宋体"/>
                <w:b w:val="0"/>
                <w:i w:val="0"/>
                <w:sz w:val="21"/>
              </w:rPr>
              <w:t>打码</w:t>
            </w:r>
          </w:p>
        </w:tc>
        <w:tc>
          <w:tcPr>
            <w:tcW w:type="dxa" w:w="7370"/>
          </w:tcPr>
          <w:p>
            <w:pPr>
              <w:spacing w:before="20" w:after="20" w:line="276" w:lineRule="auto"/>
              <w:ind w:firstLine="0"/>
            </w:pPr>
            <w:r/>
            <w:r>
              <w:rPr>
                <w:rFonts w:ascii="Times New Roman" w:hAnsi="Times New Roman" w:eastAsia="宋体"/>
                <w:b w:val="0"/>
                <w:i w:val="0"/>
                <w:sz w:val="21"/>
              </w:rPr>
              <w:t>敏感字段在界面上以掩码展示，需手动点击查看完整值</w:t>
            </w:r>
          </w:p>
        </w:tc>
      </w:tr>
    </w:tbl>
    <w:p>
      <w:pPr>
        <w:spacing w:before="0" w:after="0" w:line="240" w:lineRule="auto"/>
      </w:pPr>
    </w:p>
    <w:sectPr w:rsidR="00FC693F" w:rsidRPr="0006063C" w:rsidSect="00034616">
      <w:headerReference w:type="default" r:id="rId9"/>
      <w:footerReference w:type="default" r:id="rId10"/>
      <w:pgSz w:w="11906" w:h="16838"/>
      <w:pgMar w:top="1440" w:right="1474" w:bottom="1440" w:left="1474" w:header="850" w:footer="85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
      <w:rPr>
        <w:rFonts w:ascii="Times New Roman" w:hAnsi="Times New Roman" w:eastAsia="宋体"/>
        <w:b w:val="0"/>
        <w:i w:val="0"/>
        <w:color w:val="808080"/>
        <w:sz w:val="18"/>
      </w:rPr>
      <w:t xml:space="preserve">第 </w:t>
    </w:r>
    <w:r>
      <w:fldChar w:fldCharType="begin"/>
    </w:r>
    <w:r>
      <w:instrText xml:space="preserve"> PAGE </w:instrText>
    </w:r>
    <w:r>
      <w:fldChar w:fldCharType="separate"/>
    </w:r>
    <w:r>
      <w:rPr>
        <w:rFonts w:ascii="Times New Roman" w:hAnsi="Times New Roman" w:eastAsia="宋体"/>
        <w:b w:val="0"/>
        <w:i w:val="0"/>
        <w:color w:val="808080"/>
        <w:sz w:val="21"/>
      </w:rPr>
      <w:t>（在 Word 中按 Ctrl+A 后按 F9 更新）</w:t>
    </w:r>
    <w:r>
      <w:fldChar w:fldCharType="end"/>
    </w:r>
    <w:r>
      <w:rPr>
        <w:rFonts w:ascii="Times New Roman" w:hAnsi="Times New Roman" w:eastAsia="宋体"/>
        <w:b w:val="0"/>
        <w:i w:val="0"/>
        <w:color w:val="808080"/>
        <w:sz w:val="18"/>
      </w:rPr>
      <w:t xml:space="preserve"> 页 / 共 </w:t>
    </w:r>
    <w:r>
      <w:fldChar w:fldCharType="begin"/>
    </w:r>
    <w:r>
      <w:instrText xml:space="preserve"> NUMPAGES </w:instrText>
    </w:r>
    <w:r>
      <w:fldChar w:fldCharType="separate"/>
    </w:r>
    <w:r>
      <w:rPr>
        <w:rFonts w:ascii="Times New Roman" w:hAnsi="Times New Roman" w:eastAsia="宋体"/>
        <w:b w:val="0"/>
        <w:i w:val="0"/>
        <w:color w:val="808080"/>
        <w:sz w:val="21"/>
      </w:rPr>
      <w:t>（在 Word 中按 Ctrl+A 后按 F9 更新）</w:t>
    </w:r>
    <w:r>
      <w:fldChar w:fldCharType="end"/>
    </w:r>
    <w:r>
      <w:rPr>
        <w:rFonts w:ascii="Times New Roman" w:hAnsi="Times New Roman" w:eastAsia="宋体"/>
        <w:b w:val="0"/>
        <w:i w:val="0"/>
        <w:color w:val="80808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
      <w:rPr>
        <w:rFonts w:ascii="Times New Roman" w:hAnsi="Times New Roman" w:eastAsia="宋体"/>
        <w:b w:val="0"/>
        <w:i w:val="0"/>
        <w:color w:val="808080"/>
        <w:sz w:val="18"/>
      </w:rPr>
      <w:t>数字供应链平台 · 产品需求文档（PRD）汇编</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48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ind w:firstLine="0"/>
      <w:outlineLvl w:val="0"/>
    </w:pPr>
    <w:rPr>
      <w:rFonts w:asciiTheme="majorHAnsi" w:eastAsiaTheme="majorEastAsia" w:hAnsiTheme="majorHAnsi" w:cstheme="majorBidi" w:ascii="黑体" w:hAnsi="黑体" w:eastAsia="黑体"/>
      <w:b/>
      <w:bCs/>
      <w:color w:val="1A1A1A"/>
      <w:sz w:val="32"/>
      <w:szCs w:val="28"/>
    </w:rPr>
  </w:style>
  <w:style w:type="paragraph" w:styleId="Heading2">
    <w:name w:val="heading 2"/>
    <w:basedOn w:val="Normal"/>
    <w:next w:val="Normal"/>
    <w:link w:val="Heading2Char"/>
    <w:uiPriority w:val="9"/>
    <w:unhideWhenUsed/>
    <w:qFormat/>
    <w:rsid w:val="00FC693F"/>
    <w:pPr>
      <w:keepNext/>
      <w:keepLines/>
      <w:spacing w:before="200" w:after="0"/>
      <w:ind w:firstLine="0"/>
      <w:outlineLvl w:val="1"/>
    </w:pPr>
    <w:rPr>
      <w:rFonts w:asciiTheme="majorHAnsi" w:eastAsiaTheme="majorEastAsia" w:hAnsiTheme="majorHAnsi" w:cstheme="majorBidi" w:ascii="黑体" w:hAnsi="黑体" w:eastAsia="黑体"/>
      <w:b/>
      <w:bCs/>
      <w:color w:val="1A1A1A"/>
      <w:sz w:val="28"/>
      <w:szCs w:val="26"/>
    </w:rPr>
  </w:style>
  <w:style w:type="paragraph" w:styleId="Heading3">
    <w:name w:val="heading 3"/>
    <w:basedOn w:val="Normal"/>
    <w:next w:val="Normal"/>
    <w:link w:val="Heading3Char"/>
    <w:uiPriority w:val="9"/>
    <w:unhideWhenUsed/>
    <w:qFormat/>
    <w:rsid w:val="00FC693F"/>
    <w:pPr>
      <w:keepNext/>
      <w:keepLines/>
      <w:spacing w:before="200" w:after="0"/>
      <w:ind w:firstLine="0"/>
      <w:outlineLvl w:val="2"/>
    </w:pPr>
    <w:rPr>
      <w:rFonts w:asciiTheme="majorHAnsi" w:eastAsiaTheme="majorEastAsia" w:hAnsiTheme="majorHAnsi" w:cstheme="majorBidi" w:ascii="黑体" w:hAnsi="黑体" w:eastAsia="黑体"/>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ind w:firstLine="0"/>
      <w:outlineLvl w:val="3"/>
    </w:pPr>
    <w:rPr>
      <w:rFonts w:asciiTheme="majorHAnsi" w:eastAsiaTheme="majorEastAsia" w:hAnsiTheme="majorHAnsi" w:cstheme="majorBidi" w:ascii="黑体" w:hAnsi="黑体" w:eastAsia="黑体"/>
      <w:b/>
      <w:bCs/>
      <w:i/>
      <w:iCs/>
      <w:color w:val="1A1A1A"/>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