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5A7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7F524D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 отношении обработки персональных данных</w:t>
      </w:r>
    </w:p>
    <w:p w14:paraId="54548284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14:paraId="491FDC8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 </w:t>
      </w:r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Михайловым Иваном Сергеевичем</w:t>
      </w: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 – Оператор).</w:t>
      </w:r>
    </w:p>
    <w:p w14:paraId="665C8B1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0752212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4CF4097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 Политике</w:t>
      </w:r>
    </w:p>
    <w:p w14:paraId="4DEDD61E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383C211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75CDD07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3C4052D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4207915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375FE2DE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748F28D3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331E201D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25C2BCF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14:paraId="3AD7638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 – любой посетитель веб-сайта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74124D8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7D34BD7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6B5613B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603E387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4E089B2C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 обязанности Оператора</w:t>
      </w:r>
    </w:p>
    <w:p w14:paraId="3B35C971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14:paraId="197DC17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14:paraId="08734AF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4A0FDF0A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5DEC5F6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14:paraId="50147A9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14:paraId="3CAF9E9D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14:paraId="3864C9D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0DA14BE1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7FE89E5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1A10A617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0BC0725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70EF06A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исполнять иные обязанности, предусмотренные Законом о персональных данных.</w:t>
      </w:r>
    </w:p>
    <w:p w14:paraId="1CDE7A4D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 обязанности субъектов персональных данных</w:t>
      </w:r>
    </w:p>
    <w:p w14:paraId="1E06A2C8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14:paraId="7F9F9F1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29A6CCF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7F11B53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65629DA7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на отзыв согласия на обработку персональных данных;</w:t>
      </w:r>
    </w:p>
    <w:p w14:paraId="13470E6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27FF324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на осуществление иных прав, предусмотренных законодательством РФ.</w:t>
      </w:r>
    </w:p>
    <w:p w14:paraId="04386028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14:paraId="01CD7EE8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предоставлять Оператору достоверные данные о себе;</w:t>
      </w:r>
    </w:p>
    <w:p w14:paraId="438A296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сообщать Оператору об уточнении (обновлении, изменении) своих персональных данных.</w:t>
      </w:r>
    </w:p>
    <w:p w14:paraId="2662305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1FE4D8F0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Оператор может обрабатывать следующие персональные данные Пользователя</w:t>
      </w:r>
    </w:p>
    <w:p w14:paraId="2963418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 Фамилия, имя, отчество.</w:t>
      </w:r>
    </w:p>
    <w:p w14:paraId="5FD5F025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 Электронный адрес.</w:t>
      </w:r>
    </w:p>
    <w:p w14:paraId="2D6AB14E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 Номера телефонов.</w:t>
      </w:r>
    </w:p>
    <w:p w14:paraId="7120CC75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 Год, месяц, дата и место рождения.</w:t>
      </w:r>
    </w:p>
    <w:p w14:paraId="12509D8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5.5. Также на сайте происходит сбор и обработка обезличенных данных о посетителях (в </w:t>
      </w:r>
      <w:proofErr w:type="gram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т.ч.</w:t>
      </w:r>
      <w:proofErr w:type="gram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файлов «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cookie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14:paraId="39B791E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 Вышеперечисленные данные далее по тексту Политики объединены общим понятием Персональные данные.</w:t>
      </w:r>
    </w:p>
    <w:p w14:paraId="5265AA5A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5.7.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2145319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5.8.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768B263E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5.9.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53471CE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5.9.1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14:paraId="6A2D6213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5.9.2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14:paraId="6A1852A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5.9.3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4227FC7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5.9.4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5.9.3 настоящей Политики в отношении обработки персональных данных.</w:t>
      </w:r>
    </w:p>
    <w:p w14:paraId="130DC16B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Принципы обработки персональных данных</w:t>
      </w:r>
    </w:p>
    <w:p w14:paraId="11C1EB55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6.1. Обработка персональных данных осуществляется на законной и справедливой основе.</w:t>
      </w:r>
    </w:p>
    <w:p w14:paraId="576DDDF7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2CE92E83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08AA330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6.4. Обработке подлежат только персональные данные, которые отвечают целям их обработки.</w:t>
      </w:r>
    </w:p>
    <w:p w14:paraId="047377E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5CCC41F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230AB70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6D1B9640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Цели обработки персональных данных</w:t>
      </w:r>
    </w:p>
    <w:p w14:paraId="565FFCE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7.1. Цель обработки персональных данных Пользователя:</w:t>
      </w:r>
    </w:p>
    <w:p w14:paraId="3B74FF4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информирование Пользователя посредством отправки электронных писем;</w:t>
      </w:r>
    </w:p>
    <w:p w14:paraId="12733CB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заключение, исполнение и прекращение гражданско-правовых договоров;</w:t>
      </w:r>
    </w:p>
    <w:p w14:paraId="69EBEE3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предоставление доступа Пользователю к сервисам, информации и/или материалам, содержащимся на веб-сайте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1B1FDD93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14:paraId="30841F74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7B770D1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Правовые основания обработки персональных данных</w:t>
      </w:r>
    </w:p>
    <w:p w14:paraId="336FED4D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Правовыми основаниями обработки персональных данных Оператором являются:</w:t>
      </w:r>
    </w:p>
    <w:p w14:paraId="67EF619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</w:t>
      </w:r>
      <w:r w:rsidRPr="007F524D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перечислите нормативно-правовые акты, регулирующие отношения, связанные с вашей деятельностью, например, если ваша деятельность связана с информационными технологиями, в частности с созданием сайтов, то здесь можно указать Федеральный закон "Об информации, информационных технологиях и о защите информации" от 27.07.2006 N 149-ФЗ</w:t>
      </w: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;</w:t>
      </w:r>
    </w:p>
    <w:p w14:paraId="6580982D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уставные документы Оператора;</w:t>
      </w:r>
    </w:p>
    <w:p w14:paraId="115AF5E1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договоры, заключаемые между оператором и субъектом персональных данных;</w:t>
      </w:r>
    </w:p>
    <w:p w14:paraId="6997720E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федеральные законы, иные нормативно-правовые акты в сфере защиты персональных данных;</w:t>
      </w:r>
    </w:p>
    <w:p w14:paraId="71FF819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14:paraId="721A6287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7942C09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cookie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» и использование технологии JavaScript).</w:t>
      </w:r>
    </w:p>
    <w:p w14:paraId="10E24755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14:paraId="53D73476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Условия обработки персональных данных</w:t>
      </w:r>
    </w:p>
    <w:p w14:paraId="02046FA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7F3B4861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2054A9BA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6B00121E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7CC4090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079B1C6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649D3A36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7ECF1C8E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Порядок сбора, хранения, передачи и других видов обработки персональных данных</w:t>
      </w:r>
    </w:p>
    <w:p w14:paraId="6A8765D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675B362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313A88A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2D9A72B9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10.3. </w:t>
      </w:r>
      <w:proofErr w:type="gram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случае выявления неточностей в персональных данных,</w:t>
      </w:r>
      <w:proofErr w:type="gram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14:paraId="192FF22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14:paraId="5F6AB9C8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1C661D27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14791F70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14:paraId="05B7BCFF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</w:t>
      </w:r>
    </w:p>
    <w:p w14:paraId="74DA23AD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6F97A805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Перечень действий, производимых Оператором с полученными персональными данными</w:t>
      </w:r>
    </w:p>
    <w:p w14:paraId="2815B18B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6348E05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7DD41278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Трансграничная передача персональных данных</w:t>
      </w:r>
    </w:p>
    <w:p w14:paraId="4BD578C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57868B5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5F9D1CF0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13. Конфиденциальность персональных данных</w:t>
      </w:r>
    </w:p>
    <w:p w14:paraId="296C1F32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33F58C3E" w14:textId="77777777" w:rsidR="007F524D" w:rsidRPr="007F524D" w:rsidRDefault="007F524D" w:rsidP="007F524D">
      <w:pPr>
        <w:shd w:val="clear" w:color="auto" w:fill="FEFEFE"/>
        <w:spacing w:after="360" w:line="240" w:lineRule="auto"/>
        <w:ind w:firstLine="0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7F524D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14. Заключительные положения</w:t>
      </w:r>
    </w:p>
    <w:p w14:paraId="6E120083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43AA8133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7F2B52AC" w14:textId="77777777" w:rsidR="007F524D" w:rsidRPr="007F524D" w:rsidRDefault="007F524D" w:rsidP="007F524D">
      <w:pPr>
        <w:shd w:val="clear" w:color="auto" w:fill="FEFEFE"/>
        <w:spacing w:line="240" w:lineRule="auto"/>
        <w:ind w:firstLine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14.3. Актуальная версия Политики в свободном доступе расположена в сети Интернет по адресу 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ː//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thismywebsite·com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/</w:t>
      </w:r>
      <w:proofErr w:type="spellStart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</w:t>
      </w:r>
      <w:proofErr w:type="spellEnd"/>
      <w:r w:rsidRPr="007F524D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/</w:t>
      </w:r>
      <w:r w:rsidRPr="007F524D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BF71495" w14:textId="77777777" w:rsidR="004C3994" w:rsidRDefault="004C3994"/>
    <w:sectPr w:rsidR="004C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5A3"/>
    <w:multiLevelType w:val="multilevel"/>
    <w:tmpl w:val="BAD2C20C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6ACC5EBF"/>
    <w:multiLevelType w:val="multilevel"/>
    <w:tmpl w:val="73E6C428"/>
    <w:styleLink w:val="a1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7F2B6F4A"/>
    <w:multiLevelType w:val="multilevel"/>
    <w:tmpl w:val="92AC6646"/>
    <w:styleLink w:val="a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pStyle w:val="3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 w16cid:durableId="969432222">
    <w:abstractNumId w:val="2"/>
  </w:num>
  <w:num w:numId="2" w16cid:durableId="189614607">
    <w:abstractNumId w:val="1"/>
  </w:num>
  <w:num w:numId="3" w16cid:durableId="50090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41"/>
    <w:rsid w:val="001673A9"/>
    <w:rsid w:val="003F722E"/>
    <w:rsid w:val="0046034F"/>
    <w:rsid w:val="00461D2B"/>
    <w:rsid w:val="004C3994"/>
    <w:rsid w:val="00640300"/>
    <w:rsid w:val="007F524D"/>
    <w:rsid w:val="00AC226C"/>
    <w:rsid w:val="00D02641"/>
    <w:rsid w:val="00D31E20"/>
    <w:rsid w:val="00D85A72"/>
    <w:rsid w:val="00DD3B41"/>
    <w:rsid w:val="00E9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FA18-0ADC-45A9-9578-C54E4EA3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6034F"/>
    <w:pPr>
      <w:jc w:val="left"/>
    </w:pPr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3F722E"/>
    <w:pPr>
      <w:keepNext/>
      <w:keepLines/>
      <w:pageBreakBefore/>
      <w:numPr>
        <w:numId w:val="1"/>
      </w:numPr>
      <w:suppressLineNumbers/>
      <w:suppressAutoHyphens/>
      <w:spacing w:after="42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3F722E"/>
    <w:pPr>
      <w:keepNext/>
      <w:keepLines/>
      <w:numPr>
        <w:ilvl w:val="1"/>
        <w:numId w:val="1"/>
      </w:numPr>
      <w:suppressLineNumbers/>
      <w:suppressAutoHyphens/>
      <w:spacing w:after="28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3F722E"/>
    <w:pPr>
      <w:keepNext/>
      <w:keepLines/>
      <w:numPr>
        <w:ilvl w:val="2"/>
        <w:numId w:val="1"/>
      </w:numPr>
      <w:suppressLineNumbers/>
      <w:suppressAutoHyphens/>
      <w:spacing w:before="28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3"/>
    <w:link w:val="40"/>
    <w:uiPriority w:val="9"/>
    <w:qFormat/>
    <w:rsid w:val="007F524D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3"/>
    <w:link w:val="50"/>
    <w:uiPriority w:val="9"/>
    <w:qFormat/>
    <w:rsid w:val="007F524D"/>
    <w:pPr>
      <w:spacing w:before="100" w:beforeAutospacing="1" w:after="100" w:afterAutospacing="1" w:line="240" w:lineRule="auto"/>
      <w:ind w:firstLine="0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3F722E"/>
    <w:rPr>
      <w:rFonts w:asciiTheme="majorHAnsi" w:eastAsiaTheme="majorEastAsia" w:hAnsiTheme="majorHAnsi" w:cstheme="majorBidi"/>
      <w:b/>
      <w:szCs w:val="32"/>
    </w:rPr>
  </w:style>
  <w:style w:type="paragraph" w:styleId="a7">
    <w:name w:val="No Spacing"/>
    <w:uiPriority w:val="1"/>
    <w:qFormat/>
    <w:rsid w:val="00461D2B"/>
    <w:pPr>
      <w:spacing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4"/>
    <w:link w:val="2"/>
    <w:uiPriority w:val="9"/>
    <w:rsid w:val="003F722E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4"/>
    <w:link w:val="3"/>
    <w:uiPriority w:val="9"/>
    <w:rsid w:val="003F722E"/>
    <w:rPr>
      <w:rFonts w:asciiTheme="majorHAnsi" w:eastAsiaTheme="majorEastAsia" w:hAnsiTheme="majorHAnsi" w:cstheme="majorBidi"/>
      <w:szCs w:val="24"/>
    </w:rPr>
  </w:style>
  <w:style w:type="numbering" w:customStyle="1" w:styleId="a2">
    <w:name w:val="Многоуровневый список для заголовков"/>
    <w:uiPriority w:val="99"/>
    <w:rsid w:val="003F722E"/>
    <w:pPr>
      <w:numPr>
        <w:numId w:val="1"/>
      </w:numPr>
    </w:pPr>
  </w:style>
  <w:style w:type="paragraph" w:customStyle="1" w:styleId="a8">
    <w:name w:val="Заголовок структурного элемента (содержание"/>
    <w:aliases w:val="введение,заключение,список используемых источников)"/>
    <w:basedOn w:val="1"/>
    <w:next w:val="a3"/>
    <w:qFormat/>
    <w:rsid w:val="003F722E"/>
    <w:pPr>
      <w:numPr>
        <w:numId w:val="0"/>
      </w:numPr>
      <w:jc w:val="center"/>
    </w:pPr>
    <w:rPr>
      <w:caps/>
    </w:rPr>
  </w:style>
  <w:style w:type="paragraph" w:customStyle="1" w:styleId="a9">
    <w:name w:val="Заголовок содержания"/>
    <w:basedOn w:val="a3"/>
    <w:next w:val="a3"/>
    <w:qFormat/>
    <w:rsid w:val="003F722E"/>
    <w:pPr>
      <w:keepNext/>
      <w:keepLines/>
      <w:pageBreakBefore/>
      <w:suppressLineNumbers/>
      <w:suppressAutoHyphens/>
      <w:spacing w:after="420"/>
      <w:ind w:firstLine="0"/>
      <w:jc w:val="center"/>
    </w:pPr>
    <w:rPr>
      <w:rFonts w:asciiTheme="majorHAnsi" w:eastAsiaTheme="majorEastAsia" w:hAnsiTheme="majorHAnsi" w:cstheme="majorBidi"/>
      <w:b/>
      <w:caps/>
      <w:szCs w:val="32"/>
    </w:rPr>
  </w:style>
  <w:style w:type="paragraph" w:styleId="21">
    <w:name w:val="toc 2"/>
    <w:basedOn w:val="a3"/>
    <w:next w:val="a3"/>
    <w:autoRedefine/>
    <w:uiPriority w:val="39"/>
    <w:unhideWhenUsed/>
    <w:rsid w:val="003F722E"/>
    <w:pPr>
      <w:tabs>
        <w:tab w:val="right" w:leader="dot" w:pos="9344"/>
      </w:tabs>
      <w:ind w:left="278" w:right="567" w:firstLine="0"/>
      <w:jc w:val="both"/>
    </w:pPr>
  </w:style>
  <w:style w:type="paragraph" w:styleId="31">
    <w:name w:val="toc 3"/>
    <w:basedOn w:val="a3"/>
    <w:next w:val="a3"/>
    <w:autoRedefine/>
    <w:uiPriority w:val="39"/>
    <w:unhideWhenUsed/>
    <w:rsid w:val="003F722E"/>
    <w:pPr>
      <w:tabs>
        <w:tab w:val="right" w:leader="dot" w:pos="9344"/>
      </w:tabs>
      <w:ind w:left="561" w:right="567" w:firstLine="0"/>
      <w:jc w:val="both"/>
    </w:pPr>
  </w:style>
  <w:style w:type="paragraph" w:styleId="11">
    <w:name w:val="toc 1"/>
    <w:basedOn w:val="a3"/>
    <w:next w:val="a3"/>
    <w:autoRedefine/>
    <w:uiPriority w:val="39"/>
    <w:unhideWhenUsed/>
    <w:rsid w:val="003F722E"/>
    <w:pPr>
      <w:tabs>
        <w:tab w:val="right" w:leader="dot" w:pos="9344"/>
      </w:tabs>
      <w:ind w:right="567" w:firstLine="0"/>
      <w:jc w:val="both"/>
    </w:pPr>
  </w:style>
  <w:style w:type="paragraph" w:styleId="aa">
    <w:name w:val="footer"/>
    <w:basedOn w:val="a3"/>
    <w:link w:val="ab"/>
    <w:uiPriority w:val="99"/>
    <w:unhideWhenUsed/>
    <w:rsid w:val="003F722E"/>
    <w:pPr>
      <w:tabs>
        <w:tab w:val="center" w:pos="4677"/>
        <w:tab w:val="right" w:pos="9355"/>
      </w:tabs>
      <w:spacing w:line="240" w:lineRule="auto"/>
      <w:ind w:firstLine="0"/>
      <w:jc w:val="both"/>
    </w:pPr>
  </w:style>
  <w:style w:type="character" w:customStyle="1" w:styleId="ab">
    <w:name w:val="Нижний колонтитул Знак"/>
    <w:basedOn w:val="a4"/>
    <w:link w:val="aa"/>
    <w:uiPriority w:val="99"/>
    <w:rsid w:val="003F722E"/>
  </w:style>
  <w:style w:type="paragraph" w:customStyle="1" w:styleId="ac">
    <w:name w:val="Обычный последний обзац"/>
    <w:basedOn w:val="a3"/>
    <w:next w:val="2"/>
    <w:qFormat/>
    <w:rsid w:val="003F722E"/>
    <w:pPr>
      <w:spacing w:after="280"/>
      <w:jc w:val="both"/>
    </w:pPr>
  </w:style>
  <w:style w:type="paragraph" w:customStyle="1" w:styleId="-">
    <w:name w:val="Маркированный список (-)"/>
    <w:basedOn w:val="a3"/>
    <w:qFormat/>
    <w:rsid w:val="003F722E"/>
    <w:pPr>
      <w:jc w:val="both"/>
    </w:pPr>
  </w:style>
  <w:style w:type="numbering" w:customStyle="1" w:styleId="a1">
    <w:name w:val="Маркер (–)"/>
    <w:uiPriority w:val="99"/>
    <w:rsid w:val="003F722E"/>
    <w:pPr>
      <w:numPr>
        <w:numId w:val="2"/>
      </w:numPr>
    </w:pPr>
  </w:style>
  <w:style w:type="paragraph" w:customStyle="1" w:styleId="ad">
    <w:name w:val="Обычный после списка"/>
    <w:basedOn w:val="a3"/>
    <w:next w:val="a3"/>
    <w:qFormat/>
    <w:rsid w:val="003F722E"/>
    <w:pPr>
      <w:spacing w:before="140"/>
      <w:jc w:val="both"/>
    </w:pPr>
  </w:style>
  <w:style w:type="paragraph" w:customStyle="1" w:styleId="a0">
    <w:name w:val="Маркированный список (.)"/>
    <w:basedOn w:val="a3"/>
    <w:qFormat/>
    <w:rsid w:val="003F722E"/>
    <w:pPr>
      <w:numPr>
        <w:numId w:val="3"/>
      </w:numPr>
      <w:jc w:val="both"/>
    </w:pPr>
  </w:style>
  <w:style w:type="numbering" w:customStyle="1" w:styleId="a">
    <w:name w:val="Нумерация с точкой"/>
    <w:uiPriority w:val="99"/>
    <w:rsid w:val="003F722E"/>
    <w:pPr>
      <w:numPr>
        <w:numId w:val="3"/>
      </w:numPr>
    </w:pPr>
  </w:style>
  <w:style w:type="paragraph" w:customStyle="1" w:styleId="ae">
    <w:name w:val="Титульный лист"/>
    <w:basedOn w:val="a3"/>
    <w:qFormat/>
    <w:rsid w:val="003F722E"/>
    <w:pPr>
      <w:spacing w:line="240" w:lineRule="auto"/>
      <w:ind w:firstLine="0"/>
      <w:contextualSpacing/>
      <w:jc w:val="center"/>
    </w:pPr>
  </w:style>
  <w:style w:type="paragraph" w:customStyle="1" w:styleId="af">
    <w:name w:val="Обычный последний обзац перед заголовком второго и третьего уровня"/>
    <w:basedOn w:val="a3"/>
    <w:next w:val="2"/>
    <w:qFormat/>
    <w:rsid w:val="00D02641"/>
    <w:pPr>
      <w:spacing w:after="280"/>
      <w:jc w:val="both"/>
    </w:pPr>
  </w:style>
  <w:style w:type="paragraph" w:customStyle="1" w:styleId="af0">
    <w:name w:val="Рисунки"/>
    <w:basedOn w:val="a3"/>
    <w:next w:val="a3"/>
    <w:qFormat/>
    <w:rsid w:val="00640300"/>
    <w:pPr>
      <w:spacing w:line="240" w:lineRule="auto"/>
      <w:ind w:firstLine="0"/>
      <w:jc w:val="center"/>
    </w:pPr>
  </w:style>
  <w:style w:type="character" w:customStyle="1" w:styleId="40">
    <w:name w:val="Заголовок 4 Знак"/>
    <w:basedOn w:val="a4"/>
    <w:link w:val="4"/>
    <w:uiPriority w:val="9"/>
    <w:rsid w:val="007F52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F52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Strong"/>
    <w:basedOn w:val="a4"/>
    <w:uiPriority w:val="22"/>
    <w:qFormat/>
    <w:rsid w:val="007F524D"/>
    <w:rPr>
      <w:b/>
      <w:bCs/>
    </w:rPr>
  </w:style>
  <w:style w:type="character" w:customStyle="1" w:styleId="link">
    <w:name w:val="link"/>
    <w:basedOn w:val="a4"/>
    <w:rsid w:val="007F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60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483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0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0627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62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429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118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57226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3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5106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9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411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02783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1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9137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9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7661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38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576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03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69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1021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8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63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5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90082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6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717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58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3293</Words>
  <Characters>18773</Characters>
  <Application>Microsoft Office Word</Application>
  <DocSecurity>0</DocSecurity>
  <Lines>156</Lines>
  <Paragraphs>44</Paragraphs>
  <ScaleCrop>false</ScaleCrop>
  <Company>SPecialiST RePack</Company>
  <LinksUpToDate>false</LinksUpToDate>
  <CharactersWithSpaces>22022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Завражнов Владислав Александрович</dc:creator>
  <cp:keywords/>
  <dc:description/>
  <cp:lastModifiedBy>Завражнов Владислав Александрович</cp:lastModifiedBy>
  <cp:revision>2</cp:revision>
  <dcterms:created xsi:type="dcterms:W3CDTF">2022-11-26T10:54:00Z</dcterms:created>
  <dcterms:modified xsi:type="dcterms:W3CDTF">2022-11-26T10:54:00Z</dcterms:modified>
</cp:coreProperties>
</file>