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4.jpeg" ContentType="image/jpeg"/>
  <Override PartName="/word/media/image33.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набавку нових филмова,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 xml:space="preserve">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 </w:t>
      </w:r>
      <w:r>
        <w:rPr>
          <w:lang w:val="sr-RS"/>
        </w:rPr>
        <w:t>Филмотекари се, уз то, брину и о томе да је стање филмова у филмотеци такво да увек имају нове филмове и да су филмови сортирани. Они се баве набавком нових филмова.</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 xml:space="preserve">1.2 Методологија рада </w:t>
      </w:r>
      <w:r>
        <w:rPr>
          <w:b/>
          <w:bCs/>
          <w:sz w:val="32"/>
          <w:szCs w:val="32"/>
          <w:lang w:val="sr-RS"/>
        </w:rPr>
        <w:t>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w:t>
      </w:r>
      <w:r>
        <w:rPr>
          <w:b w:val="false"/>
          <w:bCs w:val="false"/>
          <w:sz w:val="24"/>
          <w:szCs w:val="24"/>
          <w:lang w:val="sr-RS"/>
        </w:rPr>
        <w:t>затим</w:t>
      </w:r>
      <w:r>
        <w:rPr>
          <w:b w:val="false"/>
          <w:bCs w:val="false"/>
          <w:sz w:val="24"/>
          <w:szCs w:val="24"/>
          <w:lang w:val="sr-RS"/>
        </w:rPr>
        <w:t xml:space="preserve">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fillcolor="#FFFFFF" strokecolor="#000000" strokeweight="0pt" style="position:absolute;width:357.15pt;height:663.35pt;mso-wrap-distance-left:0pt;mso-wrap-distance-right:0pt;mso-wrap-distance-top:0pt;mso-wrap-distance-bottom:0pt;margin-top:-3.8pt;margin-left:70.0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xml:space="preserve">: Дијаграм случајева употребе </w:t>
                    <w:drawing>
                      <wp:anchor behindDoc="0" distT="0" distB="0" distL="0" distR="0" simplePos="0" locked="0" layoutInCell="1" allowOverlap="1" relativeHeight="1">
                        <wp:simplePos x="0" y="0"/>
                        <wp:positionH relativeFrom="column">
                          <wp:align>center</wp:align>
                        </wp:positionH>
                        <wp:positionV relativeFrom="line">
                          <wp:align>top</wp:align>
                        </wp:positionV>
                        <wp:extent cx="4535805" cy="817308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35805" cy="8173085"/>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 xml:space="preserve">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w:t>
      </w:r>
      <w:r>
        <w:rPr>
          <w:b w:val="false"/>
          <w:bCs w:val="false"/>
          <w:sz w:val="24"/>
          <w:szCs w:val="24"/>
          <w:lang w:val="sr-RS"/>
        </w:rPr>
        <w:t>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lang w:val="sr-RS"/>
        </w:rPr>
      </w:pPr>
      <w:r>
        <w:rPr>
          <w:lang w:val="sr-RS"/>
        </w:rPr>
        <w:t>Случајеви употребе који су описани детаљно, укључујући и њихове подслучајеве, су:</w:t>
      </w:r>
    </w:p>
    <w:p>
      <w:pPr>
        <w:pStyle w:val="Normal"/>
        <w:jc w:val="left"/>
        <w:rPr>
          <w:lang w:val="sr-RS"/>
        </w:rPr>
      </w:pPr>
      <w:r>
        <w:rPr>
          <w:lang w:val="sr-RS"/>
        </w:rPr>
      </w:r>
    </w:p>
    <w:p>
      <w:pPr>
        <w:pStyle w:val="Normal"/>
        <w:jc w:val="left"/>
        <w:rPr>
          <w:i/>
          <w:iCs/>
          <w:u w:val="single"/>
          <w:lang w:val="sr-RS"/>
        </w:rPr>
      </w:pPr>
      <w:r>
        <w:rPr>
          <w:i/>
          <w:iCs/>
          <w:u w:val="single"/>
          <w:lang w:val="sr-Latn-RS"/>
        </w:rPr>
        <w:t xml:space="preserve">I </w:t>
      </w:r>
      <w:r>
        <w:rPr>
          <w:i/>
          <w:iCs/>
          <w:u w:val="single"/>
          <w:lang w:val="sr-RS"/>
        </w:rPr>
        <w:t>Купопродаја:</w:t>
      </w:r>
    </w:p>
    <w:p>
      <w:pPr>
        <w:pStyle w:val="Normal"/>
        <w:numPr>
          <w:ilvl w:val="0"/>
          <w:numId w:val="15"/>
        </w:numPr>
        <w:jc w:val="left"/>
        <w:rPr>
          <w:lang w:val="sr-RS"/>
        </w:rPr>
      </w:pPr>
      <w:r>
        <w:rPr>
          <w:lang w:val="sr-RS"/>
        </w:rPr>
        <w:t>Купопродаја карата</w:t>
      </w:r>
    </w:p>
    <w:p>
      <w:pPr>
        <w:pStyle w:val="Normal"/>
        <w:numPr>
          <w:ilvl w:val="0"/>
          <w:numId w:val="15"/>
        </w:numPr>
        <w:jc w:val="left"/>
        <w:rPr>
          <w:lang w:val="sr-RS"/>
        </w:rPr>
      </w:pPr>
      <w:r>
        <w:rPr>
          <w:lang w:val="sr-RS"/>
        </w:rPr>
        <w:t xml:space="preserve">Купопродаја хране и пића </w:t>
      </w:r>
    </w:p>
    <w:p>
      <w:pPr>
        <w:pStyle w:val="Normal"/>
        <w:numPr>
          <w:ilvl w:val="0"/>
          <w:numId w:val="15"/>
        </w:numPr>
        <w:jc w:val="left"/>
        <w:rPr>
          <w:lang w:val="sr-RS"/>
        </w:rPr>
      </w:pPr>
      <w:r>
        <w:rPr>
          <w:lang w:val="sr-RS"/>
        </w:rPr>
        <w:t>Купопродаја филмова</w:t>
      </w:r>
    </w:p>
    <w:p>
      <w:pPr>
        <w:pStyle w:val="Normal"/>
        <w:jc w:val="left"/>
        <w:rPr>
          <w:i/>
          <w:iCs/>
          <w:u w:val="single"/>
          <w:lang w:val="sr-RS"/>
        </w:rPr>
      </w:pPr>
      <w:r>
        <w:rPr>
          <w:i/>
          <w:iCs/>
          <w:u w:val="single"/>
          <w:lang w:val="sr-Latn-RS"/>
        </w:rPr>
        <w:t xml:space="preserve">II </w:t>
      </w:r>
      <w:r>
        <w:rPr>
          <w:i/>
          <w:iCs/>
          <w:u w:val="single"/>
          <w:lang w:val="sr-RS"/>
        </w:rPr>
        <w:t>Издавање филмова</w:t>
      </w:r>
    </w:p>
    <w:p>
      <w:pPr>
        <w:pStyle w:val="Normal"/>
        <w:jc w:val="left"/>
        <w:rPr>
          <w:i/>
          <w:iCs/>
          <w:u w:val="single"/>
          <w:lang w:val="sr-RS"/>
        </w:rPr>
      </w:pPr>
      <w:r>
        <w:rPr>
          <w:i/>
          <w:iCs/>
          <w:u w:val="single"/>
          <w:lang w:val="sr-Latn-RS"/>
        </w:rPr>
        <w:t xml:space="preserve">III </w:t>
      </w:r>
      <w:r>
        <w:rPr>
          <w:i/>
          <w:iCs/>
          <w:u w:val="single"/>
          <w:lang w:val="sr-RS"/>
        </w:rPr>
        <w:t>Формирање репертоара:</w:t>
      </w:r>
    </w:p>
    <w:p>
      <w:pPr>
        <w:pStyle w:val="Normal"/>
        <w:numPr>
          <w:ilvl w:val="0"/>
          <w:numId w:val="16"/>
        </w:numPr>
        <w:jc w:val="left"/>
        <w:rPr>
          <w:lang w:val="sr-RS"/>
        </w:rPr>
      </w:pPr>
      <w:r>
        <w:rPr>
          <w:lang w:val="sr-RS"/>
        </w:rPr>
        <w:t>Уговарање уговора</w:t>
      </w:r>
    </w:p>
    <w:p>
      <w:pPr>
        <w:pStyle w:val="Normal"/>
        <w:numPr>
          <w:ilvl w:val="0"/>
          <w:numId w:val="16"/>
        </w:numPr>
        <w:jc w:val="left"/>
        <w:rPr>
          <w:lang w:val="sr-RS"/>
        </w:rPr>
      </w:pPr>
      <w:r>
        <w:rPr>
          <w:lang w:val="sr-RS"/>
        </w:rPr>
        <w:t>Праћење светских токова</w:t>
      </w:r>
    </w:p>
    <w:p>
      <w:pPr>
        <w:pStyle w:val="Normal"/>
        <w:numPr>
          <w:ilvl w:val="0"/>
          <w:numId w:val="16"/>
        </w:numPr>
        <w:jc w:val="left"/>
        <w:rPr>
          <w:lang w:val="sr-RS"/>
        </w:rPr>
      </w:pPr>
      <w:r>
        <w:rPr>
          <w:lang w:val="sr-RS"/>
        </w:rPr>
        <w:t>Креирање репертоара</w:t>
      </w:r>
    </w:p>
    <w:p>
      <w:pPr>
        <w:pStyle w:val="Normal"/>
        <w:jc w:val="left"/>
        <w:rPr>
          <w:i/>
          <w:iCs/>
          <w:u w:val="single"/>
          <w:lang w:val="sr-RS"/>
        </w:rPr>
      </w:pPr>
      <w:r>
        <w:rPr>
          <w:i/>
          <w:iCs/>
          <w:u w:val="single"/>
          <w:lang w:val="sr-Latn-RS"/>
        </w:rPr>
        <w:t xml:space="preserve">IV </w:t>
      </w:r>
      <w:r>
        <w:rPr>
          <w:i/>
          <w:iCs/>
          <w:u w:val="single"/>
          <w:lang w:val="sr-RS"/>
        </w:rPr>
        <w:t>Праћење стања и управљање биоскопом:</w:t>
      </w:r>
    </w:p>
    <w:p>
      <w:pPr>
        <w:pStyle w:val="Normal"/>
        <w:numPr>
          <w:ilvl w:val="0"/>
          <w:numId w:val="17"/>
        </w:numPr>
        <w:jc w:val="left"/>
        <w:rPr>
          <w:lang w:val="sr-RS"/>
        </w:rPr>
      </w:pPr>
      <w:r>
        <w:rPr>
          <w:lang w:val="sr-RS"/>
        </w:rPr>
        <w:t>Формирање извештаја</w:t>
      </w:r>
    </w:p>
    <w:p>
      <w:pPr>
        <w:pStyle w:val="Normal"/>
        <w:numPr>
          <w:ilvl w:val="0"/>
          <w:numId w:val="17"/>
        </w:numPr>
        <w:jc w:val="left"/>
        <w:rPr>
          <w:lang w:val="sr-RS"/>
        </w:rPr>
      </w:pPr>
      <w:r>
        <w:rPr>
          <w:lang w:val="sr-RS"/>
        </w:rPr>
        <w:t>Анализа извештаја</w:t>
      </w:r>
    </w:p>
    <w:p>
      <w:pPr>
        <w:pStyle w:val="Normal"/>
        <w:numPr>
          <w:ilvl w:val="0"/>
          <w:numId w:val="17"/>
        </w:numPr>
        <w:jc w:val="left"/>
        <w:rPr>
          <w:lang w:val="sr-RS"/>
        </w:rPr>
      </w:pPr>
      <w:r>
        <w:rPr>
          <w:lang w:val="sr-RS"/>
        </w:rPr>
        <w:t>Прикупљање података</w:t>
      </w:r>
    </w:p>
    <w:p>
      <w:pPr>
        <w:pStyle w:val="Normal"/>
        <w:jc w:val="left"/>
        <w:rPr>
          <w:i/>
          <w:iCs/>
          <w:u w:val="single"/>
          <w:lang w:val="sr-RS"/>
        </w:rPr>
      </w:pPr>
      <w:r>
        <w:rPr>
          <w:i/>
          <w:iCs/>
          <w:u w:val="single"/>
          <w:lang w:val="sr-Latn-RS"/>
        </w:rPr>
        <w:t xml:space="preserve">V </w:t>
      </w:r>
      <w:r>
        <w:rPr>
          <w:i/>
          <w:iCs/>
          <w:u w:val="single"/>
          <w:lang w:val="sr-RS"/>
        </w:rPr>
        <w:t>Пуштање филма и брига о опреми:</w:t>
      </w:r>
    </w:p>
    <w:p>
      <w:pPr>
        <w:pStyle w:val="Normal"/>
        <w:numPr>
          <w:ilvl w:val="0"/>
          <w:numId w:val="18"/>
        </w:numPr>
        <w:jc w:val="left"/>
        <w:rPr>
          <w:lang w:val="sr-RS"/>
        </w:rPr>
      </w:pPr>
      <w:r>
        <w:rPr>
          <w:lang w:val="sr-RS"/>
        </w:rPr>
        <w:t>Репродуковање филма</w:t>
      </w:r>
    </w:p>
    <w:p>
      <w:pPr>
        <w:pStyle w:val="Normal"/>
        <w:numPr>
          <w:ilvl w:val="0"/>
          <w:numId w:val="18"/>
        </w:numPr>
        <w:jc w:val="left"/>
        <w:rPr>
          <w:lang w:val="sr-RS"/>
        </w:rPr>
      </w:pPr>
      <w:r>
        <w:rPr>
          <w:lang w:val="sr-RS"/>
        </w:rPr>
        <w:t>Одржавање опреме</w:t>
      </w:r>
    </w:p>
    <w:p>
      <w:pPr>
        <w:pStyle w:val="Normal"/>
        <w:jc w:val="left"/>
        <w:rPr>
          <w:i/>
          <w:iCs/>
          <w:u w:val="single"/>
          <w:lang w:val="sr-RS"/>
        </w:rPr>
      </w:pPr>
      <w:r>
        <w:rPr>
          <w:i/>
          <w:iCs/>
          <w:u w:val="single"/>
          <w:lang w:val="sr-Latn-RS"/>
        </w:rPr>
        <w:t xml:space="preserve">VI </w:t>
      </w:r>
      <w:r>
        <w:rPr>
          <w:i/>
          <w:iCs/>
          <w:u w:val="single"/>
          <w:lang w:val="sr-RS"/>
        </w:rPr>
        <w:t>Организовање набавки</w:t>
      </w:r>
    </w:p>
    <w:p>
      <w:pPr>
        <w:pStyle w:val="Normal"/>
        <w:numPr>
          <w:ilvl w:val="0"/>
          <w:numId w:val="20"/>
        </w:numPr>
        <w:jc w:val="left"/>
        <w:rPr>
          <w:i w:val="false"/>
          <w:iCs w:val="false"/>
          <w:u w:val="none"/>
          <w:lang w:val="sr-RS"/>
        </w:rPr>
      </w:pPr>
      <w:r>
        <w:rPr>
          <w:i w:val="false"/>
          <w:iCs w:val="false"/>
          <w:u w:val="none"/>
          <w:lang w:val="sr-RS"/>
        </w:rPr>
        <w:t>Набавка филмова</w:t>
      </w:r>
    </w:p>
    <w:p>
      <w:pPr>
        <w:pStyle w:val="Normal"/>
        <w:numPr>
          <w:ilvl w:val="0"/>
          <w:numId w:val="20"/>
        </w:numPr>
        <w:jc w:val="left"/>
        <w:rPr>
          <w:i w:val="false"/>
          <w:iCs w:val="false"/>
          <w:u w:val="none"/>
          <w:lang w:val="sr-RS"/>
        </w:rPr>
      </w:pPr>
      <w:r>
        <w:rPr>
          <w:i w:val="false"/>
          <w:iCs w:val="false"/>
          <w:u w:val="none"/>
          <w:lang w:val="sr-RS"/>
        </w:rPr>
        <w:t>Кетеринг</w:t>
      </w:r>
    </w:p>
    <w:p>
      <w:pPr>
        <w:pStyle w:val="Normal"/>
        <w:numPr>
          <w:ilvl w:val="0"/>
          <w:numId w:val="20"/>
        </w:numPr>
        <w:jc w:val="left"/>
        <w:rPr>
          <w:i w:val="false"/>
          <w:iCs w:val="false"/>
          <w:u w:val="none"/>
          <w:lang w:val="sr-RS"/>
        </w:rPr>
      </w:pPr>
      <w:r>
        <w:rPr>
          <w:i w:val="false"/>
          <w:iCs w:val="false"/>
          <w:u w:val="none"/>
          <w:lang w:val="sr-RS"/>
        </w:rPr>
        <w:t>Набавка осталих потрепштина</w:t>
      </w:r>
    </w:p>
    <w:p>
      <w:pPr>
        <w:pStyle w:val="Normal"/>
        <w:jc w:val="left"/>
        <w:rPr>
          <w:i/>
          <w:iCs/>
          <w:u w:val="single"/>
          <w:lang w:val="sr-RS"/>
        </w:rPr>
      </w:pPr>
      <w:r>
        <w:rPr>
          <w:i/>
          <w:iCs/>
          <w:u w:val="single"/>
          <w:lang w:val="sr-Latn-RS"/>
        </w:rPr>
        <w:t xml:space="preserve">VII </w:t>
      </w:r>
      <w:r>
        <w:rPr>
          <w:i/>
          <w:iCs/>
          <w:u w:val="single"/>
          <w:lang w:val="sr-RS"/>
        </w:rPr>
        <w:t>Одржавање биоскопа:</w:t>
      </w:r>
    </w:p>
    <w:p>
      <w:pPr>
        <w:pStyle w:val="Normal"/>
        <w:numPr>
          <w:ilvl w:val="0"/>
          <w:numId w:val="19"/>
        </w:numPr>
        <w:jc w:val="left"/>
        <w:rPr>
          <w:lang w:val="sr-RS"/>
        </w:rPr>
      </w:pPr>
      <w:r>
        <w:rPr>
          <w:lang w:val="sr-RS"/>
        </w:rPr>
        <w:t>Одржавање сала</w:t>
      </w:r>
    </w:p>
    <w:p>
      <w:pPr>
        <w:pStyle w:val="Normal"/>
        <w:numPr>
          <w:ilvl w:val="0"/>
          <w:numId w:val="19"/>
        </w:numPr>
        <w:jc w:val="left"/>
        <w:rPr>
          <w:lang w:val="sr-RS"/>
        </w:rPr>
      </w:pPr>
      <w:r>
        <w:rPr>
          <w:lang w:val="sr-RS"/>
        </w:rPr>
        <w:t>Одржавање осталих просторија</w:t>
      </w:r>
    </w:p>
    <w:p>
      <w:pPr>
        <w:pStyle w:val="Normal"/>
        <w:jc w:val="left"/>
        <w:rPr>
          <w:lang w:val="sr-RS"/>
        </w:rPr>
      </w:pPr>
      <w:r>
        <w:rPr>
          <w:lang w:val="sr-RS"/>
        </w:rPr>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36"/>
          <w:szCs w:val="36"/>
          <w:lang w:val="sr-RS"/>
        </w:rPr>
      </w:pPr>
      <w:r>
        <w:rPr>
          <w:b/>
          <w:bCs/>
          <w:sz w:val="36"/>
          <w:szCs w:val="36"/>
          <w:lang w:val="sr-RS"/>
        </w:rPr>
        <w:t xml:space="preserve">2.1 </w:t>
      </w:r>
      <w:r>
        <w:rPr>
          <w:b/>
          <w:bCs/>
          <w:sz w:val="36"/>
          <w:szCs w:val="36"/>
          <w:lang w:val="sr-RS"/>
        </w:rPr>
        <w:t>Опис случајева употребе</w:t>
      </w:r>
    </w:p>
    <w:p>
      <w:pPr>
        <w:pStyle w:val="Normal"/>
        <w:jc w:val="left"/>
        <w:rPr/>
      </w:pPr>
      <w:r>
        <w:rPr/>
      </w:r>
    </w:p>
    <w:p>
      <w:pPr>
        <w:pStyle w:val="Normal"/>
        <w:jc w:val="left"/>
        <w:rPr>
          <w:b/>
          <w:bCs/>
          <w:i/>
          <w:iCs/>
          <w:sz w:val="36"/>
          <w:szCs w:val="36"/>
          <w:u w:val="none"/>
          <w:lang w:val="sr-RS"/>
        </w:rPr>
      </w:pPr>
      <w:r>
        <w:rPr>
          <w:b/>
          <w:bCs/>
          <w:i/>
          <w:iCs/>
          <w:sz w:val="36"/>
          <w:szCs w:val="36"/>
          <w:u w:val="none"/>
          <w:lang w:val="sr-Latn-RS"/>
        </w:rPr>
        <w:t xml:space="preserve">I </w:t>
      </w:r>
      <w:r>
        <w:rPr>
          <w:b/>
          <w:bCs/>
          <w:i/>
          <w:iCs/>
          <w:sz w:val="36"/>
          <w:szCs w:val="36"/>
          <w:u w:val="none"/>
          <w:lang w:val="sr-RS"/>
        </w:rPr>
        <w:t>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0" w:name="__DdeLink__157_1389277773"/>
      <w:bookmarkEnd w:id="0"/>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1" w:name="__DdeLink__159_1389277773"/>
      <w:bookmarkStart w:id="2" w:name="__DdeLink__143_1389277773"/>
      <w:bookmarkEnd w:id="1"/>
      <w:bookmarkEnd w:id="2"/>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3" w:name="__DdeLink__145_1389277773"/>
      <w:bookmarkEnd w:id="3"/>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4"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4"/>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5" w:name="__DdeLink__141_1389277773"/>
      <w:r>
        <w:rPr>
          <w:b w:val="false"/>
          <w:bCs w:val="false"/>
          <w:sz w:val="24"/>
          <w:szCs w:val="24"/>
          <w:lang w:val="sr-RS"/>
        </w:rPr>
        <w:t xml:space="preserve">Предуслови: </w:t>
      </w:r>
      <w:bookmarkEnd w:id="5"/>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6" w:name="__DdeLink__151_1389277773"/>
      <w:bookmarkEnd w:id="6"/>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7"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7"/>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8" w:name="__DdeLink__161_1389277773"/>
      <w:bookmarkEnd w:id="8"/>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9" w:name="__DdeLink__161_13892777731"/>
      <w:bookmarkEnd w:id="9"/>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6">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7">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8">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1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0">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png"/><Relationship Id="rId3" Type="http://schemas.openxmlformats.org/officeDocument/2006/relationships/image" Target="media/image34.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