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2.jpeg" ContentType="image/jpeg"/>
  <Override PartName="/word/media/image5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jc w:val="left"/>
        <w:rPr>
          <w:b w:val="false"/>
          <w:bCs w:val="false"/>
          <w:sz w:val="24"/>
          <w:szCs w:val="24"/>
          <w:lang w:val="sr-RS"/>
        </w:rPr>
      </w:pPr>
      <w:r>
        <w:rPr>
          <w:b w:val="false"/>
          <w:bCs w:val="false"/>
          <w:sz w:val="24"/>
          <w:szCs w:val="24"/>
          <w:lang w:val="sr-RS"/>
        </w:rPr>
        <w:tab/>
        <w:tab/>
      </w:r>
      <w:bookmarkStart w:id="0" w:name="__DdeLink__340_1861615480"/>
      <w:r>
        <w:rPr>
          <w:b w:val="false"/>
          <w:bCs w:val="false"/>
          <w:sz w:val="24"/>
          <w:szCs w:val="24"/>
          <w:lang w:val="sr-Latn-RS"/>
        </w:rPr>
        <w:t>Me</w:t>
      </w:r>
      <w:bookmarkEnd w:id="0"/>
      <w:r>
        <w:rPr>
          <w:b w:val="false"/>
          <w:bCs w:val="false"/>
          <w:sz w:val="24"/>
          <w:szCs w:val="24"/>
          <w:lang w:val="sr-RS"/>
        </w:rPr>
        <w:t>наџер набавки</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b w:val="false"/>
          <w:bCs w:val="false"/>
          <w:sz w:val="24"/>
          <w:szCs w:val="24"/>
          <w:lang w:val="sr-RS"/>
        </w:rPr>
      </w:pPr>
      <w:r>
        <w:rPr>
          <w:b w:val="false"/>
          <w:bCs w:val="false"/>
          <w:sz w:val="24"/>
          <w:szCs w:val="24"/>
          <w:lang w:val="sr-Latn-RS"/>
        </w:rPr>
        <w:t>Me</w:t>
      </w:r>
      <w:r>
        <w:rPr>
          <w:b w:val="false"/>
          <w:bCs w:val="false"/>
          <w:sz w:val="24"/>
          <w:szCs w:val="24"/>
          <w:lang w:val="sr-RS"/>
        </w:rPr>
        <w:t>наџер набавки се бави бригом о томе да је стање биоскопа увек такво да има нових филмова у филмотеци, да има довољно хране и пића у кафе-бару, да су обезбеђене остале основне потрепштине као што су, на пример, оне за одржавање хигијене.</w:t>
      </w:r>
    </w:p>
    <w:p>
      <w:pPr>
        <w:pStyle w:val="Normal"/>
        <w:jc w:val="left"/>
        <w:rPr>
          <w:lang w:val="sr-RS"/>
        </w:rPr>
      </w:pPr>
      <w:r>
        <w:rPr>
          <w:lang w:val="sr-RS"/>
        </w:rPr>
        <w:tab/>
        <w:t xml:space="preserve">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 </w:t>
      </w:r>
      <w:r>
        <w:rPr>
          <w:lang w:val="sr-RS"/>
        </w:rPr>
        <w:t>Посетилац може бити члан клуба, али не мора. Чланство у клубу му може обезбедити одређене погодности.</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w:t>
      </w:r>
      <w:r>
        <w:rPr>
          <w:lang w:val="sr-RS"/>
        </w:rPr>
        <w:t xml:space="preserve">и пића </w:t>
      </w:r>
      <w:r>
        <w:rPr>
          <w:lang w:val="sr-RS"/>
        </w:rPr>
        <w:t xml:space="preserve">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 xml:space="preserve">Они испостављају извештај о промету рачуновођи. </w:t>
      </w:r>
      <w:r>
        <w:rPr>
          <w:lang w:val="sr-RS"/>
        </w:rPr>
        <w:t>Осим свих наведених задужења они, такође, прате стање робе, преузимају и сортирају нову робу.</w:t>
      </w:r>
    </w:p>
    <w:p>
      <w:pPr>
        <w:pStyle w:val="Normal"/>
        <w:jc w:val="left"/>
        <w:rPr/>
      </w:pPr>
      <w:r>
        <w:rPr/>
      </w:r>
    </w:p>
    <w:p>
      <w:pPr>
        <w:pStyle w:val="Normal"/>
        <w:jc w:val="left"/>
        <w:rPr>
          <w:lang w:val="sr-RS"/>
        </w:rPr>
      </w:pPr>
      <w:r>
        <w:rPr>
          <w:lang w:val="sr-RS"/>
        </w:rPr>
        <w:tab/>
        <w:t xml:space="preserve">Помоћни радници отварају и затварају врата сале по потреби, и помажу да се посетиоци </w:t>
      </w:r>
      <w:r>
        <w:rPr>
          <w:lang w:val="sr-RS"/>
        </w:rPr>
        <w:t>усмере и</w:t>
      </w:r>
      <w:r>
        <w:rPr>
          <w:lang w:val="sr-RS"/>
        </w:rPr>
        <w:t xml:space="preserve">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 xml:space="preserve">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w:t>
      </w:r>
      <w:r>
        <w:rPr>
          <w:lang w:val="sr-RS"/>
        </w:rPr>
        <w:t xml:space="preserve">Филмотекари се, уз то, брину и о томе да је стање филмова у филмотеци такво да увек имају нове филмове и да су филмови сортирани. Они се баве </w:t>
      </w:r>
      <w:r>
        <w:rPr>
          <w:lang w:val="sr-RS"/>
        </w:rPr>
        <w:t xml:space="preserve">преузимањем и сортирањем </w:t>
      </w:r>
      <w:r>
        <w:rPr>
          <w:lang w:val="sr-RS"/>
        </w:rPr>
        <w:t>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 xml:space="preserve">1.2 Методологија рада </w:t>
      </w:r>
      <w:r>
        <w:rPr>
          <w:b/>
          <w:bCs/>
          <w:sz w:val="32"/>
          <w:szCs w:val="32"/>
          <w:lang w:val="sr-RS"/>
        </w:rPr>
        <w:t>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w:t>
      </w:r>
      <w:r>
        <w:rPr>
          <w:b w:val="false"/>
          <w:bCs w:val="false"/>
          <w:sz w:val="24"/>
          <w:szCs w:val="24"/>
          <w:lang w:val="sr-RS"/>
        </w:rPr>
        <w:t>затим</w:t>
      </w:r>
      <w:r>
        <w:rPr>
          <w:b w:val="false"/>
          <w:bCs w:val="false"/>
          <w:sz w:val="24"/>
          <w:szCs w:val="24"/>
          <w:lang w:val="sr-RS"/>
        </w:rPr>
        <w:t xml:space="preserve">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r>
      <w:r>
        <w:pict>
          <v:rect fillcolor="#FFFFFF" strokecolor="#000000" strokeweight="0pt" style="position:absolute;width:357.15pt;height:663.35pt;mso-wrap-distance-left:0pt;mso-wrap-distance-right:0pt;mso-wrap-distance-top:0pt;mso-wrap-distance-bottom:0pt;margin-top:-3.8pt;margin-left:70.05pt">
            <v:textbox inset="0in,0in,0in,0in">
              <w:txbxContent>
                <w:p>
                  <w:pPr>
                    <w:pStyle w:val="Style11"/>
                    <w:spacing w:before="120" w:after="120"/>
                    <w:rPr/>
                  </w:pPr>
                  <w:r>
                    <w:rPr/>
                    <w:t xml:space="preserve">Слика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63415" cy="8220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63415" cy="822071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0</w:t>
                  </w:r>
                  <w:r>
                    <w:fldChar w:fldCharType="end"/>
                  </w:r>
                  <w:r>
                    <w:rPr/>
                    <w:t xml:space="preserve">: Дијаграм случајева употребе </w:t>
                  </w:r>
                </w:p>
              </w:txbxContent>
            </v:textbox>
            <w10:wrap type="square"/>
          </v:rect>
        </w:pict>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 xml:space="preserve">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w:t>
      </w:r>
      <w:r>
        <w:rPr>
          <w:b w:val="false"/>
          <w:bCs w:val="false"/>
          <w:sz w:val="24"/>
          <w:szCs w:val="24"/>
          <w:lang w:val="sr-RS"/>
        </w:rPr>
        <w:t>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r>
        <w:rPr>
          <w:lang w:val="sr-RS"/>
        </w:rPr>
        <w:t>Креирање репертоара</w:t>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Формирање извештаја</w:t>
      </w:r>
    </w:p>
    <w:p>
      <w:pPr>
        <w:pStyle w:val="Normal"/>
        <w:numPr>
          <w:ilvl w:val="0"/>
          <w:numId w:val="17"/>
        </w:numPr>
        <w:jc w:val="left"/>
        <w:rPr>
          <w:lang w:val="sr-RS"/>
        </w:rPr>
      </w:pPr>
      <w:r>
        <w:rPr>
          <w:lang w:val="sr-RS"/>
        </w:rPr>
        <w:t>Анализа извештаја</w:t>
      </w:r>
    </w:p>
    <w:p>
      <w:pPr>
        <w:pStyle w:val="Normal"/>
        <w:numPr>
          <w:ilvl w:val="0"/>
          <w:numId w:val="17"/>
        </w:numPr>
        <w:jc w:val="left"/>
        <w:rPr>
          <w:lang w:val="sr-RS"/>
        </w:rPr>
      </w:pPr>
      <w:r>
        <w:rPr>
          <w:lang w:val="sr-RS"/>
        </w:rPr>
        <w:t>Прикупљање података</w:t>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36"/>
          <w:szCs w:val="36"/>
          <w:lang w:val="sr-RS"/>
        </w:rPr>
      </w:pPr>
      <w:r>
        <w:rPr>
          <w:b/>
          <w:bCs/>
          <w:sz w:val="36"/>
          <w:szCs w:val="36"/>
          <w:lang w:val="sr-RS"/>
        </w:rPr>
        <w:t xml:space="preserve">2.1 </w:t>
      </w:r>
      <w:r>
        <w:rPr>
          <w:b/>
          <w:bCs/>
          <w:sz w:val="36"/>
          <w:szCs w:val="36"/>
          <w:lang w:val="sr-RS"/>
        </w:rPr>
        <w:t>Опис случајева употребе</w:t>
      </w:r>
    </w:p>
    <w:p>
      <w:pPr>
        <w:pStyle w:val="Normal"/>
        <w:jc w:val="left"/>
        <w:rPr/>
      </w:pPr>
      <w:r>
        <w:rPr/>
      </w:r>
    </w:p>
    <w:p>
      <w:pPr>
        <w:pStyle w:val="Normal"/>
        <w:jc w:val="left"/>
        <w:rPr>
          <w:b/>
          <w:bCs/>
          <w:i/>
          <w:iCs/>
          <w:sz w:val="36"/>
          <w:szCs w:val="36"/>
          <w:u w:val="none"/>
          <w:lang w:val="sr-RS"/>
        </w:rPr>
      </w:pPr>
      <w:r>
        <w:rPr>
          <w:b/>
          <w:bCs/>
          <w:i/>
          <w:iCs/>
          <w:sz w:val="36"/>
          <w:szCs w:val="36"/>
          <w:u w:val="none"/>
          <w:lang w:val="sr-Latn-RS"/>
        </w:rPr>
        <w:t xml:space="preserve">I </w:t>
      </w:r>
      <w:r>
        <w:rPr>
          <w:b/>
          <w:bCs/>
          <w:i/>
          <w:iCs/>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1" w:name="__DdeLink__157_1389277773"/>
      <w:bookmarkEnd w:id="1"/>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2" w:name="__DdeLink__159_1389277773"/>
      <w:bookmarkStart w:id="3" w:name="__DdeLink__143_1389277773"/>
      <w:bookmarkEnd w:id="2"/>
      <w:bookmarkEnd w:id="3"/>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4" w:name="__DdeLink__145_1389277773"/>
      <w:bookmarkEnd w:id="4"/>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5"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5"/>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6" w:name="__DdeLink__141_1389277773"/>
      <w:r>
        <w:rPr>
          <w:b w:val="false"/>
          <w:bCs w:val="false"/>
          <w:sz w:val="24"/>
          <w:szCs w:val="24"/>
          <w:lang w:val="sr-RS"/>
        </w:rPr>
        <w:t xml:space="preserve">Предуслови: </w:t>
      </w:r>
      <w:bookmarkEnd w:id="6"/>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7" w:name="__DdeLink__151_1389277773"/>
      <w:bookmarkEnd w:id="7"/>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8"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8"/>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9" w:name="__DdeLink__161_1389277773"/>
      <w:bookmarkEnd w:id="9"/>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10" w:name="__DdeLink__161_13892777731"/>
      <w:bookmarkEnd w:id="10"/>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6">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7">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8">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0">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1.png"/><Relationship Id="rId3" Type="http://schemas.openxmlformats.org/officeDocument/2006/relationships/image" Target="media/image5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