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Global Internal Audit Standards Readiness Assessment Report</w:t>
      </w:r>
    </w:p>
    <w:p w:rsidR="00000000" w:rsidDel="00000000" w:rsidP="00000000" w:rsidRDefault="00000000" w:rsidRPr="00000000" w14:paraId="0000000A">
      <w:pPr>
        <w:rPr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                  Company’s Current Stage : </w:t>
      </w:r>
      <w:r w:rsidDel="00000000" w:rsidR="00000000" w:rsidRPr="00000000">
        <w:rPr>
          <w:sz w:val="36"/>
          <w:szCs w:val="36"/>
          <w:highlight w:val="yellow"/>
          <w:rtl w:val="0"/>
        </w:rPr>
        <w:t xml:space="preserve">Potential Explorer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 w:val="1"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 w:val="1"/>
    <w:rsid w:val="00392F9B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2024-10-02T08:40:00Z</dcterms:created>
  <dc:creator>anam paracha</dc:creator>
</cp:coreProperties>
</file>