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Global Internal Audit Standards Readiness Assessment Report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Company’s Current Stage : </w:t>
      </w:r>
      <w:r w:rsidDel="00000000" w:rsidR="00000000" w:rsidRPr="00000000">
        <w:rPr>
          <w:sz w:val="36"/>
          <w:szCs w:val="36"/>
          <w:highlight w:val="yellow"/>
          <w:rtl w:val="0"/>
        </w:rPr>
        <w:t xml:space="preserve">Active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392F9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92F9B"/>
  </w:style>
  <w:style w:type="paragraph" w:styleId="Footer">
    <w:name w:val="footer"/>
    <w:basedOn w:val="Normal"/>
    <w:link w:val="FooterChar"/>
    <w:uiPriority w:val="99"/>
    <w:unhideWhenUsed w:val="1"/>
    <w:rsid w:val="00392F9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92F9B"/>
  </w:style>
  <w:style w:type="paragraph" w:styleId="ListParagraph">
    <w:name w:val="List Paragraph"/>
    <w:basedOn w:val="Normal"/>
    <w:uiPriority w:val="34"/>
    <w:qFormat w:val="1"/>
    <w:rsid w:val="00392F9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p1A9tdczyIXJdFJqGT+RO88xrQ==">CgMxLjA4AHIhMWs5NEtaM3ZvMDhVc09DVHpRTlhhN3hldXdCSUZLUWM3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2024-10-02T08:40:00Z</dcterms:created>
  <dc:creator>anam paracha</dc:creator>
</cp:coreProperties>
</file>