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049B5" w:rsidRDefault="003049B5">
      <w:pPr>
        <w:rPr>
          <w:b/>
          <w:sz w:val="36"/>
          <w:szCs w:val="36"/>
          <w:u w:val="single"/>
        </w:rPr>
      </w:pPr>
    </w:p>
    <w:p w14:paraId="00000002" w14:textId="77777777" w:rsidR="003049B5" w:rsidRDefault="003049B5">
      <w:pPr>
        <w:rPr>
          <w:b/>
          <w:sz w:val="36"/>
          <w:szCs w:val="36"/>
          <w:u w:val="single"/>
        </w:rPr>
      </w:pPr>
    </w:p>
    <w:p w14:paraId="00000003" w14:textId="77777777" w:rsidR="003049B5" w:rsidRDefault="003049B5">
      <w:pPr>
        <w:rPr>
          <w:sz w:val="36"/>
          <w:szCs w:val="36"/>
        </w:rPr>
      </w:pPr>
    </w:p>
    <w:p w14:paraId="00000004" w14:textId="77777777" w:rsidR="003049B5" w:rsidRDefault="003049B5">
      <w:pPr>
        <w:rPr>
          <w:sz w:val="36"/>
          <w:szCs w:val="36"/>
        </w:rPr>
      </w:pPr>
    </w:p>
    <w:p w14:paraId="00000005" w14:textId="77777777" w:rsidR="003049B5" w:rsidRDefault="003049B5">
      <w:pPr>
        <w:rPr>
          <w:sz w:val="36"/>
          <w:szCs w:val="36"/>
        </w:rPr>
      </w:pPr>
    </w:p>
    <w:p w14:paraId="00000006" w14:textId="77777777" w:rsidR="003049B5" w:rsidRDefault="003049B5">
      <w:pPr>
        <w:rPr>
          <w:sz w:val="36"/>
          <w:szCs w:val="36"/>
        </w:rPr>
      </w:pPr>
    </w:p>
    <w:p w14:paraId="00000007" w14:textId="77777777" w:rsidR="003049B5" w:rsidRPr="00506963" w:rsidRDefault="00000000">
      <w:pPr>
        <w:rPr>
          <w:b/>
          <w:bCs/>
          <w:sz w:val="60"/>
          <w:szCs w:val="60"/>
        </w:rPr>
      </w:pPr>
      <w:r w:rsidRPr="00506963">
        <w:rPr>
          <w:b/>
          <w:bCs/>
          <w:sz w:val="60"/>
          <w:szCs w:val="60"/>
        </w:rPr>
        <w:t xml:space="preserve">                            </w:t>
      </w:r>
    </w:p>
    <w:p w14:paraId="5971D2A0" w14:textId="77777777" w:rsidR="0063184F" w:rsidRDefault="0063184F" w:rsidP="0063184F">
      <w:pPr>
        <w:jc w:val="center"/>
        <w:rPr>
          <w:b/>
          <w:bCs/>
          <w:sz w:val="50"/>
          <w:szCs w:val="50"/>
        </w:rPr>
      </w:pPr>
    </w:p>
    <w:p w14:paraId="00000008" w14:textId="64CAF6FA" w:rsidR="003049B5" w:rsidRPr="0063184F" w:rsidRDefault="00000000" w:rsidP="0063184F">
      <w:pPr>
        <w:jc w:val="center"/>
        <w:rPr>
          <w:b/>
          <w:bCs/>
          <w:sz w:val="50"/>
          <w:szCs w:val="50"/>
        </w:rPr>
      </w:pPr>
      <w:r w:rsidRPr="0063184F">
        <w:rPr>
          <w:b/>
          <w:bCs/>
          <w:sz w:val="50"/>
          <w:szCs w:val="50"/>
        </w:rPr>
        <w:t>VALUES – POTENTIAL</w:t>
      </w:r>
      <w:r w:rsidR="00506963" w:rsidRPr="0063184F">
        <w:rPr>
          <w:b/>
          <w:bCs/>
          <w:sz w:val="50"/>
          <w:szCs w:val="50"/>
        </w:rPr>
        <w:t xml:space="preserve"> </w:t>
      </w:r>
      <w:r w:rsidRPr="0063184F">
        <w:rPr>
          <w:b/>
          <w:bCs/>
          <w:sz w:val="50"/>
          <w:szCs w:val="50"/>
        </w:rPr>
        <w:t>EXPLORER</w:t>
      </w:r>
    </w:p>
    <w:p w14:paraId="00000009" w14:textId="77777777" w:rsidR="003049B5" w:rsidRDefault="003049B5">
      <w:pPr>
        <w:rPr>
          <w:sz w:val="36"/>
          <w:szCs w:val="36"/>
        </w:rPr>
      </w:pPr>
    </w:p>
    <w:p w14:paraId="0000000A" w14:textId="77777777" w:rsidR="003049B5" w:rsidRDefault="003049B5">
      <w:pPr>
        <w:rPr>
          <w:sz w:val="36"/>
          <w:szCs w:val="36"/>
        </w:rPr>
      </w:pPr>
    </w:p>
    <w:p w14:paraId="0000000B" w14:textId="77777777" w:rsidR="003049B5" w:rsidRDefault="003049B5">
      <w:pPr>
        <w:rPr>
          <w:sz w:val="36"/>
          <w:szCs w:val="36"/>
        </w:rPr>
      </w:pPr>
    </w:p>
    <w:p w14:paraId="0000000C" w14:textId="77777777" w:rsidR="003049B5" w:rsidRDefault="003049B5">
      <w:pPr>
        <w:rPr>
          <w:sz w:val="36"/>
          <w:szCs w:val="36"/>
        </w:rPr>
      </w:pPr>
    </w:p>
    <w:p w14:paraId="0000000D" w14:textId="77777777" w:rsidR="003049B5" w:rsidRDefault="003049B5">
      <w:pPr>
        <w:rPr>
          <w:sz w:val="36"/>
          <w:szCs w:val="36"/>
        </w:rPr>
      </w:pPr>
    </w:p>
    <w:p w14:paraId="0000000E" w14:textId="77777777" w:rsidR="003049B5" w:rsidRDefault="003049B5">
      <w:pPr>
        <w:rPr>
          <w:sz w:val="36"/>
          <w:szCs w:val="36"/>
        </w:rPr>
      </w:pPr>
    </w:p>
    <w:p w14:paraId="0000000F" w14:textId="77777777" w:rsidR="003049B5" w:rsidRDefault="003049B5">
      <w:pPr>
        <w:rPr>
          <w:sz w:val="36"/>
          <w:szCs w:val="36"/>
        </w:rPr>
      </w:pPr>
    </w:p>
    <w:p w14:paraId="00000010" w14:textId="77777777" w:rsidR="003049B5" w:rsidRDefault="003049B5">
      <w:pPr>
        <w:rPr>
          <w:sz w:val="36"/>
          <w:szCs w:val="36"/>
        </w:rPr>
      </w:pPr>
    </w:p>
    <w:p w14:paraId="00000011" w14:textId="77777777" w:rsidR="003049B5" w:rsidRDefault="003049B5">
      <w:pPr>
        <w:rPr>
          <w:sz w:val="36"/>
          <w:szCs w:val="36"/>
        </w:rPr>
      </w:pPr>
    </w:p>
    <w:p w14:paraId="00000012" w14:textId="77777777" w:rsidR="003049B5" w:rsidRDefault="003049B5">
      <w:pPr>
        <w:rPr>
          <w:sz w:val="36"/>
          <w:szCs w:val="36"/>
        </w:rPr>
      </w:pPr>
    </w:p>
    <w:p w14:paraId="00000013" w14:textId="77777777" w:rsidR="003049B5" w:rsidRDefault="003049B5">
      <w:pPr>
        <w:rPr>
          <w:sz w:val="36"/>
          <w:szCs w:val="36"/>
        </w:rPr>
      </w:pPr>
    </w:p>
    <w:p w14:paraId="00000014" w14:textId="77777777" w:rsidR="003049B5" w:rsidRDefault="003049B5">
      <w:pPr>
        <w:rPr>
          <w:sz w:val="36"/>
          <w:szCs w:val="36"/>
        </w:rPr>
      </w:pPr>
    </w:p>
    <w:p w14:paraId="00000015" w14:textId="77777777" w:rsidR="003049B5" w:rsidRDefault="003049B5">
      <w:pPr>
        <w:rPr>
          <w:sz w:val="36"/>
          <w:szCs w:val="36"/>
        </w:rPr>
      </w:pPr>
    </w:p>
    <w:p w14:paraId="00000016" w14:textId="77777777" w:rsidR="003049B5" w:rsidRDefault="003049B5">
      <w:pPr>
        <w:rPr>
          <w:sz w:val="36"/>
          <w:szCs w:val="36"/>
        </w:rPr>
      </w:pPr>
    </w:p>
    <w:p w14:paraId="00000017" w14:textId="77777777" w:rsidR="003049B5" w:rsidRDefault="00000000">
      <w:pPr>
        <w:rPr>
          <w:color w:val="C00000"/>
          <w:sz w:val="36"/>
          <w:szCs w:val="36"/>
        </w:rPr>
      </w:pPr>
      <w:r>
        <w:rPr>
          <w:color w:val="C00000"/>
          <w:sz w:val="36"/>
          <w:szCs w:val="36"/>
        </w:rPr>
        <w:t xml:space="preserve">Assessment Domain - Values </w:t>
      </w:r>
    </w:p>
    <w:p w14:paraId="00000018" w14:textId="77777777" w:rsidR="003049B5" w:rsidRDefault="00000000">
      <w:pPr>
        <w:rPr>
          <w:color w:val="C00000"/>
          <w:sz w:val="36"/>
          <w:szCs w:val="36"/>
        </w:rPr>
      </w:pPr>
      <w:r>
        <w:rPr>
          <w:color w:val="C00000"/>
          <w:sz w:val="36"/>
          <w:szCs w:val="36"/>
        </w:rPr>
        <w:t>Potential Explorer</w:t>
      </w:r>
    </w:p>
    <w:p w14:paraId="00000019" w14:textId="77777777" w:rsidR="003049B5" w:rsidRDefault="00000000">
      <w:r>
        <w:t>The department is perceived as failing to consistently do the right thing or tell the truth, even when it’s difficult. This may point to serious integrity issues, such as poor leadership or unethical practices.</w:t>
      </w:r>
    </w:p>
    <w:p w14:paraId="0000001A" w14:textId="77777777" w:rsidR="003049B5" w:rsidRDefault="00000000">
      <w:r>
        <w:t>The Chief Audit Executive (CAE) may not be creating a supportive environment for internal auditors, leading to fears about raising issues, particularly when the engagement results might be challenging for management.</w:t>
      </w:r>
    </w:p>
    <w:p w14:paraId="0000001B" w14:textId="77777777" w:rsidR="003049B5" w:rsidRDefault="00000000">
      <w:r>
        <w:t>Little to no practice of documenting conflicts of interest or assessing ethical risks indicates a breakdown in adherence to professional standards, such as independence and objectivity.</w:t>
      </w:r>
    </w:p>
    <w:p w14:paraId="0000001C" w14:textId="77777777" w:rsidR="003049B5" w:rsidRDefault="00000000">
      <w:r>
        <w:t>No established methodology for addressing internal auditor misconduct is in place, increasing the risk of unresolved illegal or discreditable behavior.</w:t>
      </w:r>
    </w:p>
    <w:p w14:paraId="0000001D" w14:textId="77777777" w:rsidR="003049B5" w:rsidRDefault="00000000">
      <w:pPr>
        <w:rPr>
          <w:color w:val="C00000"/>
        </w:rPr>
      </w:pPr>
      <w:r>
        <w:rPr>
          <w:b/>
          <w:color w:val="C00000"/>
        </w:rPr>
        <w:t>Required Action Steps</w:t>
      </w:r>
      <w:r>
        <w:rPr>
          <w:color w:val="C00000"/>
        </w:rPr>
        <w:t xml:space="preserve"> </w:t>
      </w:r>
    </w:p>
    <w:p w14:paraId="0000001E" w14:textId="77777777" w:rsidR="003049B5" w:rsidRDefault="00000000">
      <w:r>
        <w:t>Urgent improvement is required in leadership, ethical controls, and establishing transparent processes to enhance the department’s credibility and functionality.</w:t>
      </w:r>
    </w:p>
    <w:p w14:paraId="0000001F" w14:textId="77777777" w:rsidR="003049B5" w:rsidRDefault="00000000">
      <w:pPr>
        <w:rPr>
          <w:color w:val="212121"/>
        </w:rPr>
      </w:pPr>
      <w:r>
        <w:rPr>
          <w:b/>
          <w:color w:val="212121"/>
        </w:rPr>
        <w:t>1- Training</w:t>
      </w:r>
    </w:p>
    <w:p w14:paraId="00000020" w14:textId="77777777" w:rsidR="003049B5" w:rsidRDefault="00000000">
      <w:r>
        <w:t>Conduct ethical leadership training for the Chief Audit Executive (CAE) and senior management to improve transparency, integrity, and ethical decision-making.</w:t>
      </w:r>
    </w:p>
    <w:p w14:paraId="00000021" w14:textId="77777777" w:rsidR="003049B5" w:rsidRDefault="00000000">
      <w:r>
        <w:t>Conduct refresher training on the Code of Ethics from the Institute of Internal Auditors (IIA) or equivalent standards, emphasizing independence, objectivity, and integrity and get acknowledgement from internal auditors regarding the understanding of methodology and their understanding of relevant legal, professional and ethical practices</w:t>
      </w:r>
    </w:p>
    <w:p w14:paraId="00000022" w14:textId="77777777" w:rsidR="003049B5" w:rsidRDefault="00000000">
      <w:r>
        <w:rPr>
          <w:b/>
        </w:rPr>
        <w:t>2- Reporting channels</w:t>
      </w:r>
    </w:p>
    <w:p w14:paraId="00000023" w14:textId="77777777" w:rsidR="003049B5" w:rsidRDefault="00000000">
      <w:r>
        <w:t>Assign clear roles and responsibilities, ensuring the CAE is held accountable for promoting an environment that encourages honesty, integrity, and independence.</w:t>
      </w:r>
    </w:p>
    <w:p w14:paraId="00000024" w14:textId="77777777" w:rsidR="003049B5" w:rsidRDefault="00000000">
      <w:r>
        <w:t>Establish confidential and anonymous reporting channels (e.g., whistleblower hotline) to allow auditors and staff to report concerns or ethical issues without fear of reprisal.</w:t>
      </w:r>
    </w:p>
    <w:p w14:paraId="00000025" w14:textId="77777777" w:rsidR="003049B5" w:rsidRDefault="00000000">
      <w:r>
        <w:lastRenderedPageBreak/>
        <w:t>Require all auditors to complete regular conflict of interest disclosures and formally document any potential ethical risks that may arise during audits.</w:t>
      </w:r>
    </w:p>
    <w:p w14:paraId="00000026" w14:textId="77777777" w:rsidR="003049B5" w:rsidRDefault="00000000">
      <w:r>
        <w:rPr>
          <w:b/>
        </w:rPr>
        <w:t>3- Process</w:t>
      </w:r>
    </w:p>
    <w:p w14:paraId="00000027" w14:textId="77777777" w:rsidR="003049B5" w:rsidRDefault="00000000">
      <w:r>
        <w:t>Create a formal methodology for addressing internal auditor misconduct, including a disciplinary process, investigations, and consequences for unethical behavior.</w:t>
      </w:r>
    </w:p>
    <w:p w14:paraId="00000028" w14:textId="77777777" w:rsidR="003049B5" w:rsidRDefault="00000000">
      <w:r>
        <w:t>Clearly communicate a zero-tolerance policy for discreditable or illegal behavior within the audit department, ensuring all staff understand the repercussions.</w:t>
      </w:r>
    </w:p>
    <w:p w14:paraId="00000029" w14:textId="77777777" w:rsidR="003049B5" w:rsidRDefault="00000000">
      <w:r>
        <w:t>Implement periodic internal audits focused on the department’s compliance with professional standards, including objectivity, independence, and adherence to ethical practices.</w:t>
      </w:r>
    </w:p>
    <w:p w14:paraId="0000002A" w14:textId="77777777" w:rsidR="003049B5" w:rsidRDefault="00000000">
      <w:r>
        <w:rPr>
          <w:b/>
        </w:rPr>
        <w:t>4- Risk based approach</w:t>
      </w:r>
    </w:p>
    <w:p w14:paraId="0000002B" w14:textId="77777777" w:rsidR="003049B5" w:rsidRDefault="00000000">
      <w:r>
        <w:t>Emphasize the importance of a risk-based audit approach that prioritizes engagements with high potential for ethical concerns, ensuring focus on areas where integrity could be compromised.</w:t>
      </w:r>
    </w:p>
    <w:p w14:paraId="0000002C" w14:textId="77777777" w:rsidR="003049B5" w:rsidRDefault="00000000">
      <w:r>
        <w:t>Integrate assessments of ethical risks into the audit planning and execution phases to identify potential integrity concerns early.</w:t>
      </w:r>
    </w:p>
    <w:p w14:paraId="0000002D" w14:textId="77777777" w:rsidR="003049B5" w:rsidRDefault="003049B5"/>
    <w:sectPr w:rsidR="003049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B5"/>
    <w:rsid w:val="003049B5"/>
    <w:rsid w:val="00506963"/>
    <w:rsid w:val="00622F27"/>
    <w:rsid w:val="0063184F"/>
    <w:rsid w:val="00E93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26F3"/>
  <w15:docId w15:val="{7FA6DA7E-E997-4DE7-A44B-608DE00F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9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F9B"/>
  </w:style>
  <w:style w:type="paragraph" w:styleId="Footer">
    <w:name w:val="footer"/>
    <w:basedOn w:val="Normal"/>
    <w:link w:val="FooterChar"/>
    <w:uiPriority w:val="99"/>
    <w:unhideWhenUsed/>
    <w:rsid w:val="0039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F9B"/>
  </w:style>
  <w:style w:type="paragraph" w:styleId="ListParagraph">
    <w:name w:val="List Paragraph"/>
    <w:basedOn w:val="Normal"/>
    <w:uiPriority w:val="34"/>
    <w:qFormat/>
    <w:rsid w:val="00392F9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aJ0kk/dftcpgAF0fUhgEWTWhA==">CgMxLjA4AHIhMTg5SzRxVnFEMjF3bkpRZUJoRFhZYkppRUdiTUlUcHpC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3</cp:revision>
  <dcterms:created xsi:type="dcterms:W3CDTF">2024-10-02T08:40:00Z</dcterms:created>
  <dcterms:modified xsi:type="dcterms:W3CDTF">2024-10-07T05:08:00Z</dcterms:modified>
</cp:coreProperties>
</file>