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A1C3B" w:rsidRDefault="00FA1C3B">
      <w:pPr>
        <w:rPr>
          <w:b/>
          <w:sz w:val="28"/>
          <w:szCs w:val="28"/>
          <w:u w:val="single"/>
        </w:rPr>
      </w:pPr>
    </w:p>
    <w:p w14:paraId="00000002" w14:textId="77777777" w:rsidR="00FA1C3B" w:rsidRDefault="00FA1C3B">
      <w:pPr>
        <w:rPr>
          <w:b/>
          <w:sz w:val="28"/>
          <w:szCs w:val="28"/>
          <w:u w:val="single"/>
        </w:rPr>
      </w:pPr>
    </w:p>
    <w:p w14:paraId="00000003" w14:textId="77777777" w:rsidR="00FA1C3B" w:rsidRDefault="00FA1C3B">
      <w:pPr>
        <w:rPr>
          <w:b/>
          <w:sz w:val="28"/>
          <w:szCs w:val="28"/>
          <w:u w:val="single"/>
        </w:rPr>
      </w:pPr>
    </w:p>
    <w:p w14:paraId="00000004" w14:textId="77777777" w:rsidR="00FA1C3B" w:rsidRDefault="00FA1C3B">
      <w:pPr>
        <w:rPr>
          <w:b/>
          <w:sz w:val="28"/>
          <w:szCs w:val="28"/>
          <w:u w:val="single"/>
        </w:rPr>
      </w:pPr>
    </w:p>
    <w:p w14:paraId="00000005" w14:textId="77777777" w:rsidR="00FA1C3B" w:rsidRDefault="00FA1C3B">
      <w:pPr>
        <w:rPr>
          <w:b/>
          <w:sz w:val="28"/>
          <w:szCs w:val="28"/>
          <w:u w:val="single"/>
        </w:rPr>
      </w:pPr>
    </w:p>
    <w:p w14:paraId="00000006" w14:textId="77777777" w:rsidR="00FA1C3B" w:rsidRDefault="00FA1C3B">
      <w:pPr>
        <w:rPr>
          <w:b/>
          <w:sz w:val="28"/>
          <w:szCs w:val="28"/>
          <w:u w:val="single"/>
        </w:rPr>
      </w:pPr>
    </w:p>
    <w:p w14:paraId="00000007" w14:textId="77777777" w:rsidR="00FA1C3B" w:rsidRDefault="00FA1C3B">
      <w:pPr>
        <w:rPr>
          <w:b/>
          <w:sz w:val="28"/>
          <w:szCs w:val="28"/>
          <w:u w:val="single"/>
        </w:rPr>
      </w:pPr>
    </w:p>
    <w:p w14:paraId="00000008" w14:textId="77777777" w:rsidR="00FA1C3B" w:rsidRPr="00700995" w:rsidRDefault="00FA1C3B">
      <w:pPr>
        <w:jc w:val="center"/>
        <w:rPr>
          <w:b/>
          <w:bCs/>
          <w:sz w:val="70"/>
          <w:szCs w:val="70"/>
        </w:rPr>
      </w:pPr>
    </w:p>
    <w:p w14:paraId="00000009" w14:textId="77777777" w:rsidR="00FA1C3B" w:rsidRPr="00616FE8" w:rsidRDefault="00000000">
      <w:pPr>
        <w:jc w:val="center"/>
        <w:rPr>
          <w:sz w:val="50"/>
          <w:szCs w:val="50"/>
        </w:rPr>
        <w:sectPr w:rsidR="00FA1C3B" w:rsidRPr="00616FE8">
          <w:headerReference w:type="default" r:id="rId7"/>
          <w:pgSz w:w="12240" w:h="15840"/>
          <w:pgMar w:top="1440" w:right="1440" w:bottom="1440" w:left="1440" w:header="720" w:footer="720" w:gutter="0"/>
          <w:pgNumType w:start="1"/>
          <w:cols w:space="720"/>
        </w:sectPr>
      </w:pPr>
      <w:r w:rsidRPr="00616FE8">
        <w:rPr>
          <w:b/>
          <w:bCs/>
          <w:sz w:val="50"/>
          <w:szCs w:val="50"/>
        </w:rPr>
        <w:t>STAKEHOLDER MANAGEMENT- PRIME INITIATOR</w:t>
      </w:r>
    </w:p>
    <w:p w14:paraId="0000000A" w14:textId="77777777" w:rsidR="00FA1C3B" w:rsidRDefault="00FA1C3B">
      <w:pPr>
        <w:rPr>
          <w:b/>
          <w:sz w:val="28"/>
          <w:szCs w:val="28"/>
          <w:u w:val="single"/>
        </w:rPr>
      </w:pPr>
    </w:p>
    <w:p w14:paraId="0000000B" w14:textId="77777777" w:rsidR="00FA1C3B" w:rsidRDefault="00000000">
      <w:pPr>
        <w:rPr>
          <w:b/>
          <w:sz w:val="28"/>
          <w:szCs w:val="28"/>
          <w:u w:val="single"/>
        </w:rPr>
      </w:pPr>
      <w:r>
        <w:rPr>
          <w:b/>
          <w:sz w:val="28"/>
          <w:szCs w:val="28"/>
          <w:u w:val="single"/>
        </w:rPr>
        <w:t xml:space="preserve"> </w:t>
      </w:r>
    </w:p>
    <w:p w14:paraId="0000000C" w14:textId="77777777" w:rsidR="00FA1C3B" w:rsidRDefault="00000000">
      <w:pPr>
        <w:rPr>
          <w:b/>
          <w:sz w:val="24"/>
          <w:szCs w:val="24"/>
          <w:u w:val="single"/>
        </w:rPr>
      </w:pPr>
      <w:r>
        <w:rPr>
          <w:b/>
          <w:color w:val="FF0000"/>
          <w:sz w:val="28"/>
          <w:szCs w:val="28"/>
          <w:u w:val="single"/>
        </w:rPr>
        <w:t>STAKEHOLDER MANAGEMENT</w:t>
      </w:r>
      <w:r>
        <w:rPr>
          <w:b/>
          <w:sz w:val="28"/>
          <w:szCs w:val="28"/>
          <w:u w:val="single"/>
        </w:rPr>
        <w:br/>
      </w:r>
    </w:p>
    <w:p w14:paraId="0000000D" w14:textId="77777777" w:rsidR="00FA1C3B" w:rsidRDefault="00000000">
      <w:pPr>
        <w:rPr>
          <w:color w:val="FF0000"/>
          <w:sz w:val="24"/>
          <w:szCs w:val="24"/>
        </w:rPr>
      </w:pPr>
      <w:r>
        <w:rPr>
          <w:b/>
          <w:color w:val="FF0000"/>
          <w:sz w:val="24"/>
          <w:szCs w:val="24"/>
          <w:u w:val="single"/>
        </w:rPr>
        <w:t>Excellence</w:t>
      </w:r>
    </w:p>
    <w:p w14:paraId="0000000E" w14:textId="77777777" w:rsidR="00FA1C3B" w:rsidRDefault="00000000">
      <w:r>
        <w:t>Mature and fully integrated internal audit function. The audit team has unrestricted access to the board and organizational activities, with regular, strategic meetings between the CAE and key stakeholders to ensure alignment with global standards. The board is well-informed about the CAE’s qualifications, and relationships with senior executives are strong and built on open dialogue. The audit function consistently uses communication tools (e.g., newsletters, presentations) to share its value with stakeholders. Performance objectives are collaboratively developed, ensuring alignment with the organization’s strategy and risk management. </w:t>
      </w:r>
    </w:p>
    <w:p w14:paraId="0000000F" w14:textId="77777777" w:rsidR="00FA1C3B" w:rsidRDefault="00000000">
      <w:r>
        <w:rPr>
          <w:b/>
          <w:color w:val="FF0000"/>
          <w:u w:val="single"/>
        </w:rPr>
        <w:t>Action:</w:t>
      </w:r>
      <w:r>
        <w:t xml:space="preserve"> Organization is well-positioned to continue leveraging its audit function as a key driver of governance and risk oversight.</w:t>
      </w:r>
    </w:p>
    <w:p w14:paraId="00000010" w14:textId="77777777" w:rsidR="00FA1C3B" w:rsidRDefault="00000000">
      <w:r>
        <w:t>Schedule regular, formal meetings between the CAE and the board to discuss audit findings, risks, and opportunities for improvement.</w:t>
      </w:r>
    </w:p>
    <w:p w14:paraId="00000011" w14:textId="77777777" w:rsidR="00FA1C3B" w:rsidRDefault="00000000">
      <w:r>
        <w:t>Establish a feedback mechanism for the board to communicate its expectations of internal audit, creating a two-way dialogue.</w:t>
      </w:r>
    </w:p>
    <w:p w14:paraId="00000012" w14:textId="77777777" w:rsidR="00FA1C3B" w:rsidRDefault="00000000">
      <w:r>
        <w:t>Expand internal audit’s involvement in key organizational activities, ensuring all business units and functions are adequately covered and audited for potential risks.</w:t>
      </w:r>
    </w:p>
    <w:p w14:paraId="00000013" w14:textId="77777777" w:rsidR="00FA1C3B" w:rsidRDefault="00000000">
      <w:r>
        <w:t>Hold specialized workshops or board training sessions led by the CAE on internal audit’s strategic impact, the global standards (e.g., IIA Standards), and how the board can actively support the function.</w:t>
      </w:r>
    </w:p>
    <w:p w14:paraId="00000014" w14:textId="77777777" w:rsidR="00FA1C3B" w:rsidRDefault="00000000">
      <w:r>
        <w:t>Promote cross-functional working groups where internal audit collaborates with other departments to address risks holistically.</w:t>
      </w:r>
    </w:p>
    <w:p w14:paraId="00000015" w14:textId="77777777" w:rsidR="00FA1C3B" w:rsidRDefault="00000000">
      <w:r>
        <w:t>Create a dedicated internal audit portal or dashboard where key audit outcomes, risk insights, and recommendations are shared in real-time with the board and senior management.</w:t>
      </w:r>
    </w:p>
    <w:p w14:paraId="00000016" w14:textId="77777777" w:rsidR="00FA1C3B" w:rsidRDefault="00FA1C3B"/>
    <w:sectPr w:rsidR="00FA1C3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83D565" w14:textId="77777777" w:rsidR="00540E1B" w:rsidRDefault="00540E1B">
      <w:pPr>
        <w:spacing w:after="0" w:line="240" w:lineRule="auto"/>
      </w:pPr>
      <w:r>
        <w:separator/>
      </w:r>
    </w:p>
  </w:endnote>
  <w:endnote w:type="continuationSeparator" w:id="0">
    <w:p w14:paraId="3A772797" w14:textId="77777777" w:rsidR="00540E1B" w:rsidRDefault="00540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FDB94B" w14:textId="77777777" w:rsidR="00540E1B" w:rsidRDefault="00540E1B">
      <w:pPr>
        <w:spacing w:after="0" w:line="240" w:lineRule="auto"/>
      </w:pPr>
      <w:r>
        <w:separator/>
      </w:r>
    </w:p>
  </w:footnote>
  <w:footnote w:type="continuationSeparator" w:id="0">
    <w:p w14:paraId="76E05B58" w14:textId="77777777" w:rsidR="00540E1B" w:rsidRDefault="00540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7" w14:textId="77777777" w:rsidR="00FA1C3B" w:rsidRDefault="00FA1C3B">
    <w:pPr>
      <w:rPr>
        <w:sz w:val="40"/>
        <w:szCs w:val="4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C3B"/>
    <w:rsid w:val="00172A8A"/>
    <w:rsid w:val="0033558D"/>
    <w:rsid w:val="00540E1B"/>
    <w:rsid w:val="00616FE8"/>
    <w:rsid w:val="00700995"/>
    <w:rsid w:val="0070668E"/>
    <w:rsid w:val="00FA1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167F02-95C8-4212-B42C-3473E2BC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rusT1gSmOlA4eNEIdwyhCipgQ==">CgMxLjA4AHIhMTRNNWV4ZENsVi1kZGVZSmU0eDRxVVd0QmVoVUUtazl3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1532</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 paracha</dc:creator>
  <cp:lastModifiedBy>unais bin faheem</cp:lastModifiedBy>
  <cp:revision>3</cp:revision>
  <dcterms:created xsi:type="dcterms:W3CDTF">2024-10-02T08:39:00Z</dcterms:created>
  <dcterms:modified xsi:type="dcterms:W3CDTF">2024-10-07T05:10:00Z</dcterms:modified>
</cp:coreProperties>
</file>