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rFonts w:ascii="Arial" w:cs="Arial" w:eastAsia="Arial" w:hAnsi="Arial"/>
          <w:b/>
          <w:bCs/>
          <w:sz w:val="44"/>
          <w:szCs w:val="44"/>
        </w:rPr>
        <w:t xml:space="preserve">Distributed Job Scheduling and Monitoring System</w:t>
      </w:r>
    </w:p>
    <w:p>
      <w:pPr>
        <w:spacing w:after="200"/>
        <w:jc w:val="center"/>
      </w:pPr>
      <w:r>
        <w:rPr>
          <w:rFonts w:ascii="Arial" w:cs="Arial" w:eastAsia="Arial" w:hAnsi="Arial"/>
          <w:color w:val="2F81F7"/>
          <w:sz w:val="30"/>
          <w:szCs w:val="30"/>
        </w:rPr>
        <w:t xml:space="preserve">Design Notes &amp; Decision Log</w:t>
      </w:r>
    </w:p>
    <w:p>
      <w:pPr>
        <w:spacing w:after="1200"/>
        <w:jc w:val="center"/>
      </w:pPr>
      <w:r>
        <w:rPr>
          <w:rFonts w:ascii="Arial" w:cs="Arial" w:eastAsia="Arial" w:hAnsi="Arial"/>
          <w:i/>
          <w:iCs/>
          <w:color w:val="555555"/>
          <w:sz w:val="22"/>
          <w:szCs w:val="22"/>
        </w:rPr>
        <w:t xml:space="preserve">What we built, why, and what we left out</w:t>
      </w:r>
    </w:p>
    <w:p>
      <w:pPr>
        <w:jc w:val="center"/>
      </w:pPr>
      <w:r>
        <w:rPr>
          <w:rFonts w:ascii="Arial" w:cs="Arial" w:eastAsia="Arial" w:hAnsi="Arial"/>
          <w:sz w:val="20"/>
          <w:szCs w:val="20"/>
        </w:rPr>
        <w:t xml:space="preserve">CE308 Cloud Computing  ·  Spring 2026</w:t>
      </w:r>
    </w:p>
    <w:p>
      <w:pPr>
        <w:jc w:val="center"/>
      </w:pPr>
      <w:r>
        <w:rPr>
          <w:rFonts w:ascii="Arial" w:cs="Arial" w:eastAsia="Arial" w:hAnsi="Arial"/>
          <w:sz w:val="20"/>
          <w:szCs w:val="20"/>
        </w:rPr>
        <w:t xml:space="preserve">Zermine Wajid (2023786)  ·  Unaiza Babur (2023739)</w:t>
      </w:r>
    </w:p>
    <w:p>
      <w:pPr>
        <w:pageBreakBefore/>
      </w:pPr>
      <w:r>
        <w:br/>
        <w:t xml:space="preserve"/>
      </w:r>
    </w:p>
    <w:p>
      <w:pPr>
        <w:pStyle w:val="Heading1"/>
        <w:spacing w:after="160" w:before="320"/>
      </w:pPr>
      <w:r>
        <w:rPr>
          <w:rFonts w:ascii="Arial" w:cs="Arial" w:eastAsia="Arial" w:hAnsi="Arial"/>
          <w:b/>
          <w:bCs/>
          <w:color w:val="2F81F7"/>
          <w:sz w:val="32"/>
          <w:szCs w:val="32"/>
        </w:rPr>
        <w:t xml:space="preserve">Section A — What We Built and Why</w:t>
      </w:r>
    </w:p>
    <w:p>
      <w:pPr>
        <w:spacing w:after="120"/>
      </w:pPr>
      <w:r>
        <w:rPr>
          <w:rFonts w:ascii="Arial" w:cs="Arial" w:eastAsia="Arial" w:hAnsi="Arial"/>
          <w:sz w:val="22"/>
          <w:szCs w:val="22"/>
        </w:rPr>
        <w:t xml:space="preserve">This section captures the design choices we actually committed to in code, paired with the alternative we considered and the reason we didn’t take it.</w:t>
      </w:r>
    </w:p>
    <w:p>
      <w:pPr>
        <w:pStyle w:val="Heading2"/>
        <w:spacing w:after="120" w:before="240"/>
      </w:pPr>
      <w:r>
        <w:rPr>
          <w:rFonts w:ascii="Arial" w:cs="Arial" w:eastAsia="Arial" w:hAnsi="Arial"/>
          <w:b/>
          <w:bCs/>
          <w:sz w:val="26"/>
          <w:szCs w:val="26"/>
        </w:rPr>
        <w:t xml:space="preserve">A.1  SQS instead of Kinesis or EventBridge</w:t>
      </w:r>
    </w:p>
    <w:p>
      <w:pPr>
        <w:spacing w:after="120"/>
      </w:pPr>
      <w:r>
        <w:rPr>
          <w:rFonts w:ascii="Arial" w:cs="Arial" w:eastAsia="Arial" w:hAnsi="Arial"/>
          <w:sz w:val="22"/>
          <w:szCs w:val="22"/>
        </w:rPr>
        <w:t xml:space="preserve">Choice: standard SQS queue (not FIFO, not Kinesis stream, not EventBridge bus).</w:t>
      </w:r>
    </w:p>
    <w:p>
      <w:pPr>
        <w:spacing w:after="120"/>
      </w:pPr>
      <w:r>
        <w:rPr>
          <w:rFonts w:ascii="Arial" w:cs="Arial" w:eastAsia="Arial" w:hAnsi="Arial"/>
          <w:sz w:val="22"/>
          <w:szCs w:val="22"/>
        </w:rPr>
        <w:t xml:space="preserve">Why: Our jobs are independent and don’t need ordering, so FIFO’s extra cost and lower throughput weren’t justified. Kinesis is great for stream analytics but its consumer model (per-shard) doesn’t map naturally to “one Lambda invocation per task.” EventBridge is event-routing first, work-queue second — it has no built-in retry-then-DLQ semantics. SQS gives us the redrive policy in two lines of CLI config.</w:t>
      </w:r>
    </w:p>
    <w:p>
      <w:pPr>
        <w:pStyle w:val="Heading2"/>
        <w:spacing w:after="120" w:before="240"/>
      </w:pPr>
      <w:r>
        <w:rPr>
          <w:rFonts w:ascii="Arial" w:cs="Arial" w:eastAsia="Arial" w:hAnsi="Arial"/>
          <w:b/>
          <w:bCs/>
          <w:sz w:val="26"/>
          <w:szCs w:val="26"/>
        </w:rPr>
        <w:t xml:space="preserve">A.2  Two tables (jobs + job_events) instead of one</w:t>
      </w:r>
    </w:p>
    <w:p>
      <w:pPr>
        <w:spacing w:after="120"/>
      </w:pPr>
      <w:r>
        <w:rPr>
          <w:rFonts w:ascii="Arial" w:cs="Arial" w:eastAsia="Arial" w:hAnsi="Arial"/>
          <w:sz w:val="22"/>
          <w:szCs w:val="22"/>
        </w:rPr>
        <w:t xml:space="preserve">Choice: split current state and history into separate tables.</w:t>
      </w:r>
    </w:p>
    <w:p>
      <w:pPr>
        <w:spacing w:after="120"/>
      </w:pPr>
      <w:r>
        <w:rPr>
          <w:rFonts w:ascii="Arial" w:cs="Arial" w:eastAsia="Arial" w:hAnsi="Arial"/>
          <w:sz w:val="22"/>
          <w:szCs w:val="22"/>
        </w:rPr>
        <w:t xml:space="preserve">Why: A single “everything” table would have forced us to either (a) UPDATE rows in place and lose history, or (b) keep appending and force the dashboard to scan the whole table to find current status. Splitting them keeps the hot path (“what’s the current status?”) on a small, indexed table while preserving full audit history in an append-only log.</w:t>
      </w:r>
    </w:p>
    <w:p>
      <w:pPr>
        <w:pStyle w:val="Heading2"/>
        <w:spacing w:after="120" w:before="240"/>
      </w:pPr>
      <w:r>
        <w:rPr>
          <w:rFonts w:ascii="Arial" w:cs="Arial" w:eastAsia="Arial" w:hAnsi="Arial"/>
          <w:b/>
          <w:bCs/>
          <w:sz w:val="26"/>
          <w:szCs w:val="26"/>
        </w:rPr>
        <w:t xml:space="preserve">A.3  Backoff via change_message_visibility</w:t>
      </w:r>
    </w:p>
    <w:p>
      <w:pPr>
        <w:spacing w:after="120"/>
      </w:pPr>
      <w:r>
        <w:rPr>
          <w:rFonts w:ascii="Arial" w:cs="Arial" w:eastAsia="Arial" w:hAnsi="Arial"/>
          <w:sz w:val="22"/>
          <w:szCs w:val="22"/>
        </w:rPr>
        <w:t xml:space="preserve">Choice: extend the SQS message’s visibility timeout right before the Lambda raises.</w:t>
      </w:r>
    </w:p>
    <w:p>
      <w:pPr>
        <w:spacing w:after="120"/>
      </w:pPr>
      <w:r>
        <w:rPr>
          <w:rFonts w:ascii="Arial" w:cs="Arial" w:eastAsia="Arial" w:hAnsi="Arial"/>
          <w:sz w:val="22"/>
          <w:szCs w:val="22"/>
        </w:rPr>
        <w:t xml:space="preserve">Why: SQS has no native exponential backoff. The default behaviour is “retry after VisibilityTimeout” every time, regardless of how many retries have happened. By calling change_message_visibility with an exponentially-increasing value, we get true backoff without writing a sidecar scheduler.</w:t>
      </w:r>
    </w:p>
    <w:p>
      <w:pPr>
        <w:spacing w:after="120"/>
      </w:pPr>
      <w:r>
        <w:rPr>
          <w:rFonts w:ascii="Arial" w:cs="Arial" w:eastAsia="Arial" w:hAnsi="Arial"/>
          <w:sz w:val="22"/>
          <w:szCs w:val="22"/>
        </w:rPr>
        <w:t xml:space="preserve">Alternative considered: a Step Functions state machine with Wait + Retry. Rejected because it would have meant rebuilding the whole pipeline around Step Functions, and the visibility-timeout trick achieves the same outcome at zero extra cost.</w:t>
      </w:r>
    </w:p>
    <w:p>
      <w:pPr>
        <w:pStyle w:val="Heading2"/>
        <w:spacing w:after="120" w:before="240"/>
      </w:pPr>
      <w:r>
        <w:rPr>
          <w:rFonts w:ascii="Arial" w:cs="Arial" w:eastAsia="Arial" w:hAnsi="Arial"/>
          <w:b/>
          <w:bCs/>
          <w:sz w:val="26"/>
          <w:szCs w:val="26"/>
        </w:rPr>
        <w:t xml:space="preserve">A.4  Partial-batch failure responses</w:t>
      </w:r>
    </w:p>
    <w:p>
      <w:pPr>
        <w:spacing w:after="120"/>
      </w:pPr>
      <w:r>
        <w:rPr>
          <w:rFonts w:ascii="Arial" w:cs="Arial" w:eastAsia="Arial" w:hAnsi="Arial"/>
          <w:sz w:val="22"/>
          <w:szCs w:val="22"/>
        </w:rPr>
        <w:t xml:space="preserve">Choice: enable ReportBatchItemFailures on the Lambda event source mapping.</w:t>
      </w:r>
    </w:p>
    <w:p>
      <w:pPr>
        <w:spacing w:after="120"/>
      </w:pPr>
      <w:r>
        <w:rPr>
          <w:rFonts w:ascii="Arial" w:cs="Arial" w:eastAsia="Arial" w:hAnsi="Arial"/>
          <w:sz w:val="22"/>
          <w:szCs w:val="22"/>
        </w:rPr>
        <w:t xml:space="preserve">Why: With BatchSize=5, the default behaviour is “if any one message fails, the whole batch is retried.” That punishes the 4 healthy messages in a batch where the 5th was bad. Partial-batch responses let us return only the failed messageId and have SQS retry just that one.</w:t>
      </w:r>
    </w:p>
    <w:p>
      <w:pPr>
        <w:pStyle w:val="Heading2"/>
        <w:spacing w:after="120" w:before="240"/>
      </w:pPr>
      <w:r>
        <w:rPr>
          <w:rFonts w:ascii="Arial" w:cs="Arial" w:eastAsia="Arial" w:hAnsi="Arial"/>
          <w:b/>
          <w:bCs/>
          <w:sz w:val="26"/>
          <w:szCs w:val="26"/>
        </w:rPr>
        <w:t xml:space="preserve">A.5  Separate DLQ Monitor Lambda</w:t>
      </w:r>
    </w:p>
    <w:p>
      <w:pPr>
        <w:spacing w:after="120"/>
      </w:pPr>
      <w:r>
        <w:rPr>
          <w:rFonts w:ascii="Arial" w:cs="Arial" w:eastAsia="Arial" w:hAnsi="Arial"/>
          <w:sz w:val="22"/>
          <w:szCs w:val="22"/>
        </w:rPr>
        <w:t xml:space="preserve">Choice: a second Lambda whose only job is to react to the DLQ.</w:t>
      </w:r>
    </w:p>
    <w:p>
      <w:pPr>
        <w:spacing w:after="120"/>
      </w:pPr>
      <w:r>
        <w:rPr>
          <w:rFonts w:ascii="Arial" w:cs="Arial" w:eastAsia="Arial" w:hAnsi="Arial"/>
          <w:sz w:val="22"/>
          <w:szCs w:val="22"/>
        </w:rPr>
        <w:t xml:space="preserve">Why: The consumer already updates status='dlq' when receive_count &gt;= max_receives, so most of the time this Lambda is redundant. But “most of the time” isn’t “always” — if the consumer crashes after raising but before its commit, the DB never learns. The DLQ monitor closes that gap and gives us a single, reliable place to emit a CloudWatch custom metric.</w:t>
      </w:r>
    </w:p>
    <w:p>
      <w:pPr>
        <w:pStyle w:val="Heading2"/>
        <w:spacing w:after="120" w:before="240"/>
      </w:pPr>
      <w:r>
        <w:rPr>
          <w:rFonts w:ascii="Arial" w:cs="Arial" w:eastAsia="Arial" w:hAnsi="Arial"/>
          <w:b/>
          <w:bCs/>
          <w:sz w:val="26"/>
          <w:szCs w:val="26"/>
        </w:rPr>
        <w:t xml:space="preserve">A.6  Polling, not WebSockets, for the dashboard</w:t>
      </w:r>
    </w:p>
    <w:p>
      <w:pPr>
        <w:spacing w:after="120"/>
      </w:pPr>
      <w:r>
        <w:rPr>
          <w:rFonts w:ascii="Arial" w:cs="Arial" w:eastAsia="Arial" w:hAnsi="Arial"/>
          <w:sz w:val="22"/>
          <w:szCs w:val="22"/>
        </w:rPr>
        <w:t xml:space="preserve">Choice: HTTP polling every 3 s.</w:t>
      </w:r>
    </w:p>
    <w:p>
      <w:pPr>
        <w:spacing w:after="120"/>
      </w:pPr>
      <w:r>
        <w:rPr>
          <w:rFonts w:ascii="Arial" w:cs="Arial" w:eastAsia="Arial" w:hAnsi="Arial"/>
          <w:sz w:val="22"/>
          <w:szCs w:val="22"/>
        </w:rPr>
        <w:t xml:space="preserve">Why: Our update budget is human-scale (“within a few seconds”). WebSockets would have meant adding Flask-SocketIO and running gevent/eventlet, plus configuring sticky sessions if we ever scaled the EC2 host horizontally. Polling at 3 s costs us ~20 requests per minute per open tab; that’s nothing for a class demo.</w:t>
      </w:r>
    </w:p>
    <w:p>
      <w:pPr>
        <w:pStyle w:val="Heading1"/>
        <w:spacing w:after="160" w:before="320"/>
      </w:pPr>
      <w:r>
        <w:rPr>
          <w:rFonts w:ascii="Arial" w:cs="Arial" w:eastAsia="Arial" w:hAnsi="Arial"/>
          <w:b/>
          <w:bCs/>
          <w:color w:val="2F81F7"/>
          <w:sz w:val="32"/>
          <w:szCs w:val="32"/>
        </w:rPr>
        <w:t xml:space="preserve">Section B — What We Deliberately Did Not Implement</w:t>
      </w:r>
    </w:p>
    <w:p>
      <w:pPr>
        <w:spacing w:after="120"/>
      </w:pPr>
      <w:r>
        <w:rPr>
          <w:rFonts w:ascii="Arial" w:cs="Arial" w:eastAsia="Arial" w:hAnsi="Arial"/>
          <w:sz w:val="22"/>
          <w:szCs w:val="22"/>
        </w:rPr>
        <w:t xml:space="preserve">Some of these were out of scope. Others would have been nice but didn’t fit in three weeks.</w:t>
      </w:r>
    </w:p>
    <w:p>
      <w:pPr>
        <w:pStyle w:val="Heading2"/>
        <w:spacing w:after="120" w:before="240"/>
      </w:pPr>
      <w:r>
        <w:rPr>
          <w:rFonts w:ascii="Arial" w:cs="Arial" w:eastAsia="Arial" w:hAnsi="Arial"/>
          <w:b/>
          <w:bCs/>
          <w:sz w:val="26"/>
          <w:szCs w:val="26"/>
        </w:rPr>
        <w:t xml:space="preserve">B.1  API Gateway in front of the producer</w:t>
      </w:r>
    </w:p>
    <w:p>
      <w:pPr>
        <w:spacing w:after="120"/>
      </w:pPr>
      <w:r>
        <w:rPr>
          <w:rFonts w:ascii="Arial" w:cs="Arial" w:eastAsia="Arial" w:hAnsi="Arial"/>
          <w:sz w:val="22"/>
          <w:szCs w:val="22"/>
        </w:rPr>
        <w:t xml:space="preserve">Status: not built. We submit jobs from a Python CLI script.</w:t>
      </w:r>
    </w:p>
    <w:p>
      <w:pPr>
        <w:spacing w:after="120"/>
      </w:pPr>
      <w:r>
        <w:rPr>
          <w:rFonts w:ascii="Arial" w:cs="Arial" w:eastAsia="Arial" w:hAnsi="Arial"/>
          <w:sz w:val="22"/>
          <w:szCs w:val="22"/>
        </w:rPr>
        <w:t xml:space="preserve">Why deferred: the proposal mentions API Gateway, and we wired SQS to receive its messages, but we didn’t build the REST endpoint. Reason: the value of API Gateway is for outside callers; for the demo our test scripts are inside our laptop, and a CLI submitting via boto3 is faster to debug. To add it: create a REST API with one resource POST /jobs that proxies to SQS via the AWS service integration. No Lambda needed.</w:t>
      </w:r>
    </w:p>
    <w:p>
      <w:pPr>
        <w:pStyle w:val="Heading2"/>
        <w:spacing w:after="120" w:before="240"/>
      </w:pPr>
      <w:r>
        <w:rPr>
          <w:rFonts w:ascii="Arial" w:cs="Arial" w:eastAsia="Arial" w:hAnsi="Arial"/>
          <w:b/>
          <w:bCs/>
          <w:sz w:val="26"/>
          <w:szCs w:val="26"/>
        </w:rPr>
        <w:t xml:space="preserve">B.2  RDS Proxy</w:t>
      </w:r>
    </w:p>
    <w:p>
      <w:pPr>
        <w:spacing w:after="120"/>
      </w:pPr>
      <w:r>
        <w:rPr>
          <w:rFonts w:ascii="Arial" w:cs="Arial" w:eastAsia="Arial" w:hAnsi="Arial"/>
          <w:sz w:val="22"/>
          <w:szCs w:val="22"/>
        </w:rPr>
        <w:t xml:space="preserve">Status: not used.</w:t>
      </w:r>
    </w:p>
    <w:p>
      <w:pPr>
        <w:spacing w:after="120"/>
      </w:pPr>
      <w:r>
        <w:rPr>
          <w:rFonts w:ascii="Arial" w:cs="Arial" w:eastAsia="Arial" w:hAnsi="Arial"/>
          <w:sz w:val="22"/>
          <w:szCs w:val="22"/>
        </w:rPr>
        <w:t xml:space="preserve">Why deferred: at our concurrency targets (200 jobs in a burst), Lambda will spin up at most ~20–40 simultaneous invocations because each job runs in well under a second. We stay under the default 100-connection RDS cap. At 1000+ concurrent invocations we would blow that limit and need RDS Proxy.</w:t>
      </w:r>
    </w:p>
    <w:p>
      <w:pPr>
        <w:pStyle w:val="Heading2"/>
        <w:spacing w:after="120" w:before="240"/>
      </w:pPr>
      <w:r>
        <w:rPr>
          <w:rFonts w:ascii="Arial" w:cs="Arial" w:eastAsia="Arial" w:hAnsi="Arial"/>
          <w:b/>
          <w:bCs/>
          <w:sz w:val="26"/>
          <w:szCs w:val="26"/>
        </w:rPr>
        <w:t xml:space="preserve">B.3  VPC isolation for Lambda</w:t>
      </w:r>
    </w:p>
    <w:p>
      <w:pPr>
        <w:spacing w:after="120"/>
      </w:pPr>
      <w:r>
        <w:rPr>
          <w:rFonts w:ascii="Arial" w:cs="Arial" w:eastAsia="Arial" w:hAnsi="Arial"/>
          <w:sz w:val="22"/>
          <w:szCs w:val="22"/>
        </w:rPr>
        <w:t xml:space="preserve">Status: Lambdas run in the default VPC and connect to RDS over its public endpoint with security-group restrictions.</w:t>
      </w:r>
    </w:p>
    <w:p>
      <w:pPr>
        <w:spacing w:after="120"/>
      </w:pPr>
      <w:r>
        <w:rPr>
          <w:rFonts w:ascii="Arial" w:cs="Arial" w:eastAsia="Arial" w:hAnsi="Arial"/>
          <w:sz w:val="22"/>
          <w:szCs w:val="22"/>
        </w:rPr>
        <w:t xml:space="preserve">Why deferred: VPC-attached Lambdas have a cold-start penalty and require careful subnet/NAT configuration. For a 3-week project, putting RDS in a private subnet was a complexity bomb. In production we would put RDS in a private subnet and attach Lambdas to that VPC, accepting the cold-start cost in exchange for not having a publicly-resolvable database endpoint.</w:t>
      </w:r>
    </w:p>
    <w:p>
      <w:pPr>
        <w:pStyle w:val="Heading2"/>
        <w:spacing w:after="120" w:before="240"/>
      </w:pPr>
      <w:r>
        <w:rPr>
          <w:rFonts w:ascii="Arial" w:cs="Arial" w:eastAsia="Arial" w:hAnsi="Arial"/>
          <w:b/>
          <w:bCs/>
          <w:sz w:val="26"/>
          <w:szCs w:val="26"/>
        </w:rPr>
        <w:t xml:space="preserve">B.4  Authentication on the dashboard</w:t>
      </w:r>
    </w:p>
    <w:p>
      <w:pPr>
        <w:spacing w:after="120"/>
      </w:pPr>
      <w:r>
        <w:rPr>
          <w:rFonts w:ascii="Arial" w:cs="Arial" w:eastAsia="Arial" w:hAnsi="Arial"/>
          <w:sz w:val="22"/>
          <w:szCs w:val="22"/>
        </w:rPr>
        <w:t xml:space="preserve">Status: dashboard is open on port 5000 with no login.</w:t>
      </w:r>
    </w:p>
    <w:p>
      <w:pPr>
        <w:spacing w:after="120"/>
      </w:pPr>
      <w:r>
        <w:rPr>
          <w:rFonts w:ascii="Arial" w:cs="Arial" w:eastAsia="Arial" w:hAnsi="Arial"/>
          <w:sz w:val="22"/>
          <w:szCs w:val="22"/>
        </w:rPr>
        <w:t xml:space="preserve">Why deferred: we use a security group rule that whitelists only our IP addresses. For a graded demo this is acceptable; for production it’s a hard no. The right fix is an ALB with Cognito authentication or just basic auth via nginx; either takes 2–3 hours but isn’t a CE308 learning outcome.</w:t>
      </w:r>
    </w:p>
    <w:p>
      <w:pPr>
        <w:pStyle w:val="Heading2"/>
        <w:spacing w:after="120" w:before="240"/>
      </w:pPr>
      <w:r>
        <w:rPr>
          <w:rFonts w:ascii="Arial" w:cs="Arial" w:eastAsia="Arial" w:hAnsi="Arial"/>
          <w:b/>
          <w:bCs/>
          <w:sz w:val="26"/>
          <w:szCs w:val="26"/>
        </w:rPr>
        <w:t xml:space="preserve">B.5  Automated reprocessing of DLQ items</w:t>
      </w:r>
    </w:p>
    <w:p>
      <w:pPr>
        <w:spacing w:after="120"/>
      </w:pPr>
      <w:r>
        <w:rPr>
          <w:rFonts w:ascii="Arial" w:cs="Arial" w:eastAsia="Arial" w:hAnsi="Arial"/>
          <w:sz w:val="22"/>
          <w:szCs w:val="22"/>
        </w:rPr>
        <w:t xml:space="preserve">Status: DLQ jobs sit in the queue for manual review.</w:t>
      </w:r>
    </w:p>
    <w:p>
      <w:pPr>
        <w:spacing w:after="120"/>
      </w:pPr>
      <w:r>
        <w:rPr>
          <w:rFonts w:ascii="Arial" w:cs="Arial" w:eastAsia="Arial" w:hAnsi="Arial"/>
          <w:sz w:val="22"/>
          <w:szCs w:val="22"/>
        </w:rPr>
        <w:t xml:space="preserve">Why deferred: “operator clicks Retry on a DLQ row” is genuinely a UI feature, not just a backend feature. We’d need a POST endpoint, a confirm dialog, an IAM policy that allows the dashboard EC2 instance to send back into the main queue, and visual feedback. We listed this as a stretch goal in the proposal and ran out of time.</w:t>
      </w:r>
    </w:p>
    <w:p>
      <w:pPr>
        <w:spacing w:after="120"/>
      </w:pPr>
      <w:r>
        <w:rPr>
          <w:rFonts w:ascii="Arial" w:cs="Arial" w:eastAsia="Arial" w:hAnsi="Arial"/>
          <w:sz w:val="22"/>
          <w:szCs w:val="22"/>
        </w:rPr>
        <w:t xml:space="preserve">How we’d build it: a /api/dlq/&lt;job_id&gt;/retry endpoint that reads the original payload from RDS, sends it as a fresh SQS message to the main queue with a new job_id, and writes a 'requeued' event.</w:t>
      </w:r>
    </w:p>
    <w:p>
      <w:pPr>
        <w:pStyle w:val="Heading2"/>
        <w:spacing w:after="120" w:before="240"/>
      </w:pPr>
      <w:r>
        <w:rPr>
          <w:rFonts w:ascii="Arial" w:cs="Arial" w:eastAsia="Arial" w:hAnsi="Arial"/>
          <w:b/>
          <w:bCs/>
          <w:sz w:val="26"/>
          <w:szCs w:val="26"/>
        </w:rPr>
        <w:t xml:space="preserve">B.6  CloudWatch alarms wired to SNS</w:t>
      </w:r>
    </w:p>
    <w:p>
      <w:pPr>
        <w:spacing w:after="120"/>
      </w:pPr>
      <w:r>
        <w:rPr>
          <w:rFonts w:ascii="Arial" w:cs="Arial" w:eastAsia="Arial" w:hAnsi="Arial"/>
          <w:sz w:val="22"/>
          <w:szCs w:val="22"/>
        </w:rPr>
        <w:t xml:space="preserve">Status: we emit a custom DLQMessagesObserved metric but no alarm is attached.</w:t>
      </w:r>
    </w:p>
    <w:p>
      <w:pPr>
        <w:spacing w:after="120"/>
      </w:pPr>
      <w:r>
        <w:rPr>
          <w:rFonts w:ascii="Arial" w:cs="Arial" w:eastAsia="Arial" w:hAnsi="Arial"/>
          <w:sz w:val="22"/>
          <w:szCs w:val="22"/>
        </w:rPr>
        <w:t xml:space="preserve">Why deferred: setting up SNS topics and email subscriptions was 10 minutes of work and 5 minutes of demo value. The dashboard already shows DLQ depth in real time. In a real on-call rotation we’d wire the metric to PagerDuty.</w:t>
      </w:r>
    </w:p>
    <w:p>
      <w:pPr>
        <w:pStyle w:val="Heading2"/>
        <w:spacing w:after="120" w:before="240"/>
      </w:pPr>
      <w:r>
        <w:rPr>
          <w:rFonts w:ascii="Arial" w:cs="Arial" w:eastAsia="Arial" w:hAnsi="Arial"/>
          <w:b/>
          <w:bCs/>
          <w:sz w:val="26"/>
          <w:szCs w:val="26"/>
        </w:rPr>
        <w:t xml:space="preserve">B.7  IAM least-privilege</w:t>
      </w:r>
    </w:p>
    <w:p>
      <w:pPr>
        <w:spacing w:after="120"/>
      </w:pPr>
      <w:r>
        <w:rPr>
          <w:rFonts w:ascii="Arial" w:cs="Arial" w:eastAsia="Arial" w:hAnsi="Arial"/>
          <w:sz w:val="22"/>
          <w:szCs w:val="22"/>
        </w:rPr>
        <w:t xml:space="preserve">Status: the Lambda execution role uses AWS-managed policies (AmazonSQSFullAccess, CloudWatchFullAccess) instead of narrowly scoped inline policies.</w:t>
      </w:r>
    </w:p>
    <w:p>
      <w:pPr>
        <w:spacing w:after="120"/>
      </w:pPr>
      <w:r>
        <w:rPr>
          <w:rFonts w:ascii="Arial" w:cs="Arial" w:eastAsia="Arial" w:hAnsi="Arial"/>
          <w:sz w:val="22"/>
          <w:szCs w:val="22"/>
        </w:rPr>
        <w:t xml:space="preserve">Why deferred: writing a tight policy that allows only sqs:ReceiveMessage on the specific main queue and only cloudwatch:PutMetricData for our namespace is doable but iterative — you find out you missed an action when something fails at runtime. We took the shortcut for the demo and noted it as tech debt.</w:t>
      </w:r>
    </w:p>
    <w:p>
      <w:pPr>
        <w:pStyle w:val="Heading2"/>
        <w:spacing w:after="120" w:before="240"/>
      </w:pPr>
      <w:r>
        <w:rPr>
          <w:rFonts w:ascii="Arial" w:cs="Arial" w:eastAsia="Arial" w:hAnsi="Arial"/>
          <w:b/>
          <w:bCs/>
          <w:sz w:val="26"/>
          <w:szCs w:val="26"/>
        </w:rPr>
        <w:t xml:space="preserve">B.8  Tracing with X-Ray</w:t>
      </w:r>
    </w:p>
    <w:p>
      <w:pPr>
        <w:spacing w:after="120"/>
      </w:pPr>
      <w:r>
        <w:rPr>
          <w:rFonts w:ascii="Arial" w:cs="Arial" w:eastAsia="Arial" w:hAnsi="Arial"/>
          <w:sz w:val="22"/>
          <w:szCs w:val="22"/>
        </w:rPr>
        <w:t xml:space="preserve">Status: no distributed tracing.</w:t>
      </w:r>
    </w:p>
    <w:p>
      <w:pPr>
        <w:spacing w:after="120"/>
      </w:pPr>
      <w:r>
        <w:rPr>
          <w:rFonts w:ascii="Arial" w:cs="Arial" w:eastAsia="Arial" w:hAnsi="Arial"/>
          <w:sz w:val="22"/>
          <w:szCs w:val="22"/>
        </w:rPr>
        <w:t xml:space="preserve">Why deferred: X-Ray would let us see end-to-end latency from “SQS received” → “Lambda fetched” → “RDS write completed.” It’s genuinely useful for debugging weird latencies. We didn’t hit any weird latencies, so we never reached for it. Adding it later is just turning on the X-Ray flag in the Lambda config and importing the X-Ray SDK.</w:t>
      </w:r>
    </w:p>
    <w:p>
      <w:pPr>
        <w:pStyle w:val="Heading2"/>
        <w:spacing w:after="120" w:before="240"/>
      </w:pPr>
      <w:r>
        <w:rPr>
          <w:rFonts w:ascii="Arial" w:cs="Arial" w:eastAsia="Arial" w:hAnsi="Arial"/>
          <w:b/>
          <w:bCs/>
          <w:sz w:val="26"/>
          <w:szCs w:val="26"/>
        </w:rPr>
        <w:t xml:space="preserve">B.9  Multi-region or multi-AZ</w:t>
      </w:r>
    </w:p>
    <w:p>
      <w:pPr>
        <w:spacing w:after="120"/>
      </w:pPr>
      <w:r>
        <w:rPr>
          <w:rFonts w:ascii="Arial" w:cs="Arial" w:eastAsia="Arial" w:hAnsi="Arial"/>
          <w:sz w:val="22"/>
          <w:szCs w:val="22"/>
        </w:rPr>
        <w:t xml:space="preserve">Status: single-region (us-east-1), single-AZ RDS.</w:t>
      </w:r>
    </w:p>
    <w:p>
      <w:pPr>
        <w:spacing w:after="120"/>
      </w:pPr>
      <w:r>
        <w:rPr>
          <w:rFonts w:ascii="Arial" w:cs="Arial" w:eastAsia="Arial" w:hAnsi="Arial"/>
          <w:sz w:val="22"/>
          <w:szCs w:val="22"/>
        </w:rPr>
        <w:t xml:space="preserve">Why deferred: cost and complexity. Multi-AZ RDS roughly doubles the DB cost. Multi-region is a much bigger architectural commitment. For a class project, single-region is the right call.</w:t>
      </w:r>
    </w:p>
    <w:p>
      <w:pPr>
        <w:pStyle w:val="Heading2"/>
        <w:spacing w:after="120" w:before="240"/>
      </w:pPr>
      <w:r>
        <w:rPr>
          <w:rFonts w:ascii="Arial" w:cs="Arial" w:eastAsia="Arial" w:hAnsi="Arial"/>
          <w:b/>
          <w:bCs/>
          <w:sz w:val="26"/>
          <w:szCs w:val="26"/>
        </w:rPr>
        <w:t xml:space="preserve">B.10  Job priorities / scheduled jobs</w:t>
      </w:r>
    </w:p>
    <w:p>
      <w:pPr>
        <w:spacing w:after="120"/>
      </w:pPr>
      <w:r>
        <w:rPr>
          <w:rFonts w:ascii="Arial" w:cs="Arial" w:eastAsia="Arial" w:hAnsi="Arial"/>
          <w:sz w:val="22"/>
          <w:szCs w:val="22"/>
        </w:rPr>
        <w:t xml:space="preserve">Status: all jobs are equal-priority and processed FIFO-ish (SQS standard isn’t strict FIFO).</w:t>
      </w:r>
    </w:p>
    <w:p>
      <w:pPr>
        <w:spacing w:after="120"/>
      </w:pPr>
      <w:r>
        <w:rPr>
          <w:rFonts w:ascii="Arial" w:cs="Arial" w:eastAsia="Arial" w:hAnsi="Arial"/>
          <w:sz w:val="22"/>
          <w:szCs w:val="22"/>
        </w:rPr>
        <w:t xml:space="preserve">Why deferred: introducing priority means either (a) two queues with different Lambda concurrency limits, or (b) a priority field that the consumer reads after fetching, which doesn’t actually change order of execution. Both are real engineering, not afternoon hacks.</w:t>
      </w:r>
    </w:p>
    <w:p>
      <w:pPr>
        <w:pStyle w:val="Heading1"/>
        <w:spacing w:after="160" w:before="320"/>
      </w:pPr>
      <w:r>
        <w:rPr>
          <w:rFonts w:ascii="Arial" w:cs="Arial" w:eastAsia="Arial" w:hAnsi="Arial"/>
          <w:b/>
          <w:bCs/>
          <w:color w:val="2F81F7"/>
          <w:sz w:val="32"/>
          <w:szCs w:val="32"/>
        </w:rPr>
        <w:t xml:space="preserve">Section C — Things We’d Do Differently</w:t>
      </w:r>
    </w:p>
    <w:p>
      <w:pPr>
        <w:pStyle w:val="Heading2"/>
        <w:spacing w:after="120" w:before="240"/>
      </w:pPr>
      <w:r>
        <w:rPr>
          <w:rFonts w:ascii="Arial" w:cs="Arial" w:eastAsia="Arial" w:hAnsi="Arial"/>
          <w:b/>
          <w:bCs/>
          <w:sz w:val="26"/>
          <w:szCs w:val="26"/>
        </w:rPr>
        <w:t xml:space="preserve">C.1  Use the AWS CDK or Terraform from day 1</w:t>
      </w:r>
    </w:p>
    <w:p>
      <w:pPr>
        <w:spacing w:after="120"/>
      </w:pPr>
      <w:r>
        <w:rPr>
          <w:rFonts w:ascii="Arial" w:cs="Arial" w:eastAsia="Arial" w:hAnsi="Arial"/>
          <w:sz w:val="22"/>
          <w:szCs w:val="22"/>
        </w:rPr>
        <w:t xml:space="preserve">Our setup_aws.sh works, but every change means re-running it and crossing fingers. CDK/Terraform would have made teardown safe and given us an audit trail of infrastructure changes. We started in the console for speed; we shouldn’t have.</w:t>
      </w:r>
    </w:p>
    <w:p>
      <w:pPr>
        <w:pStyle w:val="Heading2"/>
        <w:spacing w:after="120" w:before="240"/>
      </w:pPr>
      <w:r>
        <w:rPr>
          <w:rFonts w:ascii="Arial" w:cs="Arial" w:eastAsia="Arial" w:hAnsi="Arial"/>
          <w:b/>
          <w:bCs/>
          <w:sz w:val="26"/>
          <w:szCs w:val="26"/>
        </w:rPr>
        <w:t xml:space="preserve">C.2  Keep the consumer Lambda thinner</w:t>
      </w:r>
    </w:p>
    <w:p>
      <w:pPr>
        <w:spacing w:after="120"/>
      </w:pPr>
      <w:r>
        <w:rPr>
          <w:rFonts w:ascii="Arial" w:cs="Arial" w:eastAsia="Arial" w:hAnsi="Arial"/>
          <w:sz w:val="22"/>
          <w:szCs w:val="22"/>
        </w:rPr>
        <w:t xml:space="preserve">Right now the consumer parses, persists state, runs the job, AND handles failure. Splitting the job-runner logic into its own module would have made unit-testing easier from the start (we’d have caught two of our backoff bugs earlier).</w:t>
      </w:r>
    </w:p>
    <w:p>
      <w:pPr>
        <w:pStyle w:val="Heading2"/>
        <w:spacing w:after="120" w:before="240"/>
      </w:pPr>
      <w:r>
        <w:rPr>
          <w:rFonts w:ascii="Arial" w:cs="Arial" w:eastAsia="Arial" w:hAnsi="Arial"/>
          <w:b/>
          <w:bCs/>
          <w:sz w:val="26"/>
          <w:szCs w:val="26"/>
        </w:rPr>
        <w:t xml:space="preserve">C.3  Add seed data + a fixture script</w:t>
      </w:r>
    </w:p>
    <w:p>
      <w:pPr>
        <w:spacing w:after="120"/>
      </w:pPr>
      <w:r>
        <w:rPr>
          <w:rFonts w:ascii="Arial" w:cs="Arial" w:eastAsia="Arial" w:hAnsi="Arial"/>
          <w:sz w:val="22"/>
          <w:szCs w:val="22"/>
        </w:rPr>
        <w:t xml:space="preserve">To demo on a fresh AWS account we’d like a single command that: (1) provisions everything, (2) applies the schema, (3) submits seed jobs, (4) opens the dashboard. We have steps 1–3 as separate scripts. A short Makefile would tie them together.</w:t>
      </w:r>
    </w:p>
    <w:p>
      <w:pPr>
        <w:pStyle w:val="Heading1"/>
        <w:spacing w:after="160" w:before="320"/>
      </w:pPr>
      <w:r>
        <w:rPr>
          <w:rFonts w:ascii="Arial" w:cs="Arial" w:eastAsia="Arial" w:hAnsi="Arial"/>
          <w:b/>
          <w:bCs/>
          <w:color w:val="2F81F7"/>
          <w:sz w:val="32"/>
          <w:szCs w:val="32"/>
        </w:rPr>
        <w:t xml:space="preserve">Section D — 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00"/>
      </w:tblGrid>
      <w:tr>
        <w:trPr>
          <w:tblHeader/>
        </w:trPr>
        <w:tc>
          <w:tcPr>
            <w:tcW w:type="dxa" w:w="3400"/>
            <w:tcBorders>
              <w:top w:val="single" w:color="CCCCCC" w:sz="4"/>
              <w:left w:val="single" w:color="CCCCCC" w:sz="4"/>
              <w:bottom w:val="single" w:color="CCCCCC" w:sz="4"/>
              <w:right w:val="single" w:color="CCCCCC" w:sz="4"/>
            </w:tcBorders>
            <w:shd w:fill="E8F0FE" w:val="clear"/>
            <w:tcMar>
              <w:top w:type="dxa" w:w="80"/>
              <w:left w:type="dxa" w:w="120"/>
              <w:bottom w:type="dxa" w:w="80"/>
              <w:right w:type="dxa" w:w="120"/>
            </w:tcMar>
          </w:tcPr>
          <w:p>
            <w:r>
              <w:rPr>
                <w:rFonts w:ascii="Arial" w:cs="Arial" w:eastAsia="Arial" w:hAnsi="Arial"/>
                <w:b/>
                <w:bCs/>
                <w:sz w:val="20"/>
                <w:szCs w:val="20"/>
              </w:rPr>
              <w:t xml:space="preserve">Capability</w:t>
            </w:r>
          </w:p>
        </w:tc>
        <w:tc>
          <w:tcPr>
            <w:tcW w:type="dxa" w:w="3000"/>
            <w:tcBorders>
              <w:top w:val="single" w:color="CCCCCC" w:sz="4"/>
              <w:left w:val="single" w:color="CCCCCC" w:sz="4"/>
              <w:bottom w:val="single" w:color="CCCCCC" w:sz="4"/>
              <w:right w:val="single" w:color="CCCCCC" w:sz="4"/>
            </w:tcBorders>
            <w:shd w:fill="E8F0FE"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2600"/>
            <w:tcBorders>
              <w:top w:val="single" w:color="CCCCCC" w:sz="4"/>
              <w:left w:val="single" w:color="CCCCCC" w:sz="4"/>
              <w:bottom w:val="single" w:color="CCCCCC" w:sz="4"/>
              <w:right w:val="single" w:color="CCCCCC" w:sz="4"/>
            </w:tcBorders>
            <w:shd w:fill="E8F0FE"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Job ingestion via SQS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237804"/>
                <w:sz w:val="20"/>
                <w:szCs w:val="20"/>
              </w:rPr>
              <w:t xml:space="preserve">Built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CLI producer</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Lambda consumer with retry+backoff</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237804"/>
                <w:sz w:val="20"/>
                <w:szCs w:val="20"/>
              </w:rPr>
              <w:t xml:space="preserve">Built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change_message_visibility</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DLQ + monitor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237804"/>
                <w:sz w:val="20"/>
                <w:szCs w:val="20"/>
              </w:rPr>
              <w:t xml:space="preserve">Built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 strikes max</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RDS persistence (jobs + events)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237804"/>
                <w:sz w:val="20"/>
                <w:szCs w:val="20"/>
              </w:rPr>
              <w:t xml:space="preserve">Built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PostgreSQL 15</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Flask dashboard with Chart.js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237804"/>
                <w:sz w:val="20"/>
                <w:szCs w:val="20"/>
              </w:rPr>
              <w:t xml:space="preserve">Built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Polls every 3s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CloudWatch metric integration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237804"/>
                <w:sz w:val="20"/>
                <w:szCs w:val="20"/>
              </w:rPr>
              <w:t xml:space="preserve">Built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AWS/SQS + custom</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Failure simulation script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237804"/>
                <w:sz w:val="20"/>
                <w:szCs w:val="20"/>
              </w:rPr>
              <w:t xml:space="preserve">Built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 scenarios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Unit tests (backoff, dispatch)</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237804"/>
                <w:sz w:val="20"/>
                <w:szCs w:val="20"/>
              </w:rPr>
              <w:t xml:space="preserve">Built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 tests, all pass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API Gateway producer endpoint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B42318"/>
                <w:sz w:val="20"/>
                <w:szCs w:val="20"/>
              </w:rPr>
              <w:t xml:space="preserve">Deferred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CLI used instead</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RDS Proxy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B42318"/>
                <w:sz w:val="20"/>
                <w:szCs w:val="20"/>
              </w:rPr>
              <w:t xml:space="preserve">Deferred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Not yet bottleneck</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VPC-isolated Lambdas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B42318"/>
                <w:sz w:val="20"/>
                <w:szCs w:val="20"/>
              </w:rPr>
              <w:t xml:space="preserve">Deferred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Cold-start tradeoff</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Dashboard authentication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B42318"/>
                <w:sz w:val="20"/>
                <w:szCs w:val="20"/>
              </w:rPr>
              <w:t xml:space="preserve">Deferred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Security-group only</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Manual DLQ retry UI</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B42318"/>
                <w:sz w:val="20"/>
                <w:szCs w:val="20"/>
              </w:rPr>
              <w:t xml:space="preserve">Deferred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Stretch goal</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CloudWatch alarms → SNS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B42318"/>
                <w:sz w:val="20"/>
                <w:szCs w:val="20"/>
              </w:rPr>
              <w:t xml:space="preserve">Deferred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Metric exists, alarm doesn’t</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Least-privilege IAM</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B42318"/>
                <w:sz w:val="20"/>
                <w:szCs w:val="20"/>
              </w:rPr>
              <w:t xml:space="preserve">Deferred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Used managed policies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X-Ray tracing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B42318"/>
                <w:sz w:val="20"/>
                <w:szCs w:val="20"/>
              </w:rPr>
              <w:t xml:space="preserve">Deferred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Not needed for demo</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Multi-AZ / multi-region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B42318"/>
                <w:sz w:val="20"/>
                <w:szCs w:val="20"/>
              </w:rPr>
              <w:t xml:space="preserve">Deferred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Out of cost scope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Priority / scheduled jobs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B42318"/>
                <w:sz w:val="20"/>
                <w:szCs w:val="20"/>
              </w:rPr>
              <w:t xml:space="preserve">Deferred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Real engineering work</w:t>
            </w:r>
          </w:p>
        </w:tc>
      </w:tr>
    </w:tbl>
    <w:p>
      <w:pPr>
        <w:spacing w:before="600"/>
        <w:jc w:val="center"/>
      </w:pPr>
      <w:r>
        <w:rPr>
          <w:rFonts w:ascii="Arial" w:cs="Arial" w:eastAsia="Arial" w:hAnsi="Arial"/>
          <w:i/>
          <w:iCs/>
          <w:color w:val="555555"/>
          <w:sz w:val="20"/>
          <w:szCs w:val="20"/>
        </w:rPr>
        <w:t xml:space="preserve">— end of design notes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CE308  ·  Distributed Job Scheduler  ·  Design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F81F7"/>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Job Scheduler — Design Notes</dc:title>
  <dc:creator>Zermine Wajid &amp; Unaiza Babur</dc:creator>
  <cp:lastModifiedBy>Un-named</cp:lastModifiedBy>
  <cp:revision>1</cp:revision>
  <dcterms:created xsi:type="dcterms:W3CDTF">2026-05-04T04:48:15.021Z</dcterms:created>
  <dcterms:modified xsi:type="dcterms:W3CDTF">2026-05-04T04:48:15.021Z</dcterms:modified>
</cp:coreProperties>
</file>

<file path=docProps/custom.xml><?xml version="1.0" encoding="utf-8"?>
<Properties xmlns="http://schemas.openxmlformats.org/officeDocument/2006/custom-properties" xmlns:vt="http://schemas.openxmlformats.org/officeDocument/2006/docPropsVTypes"/>
</file>