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F81C4D">
      <w:pPr>
        <w:jc w:val="center"/>
        <w:rPr>
          <w:rFonts w:hint="eastAsia" w:ascii="华文行楷" w:eastAsia="华文行楷"/>
          <w:sz w:val="80"/>
          <w:szCs w:val="80"/>
        </w:rPr>
      </w:pPr>
    </w:p>
    <w:p w14:paraId="756282C5">
      <w:pPr>
        <w:jc w:val="center"/>
        <w:rPr>
          <w:rFonts w:hint="eastAsia" w:ascii="宋体" w:hAnsi="宋体"/>
          <w:szCs w:val="21"/>
        </w:rPr>
      </w:pPr>
      <w:r>
        <w:fldChar w:fldCharType="begin"/>
      </w:r>
      <w:r>
        <w:instrText xml:space="preserve"> INCLUDEPICTURE "https://www.nju.edu.cn/__local/F/7A/1D/91723945F34FAA0A9C67700CF8F_13B47AE2_E3A7.png" \* MERGEFORMATINET </w:instrText>
      </w:r>
      <w:r>
        <w:fldChar w:fldCharType="separate"/>
      </w:r>
      <w:r>
        <w:pict>
          <v:shape id="_x0000_i1025" o:spt="75" alt="南大校标-南京大学" type="#_x0000_t75" style="height:94.5pt;width:307.5pt;" filled="f" o:preferrelative="t" stroked="f" coordsize="21600,21600">
            <v:path/>
            <v:fill on="f" focussize="0,0"/>
            <v:stroke on="f" joinstyle="miter"/>
            <v:imagedata r:id="rId6" r:href="rId7" o:title=""/>
            <o:lock v:ext="edit" aspectratio="t"/>
            <w10:wrap type="none"/>
            <w10:anchorlock/>
          </v:shape>
        </w:pict>
      </w:r>
      <w:r>
        <w:fldChar w:fldCharType="end"/>
      </w:r>
    </w:p>
    <w:p w14:paraId="5F3FC6BC">
      <w:pPr>
        <w:jc w:val="center"/>
        <w:rPr>
          <w:rFonts w:hint="eastAsia" w:ascii="宋体" w:hAnsi="宋体"/>
          <w:sz w:val="100"/>
          <w:szCs w:val="100"/>
        </w:rPr>
      </w:pPr>
      <w:r>
        <w:rPr>
          <w:rFonts w:ascii="宋体" w:hAnsi="宋体" w:eastAsia="宋体"/>
          <w:b/>
          <w:sz w:val="44"/>
        </w:rPr>
        <w:t>实验报告</w:t>
      </w:r>
    </w:p>
    <w:p w14:paraId="2CB80E36">
      <w:pPr>
        <w:rPr>
          <w:rFonts w:hint="eastAsia" w:ascii="宋体" w:hAnsi="宋体" w:cs="Arial"/>
          <w:caps/>
          <w:sz w:val="44"/>
          <w:szCs w:val="44"/>
          <w:u w:val="single"/>
          <w:shd w:val="clear" w:color="auto" w:fill="FFFFFF"/>
        </w:rPr>
      </w:pPr>
    </w:p>
    <w:p w14:paraId="2C060762">
      <w:pPr>
        <w:jc w:val="center"/>
        <w:rPr>
          <w:rFonts w:hint="eastAsia" w:ascii="宋体" w:hAnsi="宋体" w:cs="Arial"/>
          <w:caps/>
          <w:u w:val="single"/>
          <w:shd w:val="clear" w:color="auto" w:fill="FFFFFF"/>
        </w:rPr>
      </w:pPr>
    </w:p>
    <w:p w14:paraId="7E56054D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姓    名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眭子健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    </w:t>
      </w:r>
    </w:p>
    <w:p w14:paraId="45165ED9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学    号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251850008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 </w:t>
      </w:r>
    </w:p>
    <w:p w14:paraId="064178B0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专    业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自动化（机器人方向）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</w:t>
      </w:r>
    </w:p>
    <w:p w14:paraId="18BFA0DA">
      <w:pPr>
        <w:ind w:firstLine="1779" w:firstLineChars="593"/>
        <w:rPr>
          <w:rFonts w:hint="default" w:ascii="宋体" w:hAnsi="宋体" w:eastAsia="宋体" w:cs="Arial"/>
          <w:caps/>
          <w:sz w:val="30"/>
          <w:szCs w:val="30"/>
          <w:u w:val="single"/>
          <w:shd w:val="clear" w:color="auto" w:fill="FFFFFF"/>
          <w:lang w:val="en-US" w:eastAsia="zh-CN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年    级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大二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 xml:space="preserve">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</w:t>
      </w:r>
    </w:p>
    <w:p w14:paraId="0A8A856B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课程名称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电路技术基础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</w:t>
      </w:r>
    </w:p>
    <w:p w14:paraId="7F2D1283">
      <w:pPr>
        <w:ind w:firstLine="1779" w:firstLineChars="593"/>
        <w:rPr>
          <w:rFonts w:hint="default" w:ascii="宋体" w:hAnsi="宋体" w:eastAsia="宋体" w:cs="Arial"/>
          <w:caps/>
          <w:sz w:val="30"/>
          <w:szCs w:val="30"/>
          <w:u w:val="single"/>
          <w:shd w:val="clear" w:color="auto" w:fill="FFFFFF"/>
          <w:lang w:val="en-US" w:eastAsia="zh-CN"/>
        </w:rPr>
      </w:pPr>
      <w:r>
        <w:rPr>
          <w:rFonts w:ascii="宋体" w:hAnsi="宋体" w:eastAsia="宋体"/>
          <w:b w:val="0"/>
          <w:sz w:val="30"/>
          <w:szCs w:val="30"/>
        </w:rPr>
        <w:t>实验名称：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</w:t>
      </w:r>
      <w:r>
        <w:rPr>
          <w:rFonts w:ascii="宋体" w:hAnsi="宋体" w:eastAsia="宋体"/>
          <w:b w:val="0"/>
          <w:sz w:val="30"/>
          <w:szCs w:val="30"/>
          <w:u w:val="single"/>
        </w:rPr>
        <w:t>实验一 元件伏安特性的测量</w:t>
      </w:r>
      <w:r>
        <w:rPr>
          <w:rFonts w:hint="eastAsia" w:ascii="宋体" w:hAnsi="宋体"/>
          <w:b w:val="0"/>
          <w:sz w:val="30"/>
          <w:szCs w:val="30"/>
          <w:u w:val="single"/>
          <w:lang w:val="en-US" w:eastAsia="zh-CN"/>
        </w:rPr>
        <w:t xml:space="preserve">  </w:t>
      </w:r>
    </w:p>
    <w:p w14:paraId="7F2C3814">
      <w:pPr>
        <w:ind w:firstLine="1779" w:firstLineChars="593"/>
        <w:rPr>
          <w:rFonts w:hint="default" w:ascii="宋体" w:hAnsi="宋体" w:eastAsia="宋体" w:cs="Arial"/>
          <w:caps/>
          <w:sz w:val="30"/>
          <w:szCs w:val="30"/>
          <w:u w:val="single"/>
          <w:shd w:val="clear" w:color="auto" w:fill="FFFFFF"/>
          <w:lang w:val="en-US" w:eastAsia="zh-CN"/>
        </w:rPr>
      </w:pPr>
      <w:r>
        <w:rPr>
          <w:rFonts w:ascii="宋体" w:hAnsi="宋体" w:eastAsia="宋体"/>
          <w:b w:val="0"/>
          <w:sz w:val="30"/>
          <w:szCs w:val="30"/>
        </w:rPr>
        <w:t>实验日期：_____________</w:t>
      </w:r>
      <w:r>
        <w:rPr>
          <w:rFonts w:hint="eastAsia" w:ascii="宋体" w:hAnsi="宋体"/>
          <w:b w:val="0"/>
          <w:sz w:val="30"/>
          <w:szCs w:val="30"/>
          <w:u w:val="single"/>
          <w:lang w:val="en-US" w:eastAsia="zh-CN"/>
        </w:rPr>
        <w:t>8.28</w:t>
      </w:r>
      <w:r>
        <w:rPr>
          <w:rFonts w:ascii="宋体" w:hAnsi="宋体" w:eastAsia="宋体"/>
          <w:b w:val="0"/>
          <w:sz w:val="30"/>
          <w:szCs w:val="30"/>
        </w:rPr>
        <w:t>_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</w:t>
      </w:r>
    </w:p>
    <w:p w14:paraId="5E704748">
      <w:pPr>
        <w:ind w:firstLine="1779" w:firstLineChars="593"/>
        <w:rPr>
          <w:rFonts w:hint="default" w:ascii="宋体" w:hAnsi="宋体" w:eastAsia="宋体" w:cs="Arial"/>
          <w:caps/>
          <w:sz w:val="30"/>
          <w:szCs w:val="30"/>
          <w:u w:val="single"/>
          <w:shd w:val="clear" w:color="auto" w:fill="FFFFFF"/>
          <w:lang w:val="en-US" w:eastAsia="zh-CN"/>
        </w:rPr>
      </w:pPr>
      <w:r>
        <w:rPr>
          <w:rFonts w:ascii="宋体" w:hAnsi="宋体" w:eastAsia="宋体"/>
          <w:b w:val="0"/>
          <w:sz w:val="30"/>
          <w:szCs w:val="30"/>
        </w:rPr>
        <w:t>指导教师：</w:t>
      </w:r>
      <w:r>
        <w:rPr>
          <w:rFonts w:hint="eastAsia" w:ascii="宋体" w:hAnsi="宋体"/>
          <w:b w:val="0"/>
          <w:sz w:val="30"/>
          <w:szCs w:val="30"/>
          <w:u w:val="single"/>
          <w:lang w:val="en-US" w:eastAsia="zh-CN"/>
        </w:rPr>
        <w:t xml:space="preserve">王丹，路洋                     </w:t>
      </w:r>
    </w:p>
    <w:p w14:paraId="146B8447">
      <w:pP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</w:p>
    <w:p w14:paraId="7BBE5994">
      <w:pPr>
        <w:jc w:val="center"/>
        <w:rPr>
          <w:rFonts w:ascii="宋体" w:hAnsi="宋体" w:cs="Arial"/>
          <w:caps/>
          <w:sz w:val="28"/>
          <w:szCs w:val="28"/>
          <w:shd w:val="clear" w:color="auto" w:fill="FFFFFF"/>
        </w:rPr>
      </w:pPr>
      <w:r>
        <w:rPr>
          <w:rFonts w:hint="eastAsia" w:ascii="宋体" w:hAnsi="宋体" w:cs="Arial"/>
          <w:caps/>
          <w:sz w:val="28"/>
          <w:szCs w:val="28"/>
          <w:shd w:val="clear" w:color="auto" w:fill="FFFFFF"/>
        </w:rPr>
        <w:t xml:space="preserve">                                 </w:t>
      </w:r>
    </w:p>
    <w:p w14:paraId="410DE578">
      <w:r>
        <w:br w:type="page"/>
      </w:r>
    </w:p>
    <w:p w14:paraId="74DD556F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一、实验目的</w:t>
      </w:r>
    </w:p>
    <w:p w14:paraId="2397A064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1. 掌握用伏安法测量线性电阻与非线性元件伏安特性的方法，理解电压、电流参考方向与测试接法的关系。</w:t>
      </w:r>
    </w:p>
    <w:p w14:paraId="51208BD1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2. 比较电流表外接法和电压表外接法的测量结果，分析仪表内阻引入的系统误差。</w:t>
      </w:r>
    </w:p>
    <w:p w14:paraId="75D34C3E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3. 绘制二极管IN5401 和发光二极管 D</w:t>
      </w:r>
      <w:r>
        <w:rPr>
          <w:rFonts w:hint="eastAsia" w:ascii="宋体" w:hAnsi="宋体"/>
          <w:b w:val="0"/>
          <w:sz w:val="21"/>
          <w:lang w:val="en-US" w:eastAsia="zh-CN"/>
        </w:rPr>
        <w:t>4</w:t>
      </w:r>
      <w:r>
        <w:rPr>
          <w:rFonts w:ascii="宋体" w:hAnsi="宋体" w:eastAsia="宋体"/>
          <w:b w:val="0"/>
          <w:sz w:val="21"/>
        </w:rPr>
        <w:t>的正、反向伏安特性曲线，识别其非线性与单向导电特性。</w:t>
      </w:r>
    </w:p>
    <w:p w14:paraId="04E94DC8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二、实验原理</w:t>
      </w:r>
    </w:p>
    <w:p w14:paraId="71C1AD1F">
      <w:pPr>
        <w:spacing w:after="60" w:line="324" w:lineRule="auto"/>
        <w:ind w:firstLine="420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线性电阻元件满足欧姆定律 U＝RI，其 U–I 图像为过原点的直线，斜率反映电阻值。非线性元件的 U–I 关系不是直线，电阻随工作点而变；二极管和发光二极管的正、反向特性还具有方向性。</w:t>
      </w:r>
    </w:p>
    <w:p w14:paraId="17F2DE23">
      <w:pPr>
        <w:spacing w:after="60" w:line="324" w:lineRule="auto"/>
        <w:ind w:firstLine="420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伏安法中，电流表应串联、电压表应并联。电流表</w:t>
      </w:r>
      <w:r>
        <w:rPr>
          <w:rFonts w:hint="eastAsia" w:ascii="宋体" w:hAnsi="宋体"/>
          <w:b w:val="0"/>
          <w:sz w:val="21"/>
          <w:lang w:val="en-US" w:eastAsia="zh-CN"/>
        </w:rPr>
        <w:t>内</w:t>
      </w:r>
      <w:r>
        <w:rPr>
          <w:rFonts w:ascii="宋体" w:hAnsi="宋体" w:eastAsia="宋体"/>
          <w:b w:val="0"/>
          <w:sz w:val="21"/>
        </w:rPr>
        <w:t>接时</w:t>
      </w:r>
      <w:r>
        <w:rPr>
          <w:rFonts w:hint="eastAsia" w:ascii="宋体" w:hAnsi="宋体" w:eastAsia="宋体"/>
          <w:b w:val="0"/>
          <w:sz w:val="21"/>
          <w:lang w:eastAsia="zh-CN"/>
        </w:rPr>
        <w:t>，</w:t>
      </w:r>
      <w:r>
        <w:rPr>
          <w:rFonts w:ascii="宋体" w:hAnsi="宋体" w:eastAsia="宋体"/>
          <w:b w:val="0"/>
          <w:sz w:val="21"/>
        </w:rPr>
        <w:t>电压表读到被测支路与电流表的总电压，适宜测量</w:t>
      </w:r>
      <w:r>
        <w:rPr>
          <w:rFonts w:hint="eastAsia" w:ascii="宋体" w:hAnsi="宋体"/>
          <w:b w:val="0"/>
          <w:sz w:val="21"/>
          <w:lang w:val="en-US" w:eastAsia="zh-CN"/>
        </w:rPr>
        <w:t>大</w:t>
      </w:r>
      <w:r>
        <w:rPr>
          <w:rFonts w:ascii="宋体" w:hAnsi="宋体" w:eastAsia="宋体"/>
          <w:b w:val="0"/>
          <w:sz w:val="21"/>
        </w:rPr>
        <w:t>电阻；电压表</w:t>
      </w:r>
      <w:r>
        <w:rPr>
          <w:rFonts w:hint="eastAsia" w:ascii="宋体" w:hAnsi="宋体"/>
          <w:b w:val="0"/>
          <w:sz w:val="21"/>
          <w:lang w:val="en-US" w:eastAsia="zh-CN"/>
        </w:rPr>
        <w:t>内</w:t>
      </w:r>
      <w:r>
        <w:rPr>
          <w:rFonts w:ascii="宋体" w:hAnsi="宋体" w:eastAsia="宋体"/>
          <w:b w:val="0"/>
          <w:sz w:val="21"/>
        </w:rPr>
        <w:t>接时电流表读到被测元件与电压表支路的总电流，适宜测量</w:t>
      </w:r>
      <w:r>
        <w:rPr>
          <w:rFonts w:hint="eastAsia" w:ascii="宋体" w:hAnsi="宋体"/>
          <w:b w:val="0"/>
          <w:sz w:val="21"/>
          <w:lang w:val="en-US" w:eastAsia="zh-CN"/>
        </w:rPr>
        <w:t>小</w:t>
      </w:r>
      <w:r>
        <w:rPr>
          <w:rFonts w:ascii="宋体" w:hAnsi="宋体" w:eastAsia="宋体"/>
          <w:b w:val="0"/>
          <w:sz w:val="21"/>
        </w:rPr>
        <w:t>电阻。</w:t>
      </w:r>
    </w:p>
    <w:p w14:paraId="7B921182">
      <w:pPr>
        <w:spacing w:after="60" w:line="324" w:lineRule="auto"/>
        <w:ind w:firstLine="420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对线性电阻，在温度近似恒定且处于额定工作范围内，端电压与电流满足U=RI。若以U为横轴、I为纵轴，图线为通过原点的直线，斜率为1/R；若以I为横轴、U为纵轴，斜率为R。正、反向同时测得的直线应关于原点对称，这是无方向线性元件的重要判据。</w:t>
      </w:r>
    </w:p>
    <w:p w14:paraId="04ABB69F">
      <w:pPr>
        <w:spacing w:after="60" w:line="324" w:lineRule="auto"/>
        <w:ind w:firstLine="420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二极管和发光二极管属于PN结非线性元件。正向偏置时，低电压区电流很小，超过导通区后电流迅速增加；反向偏置时仅有很小的反向漏电流，未达到击穿电压前不应出现显著反向电流。发光二极管的正向压降通常高于普通硅二极管，且其测试支路中的限流电阻会共同决定外部测得的U–I曲线斜率。</w:t>
      </w:r>
    </w:p>
    <w:p w14:paraId="4BC211C2">
      <w:pPr>
        <w:spacing w:after="60" w:line="324" w:lineRule="auto"/>
        <w:ind w:firstLine="420"/>
        <w:rPr>
          <w:rFonts w:ascii="宋体" w:hAnsi="宋体" w:eastAsia="宋体"/>
          <w:b w:val="0"/>
          <w:sz w:val="21"/>
        </w:rPr>
      </w:pPr>
      <w:r>
        <w:rPr>
          <w:rFonts w:ascii="宋体" w:hAnsi="宋体" w:eastAsia="宋体"/>
          <w:b w:val="0"/>
          <w:sz w:val="21"/>
        </w:rPr>
        <w:t>两种伏安法的误差可由仪表内阻解释：电流表外接时，电压表测得的是被测电阻与电流表的总压降，所得电阻偏大；电压表外接时，电流表读到被测电阻电流与电压表分流电流之和，所得电阻偏小。因而小电阻宜优先采用电流表外接法，大电阻宜优先采用电压表外接法。</w:t>
      </w:r>
    </w:p>
    <w:p w14:paraId="022B2D30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三、实验电路与仪器</w:t>
      </w:r>
    </w:p>
    <w:p w14:paraId="3EBCE9E7">
      <w:pPr>
        <w:spacing w:after="40"/>
        <w:jc w:val="center"/>
      </w:pPr>
      <w:r>
        <w:drawing>
          <wp:inline distT="0" distB="0" distL="114300" distR="114300">
            <wp:extent cx="4859655" cy="2092960"/>
            <wp:effectExtent l="0" t="0" r="762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9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C25C">
      <w:pPr>
        <w:spacing w:after="120" w:line="324" w:lineRule="auto"/>
        <w:jc w:val="center"/>
      </w:pPr>
      <w:r>
        <w:rPr>
          <w:rFonts w:ascii="宋体" w:hAnsi="宋体" w:eastAsia="宋体"/>
          <w:b w:val="0"/>
          <w:sz w:val="19"/>
        </w:rPr>
        <w:t>图1  指导书图4：电流表外接法与电压表外接法（原图）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9"/>
        <w:gridCol w:w="3020"/>
        <w:gridCol w:w="3019"/>
      </w:tblGrid>
      <w:tr w14:paraId="68969806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AF7"/>
            <w:vAlign w:val="center"/>
          </w:tcPr>
          <w:p w14:paraId="25F4FC70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仪器/器材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18FC7122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规格或用途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08C70B3C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数量</w:t>
            </w:r>
          </w:p>
        </w:tc>
      </w:tr>
      <w:tr w14:paraId="10D5F198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30B70B2C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电路原理实验箱</w:t>
            </w:r>
          </w:p>
        </w:tc>
        <w:tc>
          <w:tcPr>
            <w:tcW w:w="3024" w:type="dxa"/>
            <w:vAlign w:val="center"/>
          </w:tcPr>
          <w:p w14:paraId="39EBB6C5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元件伏安特性的研究单元</w:t>
            </w:r>
          </w:p>
        </w:tc>
        <w:tc>
          <w:tcPr>
            <w:tcW w:w="3024" w:type="dxa"/>
            <w:vAlign w:val="center"/>
          </w:tcPr>
          <w:p w14:paraId="74270C32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1台</w:t>
            </w:r>
          </w:p>
        </w:tc>
      </w:tr>
      <w:tr w14:paraId="0E1A477F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53AAE2A5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直流稳压电源</w:t>
            </w:r>
          </w:p>
        </w:tc>
        <w:tc>
          <w:tcPr>
            <w:tcW w:w="3024" w:type="dxa"/>
            <w:vAlign w:val="center"/>
          </w:tcPr>
          <w:p w14:paraId="2A0C6892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0～24 V</w:t>
            </w:r>
          </w:p>
        </w:tc>
        <w:tc>
          <w:tcPr>
            <w:tcW w:w="3024" w:type="dxa"/>
            <w:vAlign w:val="center"/>
          </w:tcPr>
          <w:p w14:paraId="0F029331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1台</w:t>
            </w:r>
          </w:p>
        </w:tc>
      </w:tr>
      <w:tr w14:paraId="64A568A0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2C55D70B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直流电流表/万用表</w:t>
            </w:r>
          </w:p>
        </w:tc>
        <w:tc>
          <w:tcPr>
            <w:tcW w:w="3024" w:type="dxa"/>
            <w:vAlign w:val="center"/>
          </w:tcPr>
          <w:p w14:paraId="555F32D3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mA、µA量程</w:t>
            </w:r>
          </w:p>
        </w:tc>
        <w:tc>
          <w:tcPr>
            <w:tcW w:w="3024" w:type="dxa"/>
            <w:vAlign w:val="center"/>
          </w:tcPr>
          <w:p w14:paraId="4E7958DB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各1只</w:t>
            </w:r>
          </w:p>
        </w:tc>
      </w:tr>
      <w:tr w14:paraId="37F9D87D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2989BB6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直流电压表/万用表</w:t>
            </w:r>
          </w:p>
        </w:tc>
        <w:tc>
          <w:tcPr>
            <w:tcW w:w="3024" w:type="dxa"/>
            <w:vAlign w:val="center"/>
          </w:tcPr>
          <w:p w14:paraId="55F08384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直流电压测量</w:t>
            </w:r>
          </w:p>
        </w:tc>
        <w:tc>
          <w:tcPr>
            <w:tcW w:w="3024" w:type="dxa"/>
            <w:vAlign w:val="center"/>
          </w:tcPr>
          <w:p w14:paraId="1C41D925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1只</w:t>
            </w:r>
          </w:p>
        </w:tc>
      </w:tr>
      <w:tr w14:paraId="3D0D2E3D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78604E9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被测元件</w:t>
            </w:r>
          </w:p>
        </w:tc>
        <w:tc>
          <w:tcPr>
            <w:tcW w:w="3024" w:type="dxa"/>
            <w:vAlign w:val="center"/>
          </w:tcPr>
          <w:p w14:paraId="7E991C7F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R1≈120 Ω、R2≈51 Ω、IN5401、D4 LED</w:t>
            </w:r>
          </w:p>
        </w:tc>
        <w:tc>
          <w:tcPr>
            <w:tcW w:w="3024" w:type="dxa"/>
            <w:vAlign w:val="center"/>
          </w:tcPr>
          <w:p w14:paraId="0CA197AD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若干</w:t>
            </w:r>
          </w:p>
        </w:tc>
      </w:tr>
    </w:tbl>
    <w:p w14:paraId="24DCFA2D">
      <w:pPr>
        <w:spacing w:after="20"/>
      </w:pPr>
    </w:p>
    <w:p w14:paraId="2222CF93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四、实验步骤</w:t>
      </w:r>
    </w:p>
    <w:p w14:paraId="38C6C23F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按图1分别搭建两种伏安法接线。先将电源调至零，再逐点升/降压或升/降流，记录线性电阻的正反向读数；随后测试 IN5401、D4 的正反向特性。D4 测量支路串有实验箱内置1 kΩ限流电阻，反向测试时严格限制电压和电流。</w:t>
      </w:r>
    </w:p>
    <w:p w14:paraId="3D99E5FB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五、原始记录与结果分析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58"/>
      </w:tblGrid>
      <w:tr w14:paraId="5D40C257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vAlign w:val="center"/>
          </w:tcPr>
          <w:p w14:paraId="386F5C78">
            <w:pPr>
              <w:spacing w:before="480" w:after="480"/>
              <w:jc w:val="center"/>
            </w:pPr>
            <w:r>
              <w:drawing>
                <wp:inline distT="0" distB="0" distL="114300" distR="114300">
                  <wp:extent cx="5607685" cy="8298180"/>
                  <wp:effectExtent l="0" t="0" r="2540" b="7620"/>
                  <wp:docPr id="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7685" cy="8298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606415" cy="7657465"/>
                  <wp:effectExtent l="0" t="0" r="3810" b="635"/>
                  <wp:docPr id="7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6415" cy="7657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5609590" cy="7862570"/>
                  <wp:effectExtent l="0" t="0" r="635" b="5080"/>
                  <wp:docPr id="8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9590" cy="786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347556">
      <w:pPr>
        <w:keepNext/>
        <w:spacing w:before="120" w:after="100"/>
      </w:pPr>
      <w:r>
        <w:rPr>
          <w:rFonts w:ascii="宋体" w:hAnsi="宋体" w:eastAsia="宋体"/>
          <w:b/>
          <w:sz w:val="24"/>
        </w:rPr>
        <w:t>5.1 线性电阻元件</w:t>
      </w:r>
    </w:p>
    <w:p w14:paraId="0E01DB9C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R≈120 Ω</w:t>
      </w:r>
      <w:r>
        <w:rPr>
          <w:rFonts w:hint="eastAsia" w:ascii="宋体" w:hAnsi="宋体" w:eastAsia="宋体"/>
          <w:b w:val="0"/>
          <w:sz w:val="21"/>
        </w:rPr>
        <w:t>在两种伏安法接线下的正、反向测量结果中</w:t>
      </w:r>
      <w:r>
        <w:rPr>
          <w:rFonts w:ascii="宋体" w:hAnsi="宋体" w:eastAsia="宋体"/>
          <w:b w:val="0"/>
          <w:sz w:val="21"/>
        </w:rPr>
        <w:t>，计算电阻主要落在118.3～119.4 Ω；相对120 Ω标称值的最大偏差约1.4%。R≈51 Ω 的记录主要落在45～55 Ω，除低电压小电流点受分辨率影响较大外，主工作区与标称值相符。正、反向数据近似关于原点对称，说明两只电阻为无方向的线性元件。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9"/>
        <w:gridCol w:w="3019"/>
        <w:gridCol w:w="3020"/>
      </w:tblGrid>
      <w:tr w14:paraId="78EB4471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AF7"/>
            <w:vAlign w:val="center"/>
          </w:tcPr>
          <w:p w14:paraId="4978ABA9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对象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7A94D085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代表性数据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7D5EE8AA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计算/判断</w:t>
            </w:r>
          </w:p>
        </w:tc>
      </w:tr>
      <w:tr w14:paraId="1A9BCC43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12786A56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R≈120 Ω</w:t>
            </w:r>
          </w:p>
        </w:tc>
        <w:tc>
          <w:tcPr>
            <w:tcW w:w="3024" w:type="dxa"/>
            <w:vAlign w:val="center"/>
          </w:tcPr>
          <w:p w14:paraId="3DDD8AD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U＝10 V 时 I＝84.1 mA</w:t>
            </w:r>
          </w:p>
        </w:tc>
        <w:tc>
          <w:tcPr>
            <w:tcW w:w="3024" w:type="dxa"/>
            <w:vAlign w:val="center"/>
          </w:tcPr>
          <w:p w14:paraId="529A7A9D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R＝U/I≈118.9 Ω</w:t>
            </w:r>
          </w:p>
        </w:tc>
      </w:tr>
      <w:tr w14:paraId="64A57868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533A2C22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R≈51 Ω</w:t>
            </w:r>
          </w:p>
        </w:tc>
        <w:tc>
          <w:tcPr>
            <w:tcW w:w="3024" w:type="dxa"/>
            <w:vAlign w:val="center"/>
          </w:tcPr>
          <w:p w14:paraId="23748EB7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I＝10 mA 时 U≈0.50～0.51 V</w:t>
            </w:r>
          </w:p>
        </w:tc>
        <w:tc>
          <w:tcPr>
            <w:tcW w:w="3024" w:type="dxa"/>
            <w:vAlign w:val="center"/>
          </w:tcPr>
          <w:p w14:paraId="440056E8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R≈50～51 Ω</w:t>
            </w:r>
          </w:p>
        </w:tc>
      </w:tr>
      <w:tr w14:paraId="4A3A95EB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center"/>
          </w:tcPr>
          <w:p w14:paraId="16E6438E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正反向比较</w:t>
            </w:r>
          </w:p>
        </w:tc>
        <w:tc>
          <w:tcPr>
            <w:tcW w:w="3024" w:type="dxa"/>
            <w:vAlign w:val="center"/>
          </w:tcPr>
          <w:p w14:paraId="003BE6F4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正、负同幅值下读数符号相反</w:t>
            </w:r>
          </w:p>
        </w:tc>
        <w:tc>
          <w:tcPr>
            <w:tcW w:w="3024" w:type="dxa"/>
            <w:vAlign w:val="center"/>
          </w:tcPr>
          <w:p w14:paraId="18B8CE51">
            <w:pPr>
              <w:spacing w:after="20"/>
            </w:pPr>
            <w:r>
              <w:rPr>
                <w:rFonts w:ascii="宋体" w:hAnsi="宋体" w:eastAsia="宋体"/>
                <w:b w:val="0"/>
                <w:sz w:val="18"/>
              </w:rPr>
              <w:t>U–I 近似过原点直线</w:t>
            </w:r>
          </w:p>
        </w:tc>
      </w:tr>
    </w:tbl>
    <w:p w14:paraId="16DEA109">
      <w:pPr>
        <w:spacing w:after="20"/>
      </w:pPr>
    </w:p>
    <w:p w14:paraId="2A9BB0F3">
      <w:pPr>
        <w:keepNext/>
        <w:spacing w:before="120" w:after="100"/>
      </w:pPr>
      <w:r>
        <w:rPr>
          <w:rFonts w:ascii="宋体" w:hAnsi="宋体" w:eastAsia="宋体"/>
          <w:b/>
          <w:sz w:val="24"/>
        </w:rPr>
        <w:t>5.2 IN5401 二极管</w:t>
      </w:r>
    </w:p>
    <w:p w14:paraId="639A2636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正向记录显示：当电流由1 mA增至10 mA，端电压约从0.550 V升至0.655 V（另一接法为0.549～0.656 V），在约0.55～0.60 V附近出现明显导通区</w:t>
      </w:r>
      <w:r>
        <w:rPr>
          <w:rFonts w:hint="eastAsia" w:ascii="宋体" w:hAnsi="宋体"/>
          <w:b w:val="0"/>
          <w:sz w:val="21"/>
          <w:lang w:eastAsia="zh-CN"/>
        </w:rPr>
        <w:t>（</w:t>
      </w:r>
      <w:r>
        <w:rPr>
          <w:rFonts w:hint="eastAsia" w:ascii="宋体" w:hAnsi="宋体"/>
          <w:b w:val="0"/>
          <w:sz w:val="21"/>
          <w:lang w:val="en-US" w:eastAsia="zh-CN"/>
        </w:rPr>
        <w:t>其实严格来说，应该是：</w:t>
      </w:r>
      <w:r>
        <w:rPr>
          <w:rFonts w:hint="eastAsia" w:ascii="宋体" w:hAnsi="宋体"/>
          <w:b w:val="0"/>
          <w:sz w:val="21"/>
          <w:lang w:eastAsia="zh-CN"/>
        </w:rPr>
        <w:t>在本实验 1～10 mA 的测量范围内，正向压降约为 0.55～0.66 V，随正向电压增加，电流迅速增大）</w:t>
      </w:r>
      <w:r>
        <w:rPr>
          <w:rFonts w:ascii="宋体" w:hAnsi="宋体" w:eastAsia="宋体"/>
          <w:b w:val="0"/>
          <w:sz w:val="21"/>
        </w:rPr>
        <w:t xml:space="preserve">。反向0～20 V范围内电流仅约1～7 </w:t>
      </w:r>
      <w:r>
        <w:rPr>
          <w:rFonts w:hint="eastAsia" w:ascii="宋体" w:hAnsi="宋体"/>
          <w:b w:val="0"/>
          <w:sz w:val="21"/>
          <w:lang w:val="en-US" w:eastAsia="zh-CN"/>
        </w:rPr>
        <w:t>n</w:t>
      </w:r>
      <w:r>
        <w:rPr>
          <w:rFonts w:ascii="宋体" w:hAnsi="宋体" w:eastAsia="宋体"/>
          <w:b w:val="0"/>
          <w:sz w:val="21"/>
        </w:rPr>
        <w:t>A，远小于正向毫安量级，未出现反向击穿，体现了二极管的单向导电性。</w:t>
      </w:r>
    </w:p>
    <w:p w14:paraId="600067A3">
      <w:pPr>
        <w:keepNext/>
        <w:spacing w:before="120" w:after="100"/>
      </w:pPr>
      <w:r>
        <w:rPr>
          <w:rFonts w:ascii="宋体" w:hAnsi="宋体" w:eastAsia="宋体"/>
          <w:b/>
          <w:sz w:val="24"/>
        </w:rPr>
        <w:t>5.3 D4 发光二极管：附表13～16曲线</w:t>
      </w:r>
    </w:p>
    <w:p w14:paraId="622F5117">
      <w:pPr>
        <w:spacing w:after="60" w:line="324" w:lineRule="auto"/>
        <w:ind w:firstLine="420"/>
      </w:pPr>
      <w:r>
        <w:t>以下四图依据手工添加的实验数据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由python脚本</w:t>
      </w:r>
      <w:r>
        <w:t>绘制：线性电阻 R1=120 Ω 分别采用 u-i 和 i-u 坐标；IN5401 和高亮发光二极管在同一坐标系中绘制正、反向伏安特性。两种接法的数据分别叠加，反向漏电流按微安数据换算为毫安后保留其符号。</w:t>
      </w:r>
    </w:p>
    <w:p w14:paraId="4789BB54">
      <w:pPr>
        <w:spacing w:before="60" w:after="120"/>
        <w:jc w:val="center"/>
        <w:rPr>
          <w:rFonts w:hint="eastAsia" w:ascii="宋体" w:hAnsi="宋体" w:cs="宋体"/>
          <w:color w:val="FF0000"/>
          <w:sz w:val="24"/>
          <w:szCs w:val="24"/>
          <w:lang w:eastAsia="zh-CN"/>
        </w:rPr>
      </w:pPr>
      <w:r>
        <w:rPr>
          <w:rFonts w:hint="eastAsia" w:ascii="宋体" w:hAnsi="宋体" w:cs="宋体"/>
          <w:color w:val="FF0000"/>
          <w:sz w:val="24"/>
          <w:szCs w:val="24"/>
          <w:lang w:val="en-US" w:eastAsia="zh-CN"/>
        </w:rPr>
        <w:t>注意，</w:t>
      </w:r>
      <w:r>
        <w:rPr>
          <w:rFonts w:ascii="宋体" w:hAnsi="宋体" w:eastAsia="宋体" w:cs="宋体"/>
          <w:color w:val="FF0000"/>
          <w:sz w:val="24"/>
          <w:szCs w:val="24"/>
        </w:rPr>
        <w:t xml:space="preserve">D4 支路中有 </w:t>
      </w:r>
      <w:r>
        <w:rPr>
          <w:rStyle w:val="15"/>
          <w:rFonts w:ascii="宋体" w:hAnsi="宋体" w:eastAsia="宋体" w:cs="宋体"/>
          <w:color w:val="FF0000"/>
          <w:sz w:val="24"/>
          <w:szCs w:val="24"/>
        </w:rPr>
        <w:t>1 kΩ 限流电阻</w:t>
      </w:r>
      <w:r>
        <w:rPr>
          <w:rStyle w:val="15"/>
          <w:rFonts w:hint="eastAsia" w:ascii="宋体" w:hAnsi="宋体" w:cs="宋体"/>
          <w:color w:val="FF0000"/>
          <w:sz w:val="24"/>
          <w:szCs w:val="24"/>
          <w:lang w:eastAsia="zh-CN"/>
        </w:rPr>
        <w:t>！</w:t>
      </w:r>
      <w:r>
        <w:rPr>
          <w:rFonts w:ascii="宋体" w:hAnsi="宋体" w:eastAsia="宋体" w:cs="宋体"/>
          <w:color w:val="FF0000"/>
          <w:sz w:val="24"/>
          <w:szCs w:val="24"/>
        </w:rPr>
        <w:t>所以图中的横坐标实际上对应</w:t>
      </w:r>
      <w:r>
        <w:rPr>
          <w:rFonts w:hint="eastAsia" w:ascii="宋体" w:hAnsi="宋体" w:cs="宋体"/>
          <w:color w:val="FF0000"/>
          <w:sz w:val="24"/>
          <w:szCs w:val="24"/>
          <w:lang w:eastAsia="zh-CN"/>
        </w:rPr>
        <w:t>：</w:t>
      </w:r>
    </w:p>
    <w:p w14:paraId="599BB8B2">
      <w:pPr>
        <w:spacing w:before="60" w:after="120"/>
        <w:jc w:val="center"/>
      </w:pPr>
      <w:r>
        <w:rPr>
          <w:rFonts w:ascii="宋体" w:hAnsi="宋体" w:eastAsia="宋体" w:cs="宋体"/>
          <w:color w:val="FF0000"/>
          <w:sz w:val="32"/>
          <w:szCs w:val="32"/>
        </w:rPr>
        <w:t>U测​=ULED​+IRs​</w:t>
      </w:r>
    </w:p>
    <w:p w14:paraId="398415B7">
      <w:pPr>
        <w:spacing w:before="60" w:after="0"/>
        <w:jc w:val="center"/>
      </w:pPr>
      <w:r>
        <w:drawing>
          <wp:inline distT="0" distB="0" distL="114300" distR="114300">
            <wp:extent cx="5989320" cy="4117340"/>
            <wp:effectExtent l="0" t="0" r="1905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1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013C0">
      <w:pPr>
        <w:spacing w:before="60" w:after="120"/>
        <w:jc w:val="center"/>
        <w:rPr>
          <w:rFonts w:hint="eastAsia" w:ascii="宋体" w:hAnsi="宋体"/>
          <w:sz w:val="21"/>
          <w:lang w:val="en-US" w:eastAsia="zh-CN"/>
        </w:rPr>
      </w:pPr>
      <w:r>
        <w:rPr>
          <w:rFonts w:ascii="宋体" w:hAnsi="宋体" w:eastAsia="宋体"/>
          <w:sz w:val="21"/>
        </w:rPr>
        <w:t>图 2 依据手工实验数据重绘的四个伏安特性曲线</w:t>
      </w:r>
      <w:r>
        <w:rPr>
          <w:rFonts w:hint="eastAsia" w:ascii="宋体" w:hAnsi="宋体"/>
          <w:sz w:val="21"/>
          <w:lang w:eastAsia="zh-CN"/>
        </w:rPr>
        <w:t>，</w:t>
      </w:r>
      <w:r>
        <w:rPr>
          <w:rFonts w:hint="eastAsia" w:ascii="宋体" w:hAnsi="宋体"/>
          <w:sz w:val="21"/>
          <w:lang w:val="en-US" w:eastAsia="zh-CN"/>
        </w:rPr>
        <w:t>严格来说，（d）应该叫做：</w:t>
      </w:r>
    </w:p>
    <w:p w14:paraId="1EF390A2">
      <w:pPr>
        <w:spacing w:before="60" w:after="120"/>
        <w:jc w:val="center"/>
        <w:rPr>
          <w:rFonts w:hint="eastAsia" w:ascii="宋体" w:hAnsi="宋体" w:eastAsia="宋体"/>
          <w:color w:val="FF0000"/>
          <w:sz w:val="21"/>
          <w:lang w:val="en-US" w:eastAsia="zh-CN"/>
        </w:rPr>
      </w:pPr>
      <w:r>
        <w:rPr>
          <w:rFonts w:hint="eastAsia" w:ascii="宋体" w:hAnsi="宋体"/>
          <w:color w:val="FF0000"/>
          <w:sz w:val="21"/>
          <w:lang w:val="en-US" w:eastAsia="zh-CN"/>
        </w:rPr>
        <w:t>“</w:t>
      </w:r>
      <w:r>
        <w:rPr>
          <w:rFonts w:ascii="宋体" w:hAnsi="宋体" w:eastAsia="宋体" w:cs="宋体"/>
          <w:color w:val="FF0000"/>
          <w:sz w:val="24"/>
          <w:szCs w:val="24"/>
        </w:rPr>
        <w:t>含 1 kΩ 限流电阻的 D4 测试支路外部伏安特性</w:t>
      </w:r>
      <w:r>
        <w:rPr>
          <w:rFonts w:hint="eastAsia" w:ascii="宋体" w:hAnsi="宋体" w:cs="宋体"/>
          <w:color w:val="FF0000"/>
          <w:sz w:val="24"/>
          <w:szCs w:val="24"/>
          <w:lang w:eastAsia="zh-CN"/>
        </w:rPr>
        <w:t>”</w:t>
      </w:r>
    </w:p>
    <w:p w14:paraId="76FC2BE5">
      <w:pPr>
        <w:spacing w:before="60" w:after="120"/>
        <w:jc w:val="both"/>
        <w:rPr>
          <w:rFonts w:hint="eastAsia" w:ascii="宋体" w:hAnsi="宋体" w:eastAsia="宋体" w:cs="宋体"/>
          <w:color w:val="0000FF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inline distT="0" distB="0" distL="114300" distR="114300">
            <wp:extent cx="5236845" cy="3429000"/>
            <wp:effectExtent l="0" t="0" r="1905" b="0"/>
            <wp:docPr id="2" name="图片 2" descr="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684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791A">
      <w:pPr>
        <w:spacing w:before="60" w:after="120"/>
        <w:jc w:val="center"/>
        <w:rPr>
          <w:rFonts w:hint="default" w:ascii="宋体" w:hAnsi="宋体" w:eastAsia="宋体" w:cs="宋体"/>
          <w:b/>
          <w:bCs/>
          <w:color w:val="0000FF"/>
          <w:sz w:val="24"/>
          <w:szCs w:val="24"/>
          <w:lang w:val="en-US" w:eastAsia="zh-CN"/>
        </w:rPr>
      </w:pPr>
      <w:bookmarkStart w:id="0" w:name="_GoBack"/>
      <w:bookmarkEnd w:id="0"/>
      <w:r>
        <w:rPr>
          <w:rFonts w:hint="eastAsia" w:ascii="宋体" w:hAnsi="宋体" w:cs="宋体"/>
          <w:b/>
          <w:bCs/>
          <w:color w:val="0000FF"/>
          <w:sz w:val="24"/>
          <w:szCs w:val="24"/>
          <w:lang w:val="en-US" w:eastAsia="zh-CN"/>
        </w:rPr>
        <w:t>这才是D4的伏安特性曲线</w:t>
      </w:r>
    </w:p>
    <w:p w14:paraId="0376D4AA">
      <w:pPr>
        <w:spacing w:before="60" w:after="120"/>
        <w:jc w:val="center"/>
      </w:pPr>
      <w:r>
        <w:rPr>
          <w:rFonts w:ascii="宋体" w:hAnsi="宋体" w:eastAsia="宋体"/>
          <w:b w:val="0"/>
          <w:sz w:val="21"/>
        </w:rPr>
        <w:t>两组正向数据在1～10 mA内近似呈单调上升，带限流支路的平均斜率约为1.0 V/mA，对应串联限流电阻约1 kΩ；外推截距约为1.8～2.0 V，符合LED的典型导通压降量级。两组反向曲线均显示0～20 V内反向电流不超过2 µA，未发生击穿。</w:t>
      </w:r>
    </w:p>
    <w:p w14:paraId="43BC4BF7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六、误差分析</w:t>
      </w:r>
    </w:p>
    <w:p w14:paraId="723A0018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1. 电流表内阻和电压表有限输入电阻会改变被测支路的等效电阻，是两种接法结果不同的主要系统误差来源。小阻值元件更应注意电流表压降，大阻值元件更应注意电压表分流。</w:t>
      </w:r>
    </w:p>
    <w:p w14:paraId="70D61FE6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2. 电阻允差、导线与接触电阻、稳压源带载波动，以及小电流区的末位分辨率，都会使 U/I 在低读数处偏离标称值。</w:t>
      </w:r>
    </w:p>
    <w:p w14:paraId="66985F4C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3. 非线性元件温度敏感，连续测量时结温上升会改变导通电压；反向微安量级数据还易受表计零漂、漏电流和接线清洁度影响。</w:t>
      </w:r>
    </w:p>
    <w:p w14:paraId="64E0CBDC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七、思考题与结论</w:t>
      </w:r>
    </w:p>
    <w:p w14:paraId="1D27CC80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电流表应与被测元件串联，其内阻应尽可能小；电压表应与被测元件并联，其内阻应尽可能大。开路意味着等效电阻趋于无穷大、电流为零；短路意味着等效电阻趋于零、端电压为零。三端电位器可接作可变电阻、分压器或固定电阻。</w:t>
      </w:r>
    </w:p>
    <w:p w14:paraId="2030618B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实验结果表明：线性电阻的正反向伏安关系近似为过原点直线，满足欧姆定律；IN5401和D4均呈显著的单向非线性。两种伏安法的差异验证了仪表内阻对测量结果的影响。</w:t>
      </w:r>
    </w:p>
    <w:sectPr>
      <w:pgSz w:w="11906" w:h="16838"/>
      <w:pgMar w:top="1247" w:right="1417" w:bottom="1247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008C"/>
    <w:rsid w:val="005E12C8"/>
    <w:rsid w:val="005E14F8"/>
    <w:rsid w:val="0075008C"/>
    <w:rsid w:val="00F474AE"/>
    <w:rsid w:val="08D00564"/>
    <w:rsid w:val="0C6651EB"/>
    <w:rsid w:val="103C0E23"/>
    <w:rsid w:val="167066C5"/>
    <w:rsid w:val="1D05518A"/>
    <w:rsid w:val="2CBE3D39"/>
    <w:rsid w:val="2F9A2F65"/>
    <w:rsid w:val="3E525794"/>
    <w:rsid w:val="46BC5778"/>
    <w:rsid w:val="5681344D"/>
    <w:rsid w:val="5EC61042"/>
    <w:rsid w:val="5FC719CC"/>
    <w:rsid w:val="6C656F66"/>
    <w:rsid w:val="72605598"/>
    <w:rsid w:val="75C7765A"/>
    <w:rsid w:val="7A6120E4"/>
    <w:rsid w:val="7BC24886"/>
    <w:rsid w:val="7E3E5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 w:line="278" w:lineRule="auto"/>
      <w:jc w:val="left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  <w14:ligatures w14:val="standardContextual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 w:line="278" w:lineRule="auto"/>
      <w:jc w:val="left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  <w14:ligatures w14:val="standardContextual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 w:line="278" w:lineRule="auto"/>
      <w:jc w:val="left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  <w14:ligatures w14:val="standardContextual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 w:line="278" w:lineRule="auto"/>
      <w:jc w:val="left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  <w14:ligatures w14:val="standardContextual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 w:line="278" w:lineRule="auto"/>
      <w:jc w:val="left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14:ligatures w14:val="standardContextual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line="278" w:lineRule="auto"/>
      <w:jc w:val="left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 w:val="22"/>
      <w14:ligatures w14:val="standardContextual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line="278" w:lineRule="auto"/>
      <w:jc w:val="left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line="278" w:lineRule="auto"/>
      <w:jc w:val="left"/>
      <w:outlineLvl w:val="7"/>
    </w:pPr>
    <w:rPr>
      <w:rFonts w:asciiTheme="minorHAnsi" w:hAnsiTheme="minorHAnsi" w:eastAsiaTheme="minorEastAsia" w:cstheme="majorBidi"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line="278" w:lineRule="auto"/>
      <w:jc w:val="left"/>
      <w:outlineLvl w:val="8"/>
    </w:pPr>
    <w:rPr>
      <w:rFonts w:asciiTheme="minorHAnsi" w:hAnsiTheme="minorHAnsi" w:eastAsiaTheme="majorEastAsia" w:cstheme="majorBidi"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spacing w:after="160" w:line="278" w:lineRule="auto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2">
    <w:name w:val="Title"/>
    <w:basedOn w:val="1"/>
    <w:next w:val="1"/>
    <w:link w:val="25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  <w14:ligatures w14:val="standardContextual"/>
    </w:rPr>
  </w:style>
  <w:style w:type="character" w:styleId="15">
    <w:name w:val="Strong"/>
    <w:basedOn w:val="14"/>
    <w:qFormat/>
    <w:uiPriority w:val="22"/>
    <w:rPr>
      <w:b/>
    </w:rPr>
  </w:style>
  <w:style w:type="character" w:customStyle="1" w:styleId="16">
    <w:name w:val="标题 1 字符"/>
    <w:basedOn w:val="14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 w:line="278" w:lineRule="auto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 w:val="22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8">
    <w:name w:val="引用 字符"/>
    <w:basedOn w:val="14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spacing w:after="160" w:line="278" w:lineRule="auto"/>
      <w:ind w:left="720"/>
      <w:contextualSpacing/>
      <w:jc w:val="left"/>
    </w:pPr>
    <w:rPr>
      <w:rFonts w:asciiTheme="minorHAnsi" w:hAnsiTheme="minorHAnsi" w:eastAsiaTheme="minorEastAsia" w:cstheme="minorBidi"/>
      <w:sz w:val="22"/>
      <w14:ligatures w14:val="standardContextual"/>
    </w:r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 w:val="22"/>
      <w14:ligatures w14:val="standardContextual"/>
    </w:rPr>
  </w:style>
  <w:style w:type="character" w:customStyle="1" w:styleId="32">
    <w:name w:val="明显引用 字符"/>
    <w:basedOn w:val="14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https://www.nju.edu.cn/__local/F/7A/1D/91723945F34FAA0A9C67700CF8F_13B47AE2_E3A7.png" TargetMode="Externa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2051</Words>
  <Characters>2268</Characters>
  <Lines>82</Lines>
  <Paragraphs>82</Paragraphs>
  <TotalTime>5</TotalTime>
  <ScaleCrop>false</ScaleCrop>
  <LinksUpToDate>false</LinksUpToDate>
  <CharactersWithSpaces>2549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2026-08-28T04:10:00Z</dcterms:created>
  <dc:creator>Lu, Yang</dc:creator>
  <cp:lastModifiedBy>眭子健</cp:lastModifiedBy>
  <dcterms:modified xsi:type="dcterms:W3CDTF">2026-09-19T11:40:38Z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eyJoZGlkIjoiNzVjYTg0YTRhNjIzNzMzZThhNTNmMjIyOWRmODNkYzUiLCJ1c2VySWQiOiIxNzI1NjM0MTg3In0=</vt:lpwstr>
  </property>
  <property fmtid="{D5CDD505-2E9C-101B-9397-08002B2CF9AE}" pid="3" name="KSOProductBuildVer">
    <vt:lpwstr>2052-12.1.0.25865</vt:lpwstr>
  </property>
  <property fmtid="{D5CDD505-2E9C-101B-9397-08002B2CF9AE}" pid="4" name="ICV">
    <vt:lpwstr>303DDA2FDE8248ACB1CB9AFEE47F58AB_12</vt:lpwstr>
  </property>
</Properties>
</file>