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CF81C4D">
      <w:pPr>
        <w:jc w:val="center"/>
        <w:rPr>
          <w:rFonts w:hint="eastAsia" w:ascii="华文行楷" w:eastAsia="华文行楷"/>
          <w:sz w:val="80"/>
          <w:szCs w:val="80"/>
        </w:rPr>
      </w:pPr>
    </w:p>
    <w:p w14:paraId="756282C5">
      <w:pPr>
        <w:jc w:val="center"/>
        <w:rPr>
          <w:rFonts w:hint="eastAsia" w:ascii="宋体" w:hAnsi="宋体"/>
          <w:szCs w:val="21"/>
        </w:rPr>
      </w:pPr>
      <w:r>
        <w:fldChar w:fldCharType="begin"/>
      </w:r>
      <w:r>
        <w:instrText xml:space="preserve"> INCLUDEPICTURE "https://www.nju.edu.cn/__local/F/7A/1D/91723945F34FAA0A9C67700CF8F_13B47AE2_E3A7.png" \* MERGEFORMATINET </w:instrText>
      </w:r>
      <w:r>
        <w:fldChar w:fldCharType="separate"/>
      </w:r>
      <w:r>
        <w:pict>
          <v:shape id="_x0000_i1025" o:spt="75" alt="南大校标-南京大学" type="#_x0000_t75" style="height:94.5pt;width:307.5pt;" filled="f" o:preferrelative="t" stroked="f" coordsize="21600,21600">
            <v:path/>
            <v:fill on="f" focussize="0,0"/>
            <v:stroke on="f" joinstyle="miter"/>
            <v:imagedata r:id="rId6" r:href="rId7" o:title=""/>
            <o:lock v:ext="edit" aspectratio="t"/>
            <w10:wrap type="none"/>
            <w10:anchorlock/>
          </v:shape>
        </w:pict>
      </w:r>
      <w:r>
        <w:fldChar w:fldCharType="end"/>
      </w:r>
    </w:p>
    <w:p w14:paraId="5F3FC6BC">
      <w:pPr>
        <w:jc w:val="center"/>
        <w:rPr>
          <w:rFonts w:hint="eastAsia" w:ascii="宋体" w:hAnsi="宋体"/>
          <w:sz w:val="100"/>
          <w:szCs w:val="100"/>
        </w:rPr>
      </w:pPr>
      <w:r>
        <w:rPr>
          <w:rFonts w:ascii="宋体" w:hAnsi="宋体" w:eastAsia="宋体"/>
          <w:b/>
          <w:sz w:val="44"/>
        </w:rPr>
        <w:t>实验报告</w:t>
      </w:r>
    </w:p>
    <w:p w14:paraId="2CB80E36">
      <w:pPr>
        <w:rPr>
          <w:rFonts w:hint="eastAsia" w:ascii="宋体" w:hAnsi="宋体" w:cs="Arial"/>
          <w:caps/>
          <w:sz w:val="44"/>
          <w:szCs w:val="44"/>
          <w:u w:val="single"/>
          <w:shd w:val="clear" w:color="auto" w:fill="FFFFFF"/>
        </w:rPr>
      </w:pPr>
    </w:p>
    <w:p w14:paraId="2C060762">
      <w:pPr>
        <w:jc w:val="center"/>
        <w:rPr>
          <w:rFonts w:hint="eastAsia" w:ascii="宋体" w:hAnsi="宋体" w:cs="Arial"/>
          <w:caps/>
          <w:u w:val="single"/>
          <w:shd w:val="clear" w:color="auto" w:fill="FFFFFF"/>
        </w:rPr>
      </w:pPr>
    </w:p>
    <w:p w14:paraId="7970F0C8">
      <w:pPr>
        <w:ind w:firstLine="1779" w:firstLineChars="593"/>
        <w:rPr>
          <w:rFonts w:hint="eastAsia" w:ascii="宋体" w:hAnsi="宋体" w:cs="Arial"/>
          <w:caps/>
          <w:sz w:val="30"/>
          <w:szCs w:val="30"/>
          <w:u w:val="single"/>
          <w:shd w:val="clear" w:color="auto" w:fill="FFFFFF"/>
        </w:rPr>
      </w:pPr>
      <w:r>
        <w:rPr>
          <w:rFonts w:hint="eastAsia" w:ascii="宋体" w:hAnsi="宋体" w:cs="Arial"/>
          <w:caps/>
          <w:sz w:val="30"/>
          <w:szCs w:val="30"/>
          <w:shd w:val="clear" w:color="auto" w:fill="FFFFFF"/>
        </w:rPr>
        <w:t>姓    名</w:t>
      </w:r>
      <w:r>
        <w:rPr>
          <w:rFonts w:hint="eastAsia" w:ascii="宋体" w:hAnsi="宋体" w:cs="Arial"/>
          <w:caps/>
          <w:sz w:val="30"/>
          <w:szCs w:val="30"/>
          <w:u w:val="single"/>
          <w:shd w:val="clear" w:color="auto" w:fill="FFFFFF"/>
        </w:rPr>
        <w:t xml:space="preserve">：     </w:t>
      </w:r>
      <w:r>
        <w:rPr>
          <w:rFonts w:hint="eastAsia" w:ascii="宋体" w:hAnsi="宋体" w:cs="Arial"/>
          <w:caps/>
          <w:sz w:val="30"/>
          <w:szCs w:val="30"/>
          <w:u w:val="single"/>
          <w:shd w:val="clear" w:color="auto" w:fill="FFFFFF"/>
          <w:lang w:val="en-US" w:eastAsia="zh-CN"/>
        </w:rPr>
        <w:t>眭子健</w:t>
      </w:r>
      <w:r>
        <w:rPr>
          <w:rFonts w:hint="eastAsia" w:ascii="宋体" w:hAnsi="宋体" w:cs="Arial"/>
          <w:caps/>
          <w:sz w:val="30"/>
          <w:szCs w:val="30"/>
          <w:u w:val="single"/>
          <w:shd w:val="clear" w:color="auto" w:fill="FFFFFF"/>
        </w:rPr>
        <w:t xml:space="preserve">                    </w:t>
      </w:r>
    </w:p>
    <w:p w14:paraId="77DC2729">
      <w:pPr>
        <w:ind w:firstLine="1779" w:firstLineChars="593"/>
        <w:rPr>
          <w:rFonts w:hint="eastAsia" w:ascii="宋体" w:hAnsi="宋体" w:cs="Arial"/>
          <w:caps/>
          <w:sz w:val="30"/>
          <w:szCs w:val="30"/>
          <w:u w:val="single"/>
          <w:shd w:val="clear" w:color="auto" w:fill="FFFFFF"/>
        </w:rPr>
      </w:pPr>
      <w:r>
        <w:rPr>
          <w:rFonts w:hint="eastAsia" w:ascii="宋体" w:hAnsi="宋体" w:cs="Arial"/>
          <w:caps/>
          <w:sz w:val="30"/>
          <w:szCs w:val="30"/>
          <w:shd w:val="clear" w:color="auto" w:fill="FFFFFF"/>
        </w:rPr>
        <w:t>学    号</w:t>
      </w:r>
      <w:r>
        <w:rPr>
          <w:rFonts w:hint="eastAsia" w:ascii="宋体" w:hAnsi="宋体" w:cs="Arial"/>
          <w:caps/>
          <w:sz w:val="30"/>
          <w:szCs w:val="30"/>
          <w:u w:val="single"/>
          <w:shd w:val="clear" w:color="auto" w:fill="FFFFFF"/>
        </w:rPr>
        <w:t xml:space="preserve">：     </w:t>
      </w:r>
      <w:r>
        <w:rPr>
          <w:rFonts w:hint="eastAsia" w:ascii="宋体" w:hAnsi="宋体" w:cs="Arial"/>
          <w:caps/>
          <w:sz w:val="30"/>
          <w:szCs w:val="30"/>
          <w:u w:val="single"/>
          <w:shd w:val="clear" w:color="auto" w:fill="FFFFFF"/>
          <w:lang w:val="en-US" w:eastAsia="zh-CN"/>
        </w:rPr>
        <w:t>251850008</w:t>
      </w:r>
      <w:r>
        <w:rPr>
          <w:rFonts w:hint="eastAsia" w:ascii="宋体" w:hAnsi="宋体" w:cs="Arial"/>
          <w:caps/>
          <w:sz w:val="30"/>
          <w:szCs w:val="30"/>
          <w:u w:val="single"/>
          <w:shd w:val="clear" w:color="auto" w:fill="FFFFFF"/>
        </w:rPr>
        <w:t xml:space="preserve">                 </w:t>
      </w:r>
    </w:p>
    <w:p w14:paraId="2ACDACA7">
      <w:pPr>
        <w:ind w:firstLine="1779" w:firstLineChars="593"/>
        <w:rPr>
          <w:rFonts w:hint="eastAsia" w:ascii="宋体" w:hAnsi="宋体" w:cs="Arial"/>
          <w:caps/>
          <w:sz w:val="30"/>
          <w:szCs w:val="30"/>
          <w:u w:val="single"/>
          <w:shd w:val="clear" w:color="auto" w:fill="FFFFFF"/>
        </w:rPr>
      </w:pPr>
      <w:r>
        <w:rPr>
          <w:rFonts w:hint="eastAsia" w:ascii="宋体" w:hAnsi="宋体" w:cs="Arial"/>
          <w:caps/>
          <w:sz w:val="30"/>
          <w:szCs w:val="30"/>
          <w:shd w:val="clear" w:color="auto" w:fill="FFFFFF"/>
        </w:rPr>
        <w:t>专    业</w:t>
      </w:r>
      <w:r>
        <w:rPr>
          <w:rFonts w:hint="eastAsia" w:ascii="宋体" w:hAnsi="宋体" w:cs="Arial"/>
          <w:caps/>
          <w:sz w:val="30"/>
          <w:szCs w:val="30"/>
          <w:u w:val="single"/>
          <w:shd w:val="clear" w:color="auto" w:fill="FFFFFF"/>
        </w:rPr>
        <w:t xml:space="preserve">：     </w:t>
      </w:r>
      <w:r>
        <w:rPr>
          <w:rFonts w:hint="eastAsia" w:ascii="宋体" w:hAnsi="宋体" w:cs="Arial"/>
          <w:caps/>
          <w:sz w:val="30"/>
          <w:szCs w:val="30"/>
          <w:u w:val="single"/>
          <w:shd w:val="clear" w:color="auto" w:fill="FFFFFF"/>
          <w:lang w:val="en-US" w:eastAsia="zh-CN"/>
        </w:rPr>
        <w:t>自动化（机器人方向）</w:t>
      </w:r>
      <w:r>
        <w:rPr>
          <w:rFonts w:hint="eastAsia" w:ascii="宋体" w:hAnsi="宋体" w:cs="Arial"/>
          <w:caps/>
          <w:sz w:val="30"/>
          <w:szCs w:val="30"/>
          <w:u w:val="single"/>
          <w:shd w:val="clear" w:color="auto" w:fill="FFFFFF"/>
        </w:rPr>
        <w:t xml:space="preserve">      </w:t>
      </w:r>
    </w:p>
    <w:p w14:paraId="05ACB24B">
      <w:pPr>
        <w:ind w:firstLine="1779" w:firstLineChars="593"/>
        <w:rPr>
          <w:rFonts w:hint="default" w:ascii="宋体" w:hAnsi="宋体" w:eastAsia="宋体" w:cs="Arial"/>
          <w:caps/>
          <w:sz w:val="30"/>
          <w:szCs w:val="30"/>
          <w:u w:val="single"/>
          <w:shd w:val="clear" w:color="auto" w:fill="FFFFFF"/>
          <w:lang w:val="en-US" w:eastAsia="zh-CN"/>
        </w:rPr>
      </w:pPr>
      <w:r>
        <w:rPr>
          <w:rFonts w:hint="eastAsia" w:ascii="宋体" w:hAnsi="宋体" w:cs="Arial"/>
          <w:caps/>
          <w:sz w:val="30"/>
          <w:szCs w:val="30"/>
          <w:shd w:val="clear" w:color="auto" w:fill="FFFFFF"/>
        </w:rPr>
        <w:t>年    级</w:t>
      </w:r>
      <w:r>
        <w:rPr>
          <w:rFonts w:hint="eastAsia" w:ascii="宋体" w:hAnsi="宋体" w:cs="Arial"/>
          <w:caps/>
          <w:sz w:val="30"/>
          <w:szCs w:val="30"/>
          <w:u w:val="single"/>
          <w:shd w:val="clear" w:color="auto" w:fill="FFFFFF"/>
        </w:rPr>
        <w:t xml:space="preserve">：     </w:t>
      </w:r>
      <w:r>
        <w:rPr>
          <w:rFonts w:hint="eastAsia" w:ascii="宋体" w:hAnsi="宋体" w:cs="Arial"/>
          <w:caps/>
          <w:sz w:val="30"/>
          <w:szCs w:val="30"/>
          <w:u w:val="single"/>
          <w:shd w:val="clear" w:color="auto" w:fill="FFFFFF"/>
          <w:lang w:val="en-US" w:eastAsia="zh-CN"/>
        </w:rPr>
        <w:t>大二</w:t>
      </w:r>
      <w:r>
        <w:rPr>
          <w:rFonts w:hint="eastAsia" w:ascii="宋体" w:hAnsi="宋体" w:cs="Arial"/>
          <w:caps/>
          <w:sz w:val="30"/>
          <w:szCs w:val="30"/>
          <w:u w:val="single"/>
          <w:shd w:val="clear" w:color="auto" w:fill="FFFFFF"/>
        </w:rPr>
        <w:t xml:space="preserve">                 </w:t>
      </w:r>
      <w:r>
        <w:rPr>
          <w:rFonts w:hint="eastAsia" w:ascii="宋体" w:hAnsi="宋体" w:cs="Arial"/>
          <w:caps/>
          <w:sz w:val="30"/>
          <w:szCs w:val="30"/>
          <w:u w:val="single"/>
          <w:shd w:val="clear" w:color="auto" w:fill="FFFFFF"/>
          <w:lang w:val="en-US" w:eastAsia="zh-CN"/>
        </w:rPr>
        <w:t xml:space="preserve">  </w:t>
      </w:r>
      <w:r>
        <w:rPr>
          <w:rFonts w:hint="eastAsia" w:ascii="宋体" w:hAnsi="宋体" w:cs="Arial"/>
          <w:caps/>
          <w:sz w:val="30"/>
          <w:szCs w:val="30"/>
          <w:u w:val="single"/>
          <w:shd w:val="clear" w:color="auto" w:fill="FFFFFF"/>
        </w:rPr>
        <w:t xml:space="preserve">   </w:t>
      </w:r>
    </w:p>
    <w:p w14:paraId="6E1B8B2F">
      <w:pPr>
        <w:ind w:firstLine="1779" w:firstLineChars="593"/>
        <w:rPr>
          <w:rFonts w:hint="eastAsia" w:ascii="宋体" w:hAnsi="宋体" w:cs="Arial"/>
          <w:caps/>
          <w:sz w:val="30"/>
          <w:szCs w:val="30"/>
          <w:u w:val="single"/>
          <w:shd w:val="clear" w:color="auto" w:fill="FFFFFF"/>
        </w:rPr>
      </w:pPr>
      <w:r>
        <w:rPr>
          <w:rFonts w:hint="eastAsia" w:ascii="宋体" w:hAnsi="宋体" w:cs="Arial"/>
          <w:caps/>
          <w:sz w:val="30"/>
          <w:szCs w:val="30"/>
          <w:shd w:val="clear" w:color="auto" w:fill="FFFFFF"/>
        </w:rPr>
        <w:t>课程名称</w:t>
      </w:r>
      <w:r>
        <w:rPr>
          <w:rFonts w:hint="eastAsia" w:ascii="宋体" w:hAnsi="宋体" w:cs="Arial"/>
          <w:caps/>
          <w:sz w:val="30"/>
          <w:szCs w:val="30"/>
          <w:u w:val="single"/>
          <w:shd w:val="clear" w:color="auto" w:fill="FFFFFF"/>
        </w:rPr>
        <w:t xml:space="preserve">：     </w:t>
      </w:r>
      <w:r>
        <w:rPr>
          <w:rFonts w:hint="eastAsia" w:ascii="宋体" w:hAnsi="宋体" w:cs="Arial"/>
          <w:caps/>
          <w:sz w:val="30"/>
          <w:szCs w:val="30"/>
          <w:u w:val="single"/>
          <w:shd w:val="clear" w:color="auto" w:fill="FFFFFF"/>
          <w:lang w:val="en-US" w:eastAsia="zh-CN"/>
        </w:rPr>
        <w:t>电路技术基础</w:t>
      </w:r>
      <w:r>
        <w:rPr>
          <w:rFonts w:hint="eastAsia" w:ascii="宋体" w:hAnsi="宋体" w:cs="Arial"/>
          <w:caps/>
          <w:sz w:val="30"/>
          <w:szCs w:val="30"/>
          <w:u w:val="single"/>
          <w:shd w:val="clear" w:color="auto" w:fill="FFFFFF"/>
        </w:rPr>
        <w:t xml:space="preserve">              </w:t>
      </w:r>
    </w:p>
    <w:p w14:paraId="57A0FFB4">
      <w:pPr>
        <w:ind w:firstLine="1779" w:firstLineChars="593"/>
        <w:rPr>
          <w:rFonts w:hint="default" w:ascii="宋体" w:hAnsi="宋体" w:eastAsia="宋体" w:cs="Arial"/>
          <w:caps/>
          <w:sz w:val="30"/>
          <w:szCs w:val="30"/>
          <w:u w:val="single"/>
          <w:shd w:val="clear" w:color="auto" w:fill="FFFFFF"/>
          <w:lang w:val="en-US" w:eastAsia="zh-CN"/>
        </w:rPr>
      </w:pPr>
      <w:r>
        <w:rPr>
          <w:rFonts w:ascii="宋体" w:hAnsi="宋体" w:eastAsia="宋体"/>
          <w:b w:val="0"/>
          <w:sz w:val="30"/>
          <w:szCs w:val="30"/>
        </w:rPr>
        <w:t>实验名称：</w:t>
      </w:r>
      <w:r>
        <w:rPr>
          <w:rFonts w:hint="eastAsia" w:ascii="宋体" w:hAnsi="宋体" w:cs="Arial"/>
          <w:caps/>
          <w:sz w:val="30"/>
          <w:szCs w:val="30"/>
          <w:u w:val="single"/>
          <w:shd w:val="clear" w:color="auto" w:fill="FFFFFF"/>
        </w:rPr>
        <w:t xml:space="preserve">    </w:t>
      </w:r>
      <w:r>
        <w:rPr>
          <w:rFonts w:ascii="宋体" w:hAnsi="宋体" w:eastAsia="宋体"/>
          <w:b w:val="0"/>
          <w:sz w:val="30"/>
          <w:szCs w:val="30"/>
          <w:u w:val="single"/>
        </w:rPr>
        <w:t>实验</w:t>
      </w:r>
      <w:r>
        <w:rPr>
          <w:rFonts w:hint="eastAsia" w:ascii="宋体" w:hAnsi="宋体"/>
          <w:b w:val="0"/>
          <w:sz w:val="30"/>
          <w:szCs w:val="30"/>
          <w:u w:val="single"/>
          <w:lang w:val="en-US" w:eastAsia="zh-CN"/>
        </w:rPr>
        <w:t>二</w:t>
      </w:r>
      <w:r>
        <w:rPr>
          <w:rFonts w:ascii="宋体" w:hAnsi="宋体" w:eastAsia="宋体"/>
          <w:b w:val="0"/>
          <w:sz w:val="30"/>
          <w:szCs w:val="30"/>
          <w:u w:val="single"/>
        </w:rPr>
        <w:t xml:space="preserve"> </w:t>
      </w:r>
      <w:r>
        <w:rPr>
          <w:rFonts w:hint="eastAsia" w:ascii="宋体" w:hAnsi="宋体"/>
          <w:b w:val="0"/>
          <w:sz w:val="30"/>
          <w:szCs w:val="30"/>
          <w:u w:val="single"/>
          <w:lang w:val="en-US" w:eastAsia="zh-CN"/>
        </w:rPr>
        <w:t xml:space="preserve"> 电路中电位的研究   </w:t>
      </w:r>
    </w:p>
    <w:p w14:paraId="778B791C">
      <w:pPr>
        <w:ind w:firstLine="1779" w:firstLineChars="593"/>
        <w:rPr>
          <w:rFonts w:hint="default" w:ascii="宋体" w:hAnsi="宋体" w:eastAsia="宋体" w:cs="Arial"/>
          <w:caps/>
          <w:sz w:val="30"/>
          <w:szCs w:val="30"/>
          <w:u w:val="single"/>
          <w:shd w:val="clear" w:color="auto" w:fill="FFFFFF"/>
          <w:lang w:val="en-US" w:eastAsia="zh-CN"/>
        </w:rPr>
      </w:pPr>
      <w:r>
        <w:rPr>
          <w:rFonts w:ascii="宋体" w:hAnsi="宋体" w:eastAsia="宋体"/>
          <w:b w:val="0"/>
          <w:sz w:val="30"/>
          <w:szCs w:val="30"/>
        </w:rPr>
        <w:t>实验日期：___________</w:t>
      </w:r>
      <w:r>
        <w:rPr>
          <w:rFonts w:ascii="宋体" w:hAnsi="宋体" w:eastAsia="宋体"/>
          <w:b w:val="0"/>
          <w:sz w:val="30"/>
          <w:szCs w:val="30"/>
          <w:u w:val="single"/>
        </w:rPr>
        <w:t>__</w:t>
      </w:r>
      <w:r>
        <w:rPr>
          <w:rFonts w:hint="eastAsia" w:ascii="宋体" w:hAnsi="宋体"/>
          <w:b w:val="0"/>
          <w:sz w:val="30"/>
          <w:szCs w:val="30"/>
          <w:u w:val="single"/>
          <w:lang w:val="en-US" w:eastAsia="zh-CN"/>
        </w:rPr>
        <w:t>9.04</w:t>
      </w:r>
      <w:r>
        <w:rPr>
          <w:rFonts w:ascii="宋体" w:hAnsi="宋体" w:eastAsia="宋体"/>
          <w:b w:val="0"/>
          <w:sz w:val="30"/>
          <w:szCs w:val="30"/>
          <w:u w:val="single"/>
        </w:rPr>
        <w:t>_</w:t>
      </w:r>
      <w:r>
        <w:rPr>
          <w:rFonts w:hint="eastAsia" w:ascii="宋体" w:hAnsi="宋体" w:cs="Arial"/>
          <w:caps/>
          <w:sz w:val="30"/>
          <w:szCs w:val="30"/>
          <w:u w:val="single"/>
          <w:shd w:val="clear" w:color="auto" w:fill="FFFFFF"/>
        </w:rPr>
        <w:t xml:space="preserve">             </w:t>
      </w:r>
    </w:p>
    <w:p w14:paraId="4BEA0026">
      <w:pPr>
        <w:ind w:firstLine="1779" w:firstLineChars="593"/>
        <w:rPr>
          <w:rFonts w:hint="default" w:ascii="宋体" w:hAnsi="宋体" w:eastAsia="宋体" w:cs="Arial"/>
          <w:caps/>
          <w:sz w:val="30"/>
          <w:szCs w:val="30"/>
          <w:u w:val="single"/>
          <w:shd w:val="clear" w:color="auto" w:fill="FFFFFF"/>
          <w:lang w:val="en-US" w:eastAsia="zh-CN"/>
        </w:rPr>
      </w:pPr>
      <w:r>
        <w:rPr>
          <w:rFonts w:ascii="宋体" w:hAnsi="宋体" w:eastAsia="宋体"/>
          <w:b w:val="0"/>
          <w:sz w:val="30"/>
          <w:szCs w:val="30"/>
        </w:rPr>
        <w:t>指导教师：</w:t>
      </w:r>
      <w:r>
        <w:rPr>
          <w:rFonts w:hint="eastAsia" w:ascii="宋体" w:hAnsi="宋体"/>
          <w:b w:val="0"/>
          <w:sz w:val="30"/>
          <w:szCs w:val="30"/>
          <w:u w:val="single"/>
          <w:lang w:val="en-US" w:eastAsia="zh-CN"/>
        </w:rPr>
        <w:t xml:space="preserve">王丹，路洋                     </w:t>
      </w:r>
    </w:p>
    <w:p w14:paraId="5B51EB46">
      <w:pPr>
        <w:rPr>
          <w:rFonts w:hint="eastAsia" w:ascii="宋体" w:hAnsi="宋体" w:cs="Arial"/>
          <w:caps/>
          <w:sz w:val="30"/>
          <w:szCs w:val="30"/>
          <w:u w:val="single"/>
          <w:shd w:val="clear" w:color="auto" w:fill="FFFFFF"/>
        </w:rPr>
      </w:pPr>
    </w:p>
    <w:p w14:paraId="7BBE5994">
      <w:pPr>
        <w:jc w:val="center"/>
        <w:rPr>
          <w:rFonts w:ascii="宋体" w:hAnsi="宋体" w:cs="Arial"/>
          <w:caps/>
          <w:sz w:val="28"/>
          <w:szCs w:val="28"/>
          <w:shd w:val="clear" w:color="auto" w:fill="FFFFFF"/>
        </w:rPr>
      </w:pPr>
      <w:r>
        <w:rPr>
          <w:rFonts w:hint="eastAsia" w:ascii="宋体" w:hAnsi="宋体" w:cs="Arial"/>
          <w:caps/>
          <w:sz w:val="28"/>
          <w:szCs w:val="28"/>
          <w:shd w:val="clear" w:color="auto" w:fill="FFFFFF"/>
        </w:rPr>
        <w:t xml:space="preserve">                                 </w:t>
      </w:r>
    </w:p>
    <w:p w14:paraId="60F3E572">
      <w:r>
        <w:br w:type="page"/>
      </w:r>
    </w:p>
    <w:p w14:paraId="244CEF37">
      <w:pPr>
        <w:keepNext/>
        <w:spacing w:before="200" w:after="100"/>
      </w:pPr>
      <w:r>
        <w:rPr>
          <w:rFonts w:ascii="宋体" w:hAnsi="宋体" w:eastAsia="宋体"/>
          <w:b/>
          <w:sz w:val="28"/>
        </w:rPr>
        <w:t>一、实验目的</w:t>
      </w:r>
    </w:p>
    <w:p w14:paraId="3E3C6494">
      <w:pPr>
        <w:spacing w:after="60" w:line="324" w:lineRule="auto"/>
        <w:ind w:firstLine="420"/>
      </w:pPr>
      <w:r>
        <w:rPr>
          <w:rFonts w:ascii="宋体" w:hAnsi="宋体" w:eastAsia="宋体"/>
          <w:b w:val="0"/>
          <w:sz w:val="21"/>
        </w:rPr>
        <w:t>1. 掌握电位、电压（电位差）及参考点之间的关系，理解电位的相对性与电压的参考点无关性。</w:t>
      </w:r>
    </w:p>
    <w:p w14:paraId="714D7091">
      <w:pPr>
        <w:spacing w:after="60" w:line="324" w:lineRule="auto"/>
        <w:ind w:firstLine="420"/>
      </w:pPr>
      <w:r>
        <w:rPr>
          <w:rFonts w:ascii="宋体" w:hAnsi="宋体" w:eastAsia="宋体"/>
          <w:b w:val="0"/>
          <w:sz w:val="21"/>
        </w:rPr>
        <w:t>2. 测量多节点电路各点电位和支路电压，绘制电位图并验证基尔霍夫电压定律。</w:t>
      </w:r>
    </w:p>
    <w:p w14:paraId="5D1D08D6">
      <w:pPr>
        <w:spacing w:after="60" w:line="324" w:lineRule="auto"/>
        <w:ind w:firstLine="420"/>
      </w:pPr>
      <w:r>
        <w:rPr>
          <w:rFonts w:ascii="宋体" w:hAnsi="宋体" w:eastAsia="宋体"/>
          <w:b w:val="0"/>
          <w:sz w:val="21"/>
        </w:rPr>
        <w:t>3. 学习采用指零法/电压表法寻找等电位点，比较短接前后电路工作状态。</w:t>
      </w:r>
    </w:p>
    <w:p w14:paraId="006D1130">
      <w:pPr>
        <w:keepNext/>
        <w:spacing w:before="200" w:after="100"/>
      </w:pPr>
      <w:r>
        <w:rPr>
          <w:rFonts w:ascii="宋体" w:hAnsi="宋体" w:eastAsia="宋体"/>
          <w:b/>
          <w:sz w:val="28"/>
        </w:rPr>
        <w:t>二、实验原理</w:t>
      </w:r>
    </w:p>
    <w:p w14:paraId="4260C722">
      <w:pPr>
        <w:spacing w:after="60" w:line="324" w:lineRule="auto"/>
        <w:ind w:firstLine="420"/>
      </w:pPr>
      <w:r>
        <w:rPr>
          <w:rFonts w:ascii="宋体" w:hAnsi="宋体" w:eastAsia="宋体"/>
          <w:b w:val="0"/>
          <w:sz w:val="21"/>
        </w:rPr>
        <w:t>选定参考点O后，A点对O点的电压 UAO 称为A点电位 VA；任意两点电压 UAB＝VA－VB。更换参考点只会给所有节点电位同时加上同一常数，不改变任意两点的电压。</w:t>
      </w:r>
    </w:p>
    <w:p w14:paraId="689EB978">
      <w:pPr>
        <w:spacing w:after="60" w:line="324" w:lineRule="auto"/>
        <w:ind w:firstLine="420"/>
      </w:pPr>
      <w:r>
        <w:rPr>
          <w:rFonts w:ascii="宋体" w:hAnsi="宋体" w:eastAsia="宋体"/>
          <w:b w:val="0"/>
          <w:sz w:val="21"/>
        </w:rPr>
        <w:t>沿任一闭合回路，支路电压的代数和应为零（ΣU＝0）。当两点电位相等时，两点间电压为零；将其短接或断开理想情况下不应改变其余电路的电位与电压。</w:t>
      </w:r>
    </w:p>
    <w:p w14:paraId="5DC71D39">
      <w:pPr>
        <w:spacing w:after="60" w:line="324" w:lineRule="auto"/>
        <w:ind w:firstLine="420"/>
      </w:pPr>
      <w:r>
        <w:rPr>
          <w:rFonts w:ascii="宋体" w:hAnsi="宋体" w:eastAsia="宋体"/>
          <w:sz w:val="21"/>
        </w:rPr>
        <w:t>电位不是节点自身的绝对属性，而是相对于选定参考点的电压。若参考点由O改为O′，所有节点电位会统一平移同一常数，即VA′=VA−VO′；但任意两节点的电压UAB=VA−VB不变。因此，电位图必须明确零电位参考点，而支路电压的判定不依赖参考点选择。</w:t>
      </w:r>
    </w:p>
    <w:p w14:paraId="67B5FEA6">
      <w:pPr>
        <w:spacing w:after="60" w:line="324" w:lineRule="auto"/>
        <w:ind w:firstLine="420"/>
      </w:pPr>
      <w:r>
        <w:rPr>
          <w:rFonts w:ascii="宋体" w:hAnsi="宋体" w:eastAsia="宋体"/>
          <w:sz w:val="21"/>
        </w:rPr>
        <w:t>用电压表测电位时，应将负表笔固定接在参考点、正表笔接被测节点，表的正负读数直接给出该节点的电位。测量UAB时，正表笔接A、负表笔接B，故读数对应VA−VB。若读数为负，说明A点实际电位低于B点，而不是仪表失效。</w:t>
      </w:r>
    </w:p>
    <w:p w14:paraId="0C229B87">
      <w:pPr>
        <w:spacing w:after="60" w:line="324" w:lineRule="auto"/>
        <w:ind w:firstLine="420"/>
      </w:pPr>
      <w:r>
        <w:rPr>
          <w:rFonts w:ascii="宋体" w:hAnsi="宋体" w:eastAsia="宋体"/>
          <w:sz w:val="21"/>
        </w:rPr>
        <w:t>将各相邻支路电压按闭合回路顺序相加，可写成Uab+Ubc+…+Uga=0；这是KVL在电位表示下的直接结果，因为相邻电位差逐项相加会首尾相消。等电位点之间U=0，理想短接不会产生支路电流，也不改变其余网络的节点电位；实验中的微小变化反映电位器调节精度和仪表分辨率。</w:t>
      </w:r>
    </w:p>
    <w:p w14:paraId="4F79E9EF">
      <w:pPr>
        <w:keepNext/>
        <w:spacing w:before="200" w:after="100"/>
      </w:pPr>
      <w:r>
        <w:rPr>
          <w:rFonts w:ascii="宋体" w:hAnsi="宋体" w:eastAsia="宋体"/>
          <w:b/>
          <w:sz w:val="28"/>
        </w:rPr>
        <w:t>三、实验电路与仪器</w:t>
      </w:r>
    </w:p>
    <w:p w14:paraId="1ADA4412">
      <w:pPr>
        <w:spacing w:after="40"/>
        <w:jc w:val="center"/>
      </w:pPr>
      <w:r>
        <w:drawing>
          <wp:inline distT="0" distB="0" distL="114300" distR="114300">
            <wp:extent cx="5757545" cy="2205990"/>
            <wp:effectExtent l="0" t="0" r="5080" b="3810"/>
            <wp:docPr id="4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2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57545" cy="22059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657896">
      <w:pPr>
        <w:spacing w:after="120" w:line="324" w:lineRule="auto"/>
        <w:jc w:val="center"/>
      </w:pPr>
      <w:r>
        <w:rPr>
          <w:rFonts w:ascii="宋体" w:hAnsi="宋体" w:eastAsia="宋体"/>
          <w:b w:val="0"/>
          <w:sz w:val="19"/>
        </w:rPr>
        <w:t>图1  指导书图1、图2：以 e 点和 a 点为参考点的电路（原图）</w:t>
      </w:r>
    </w:p>
    <w:p w14:paraId="43F04EE7">
      <w:pPr>
        <w:spacing w:after="40"/>
        <w:jc w:val="center"/>
      </w:pPr>
      <w:r>
        <w:drawing>
          <wp:inline distT="0" distB="0" distL="114300" distR="114300">
            <wp:extent cx="5751830" cy="2345690"/>
            <wp:effectExtent l="0" t="0" r="1270" b="6985"/>
            <wp:docPr id="5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3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51830" cy="2345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DF737A">
      <w:pPr>
        <w:spacing w:after="120" w:line="324" w:lineRule="auto"/>
        <w:jc w:val="center"/>
      </w:pPr>
      <w:r>
        <w:rPr>
          <w:rFonts w:ascii="宋体" w:hAnsi="宋体" w:eastAsia="宋体"/>
          <w:b w:val="0"/>
          <w:sz w:val="19"/>
        </w:rPr>
        <w:t>图2  指导书图3、图4：寻找并判断等电位点的电路（原图）</w:t>
      </w:r>
    </w:p>
    <w:tbl>
      <w:tblPr>
        <w:tblStyle w:val="13"/>
        <w:tblW w:w="0" w:type="auto"/>
        <w:jc w:val="center"/>
        <w:tblBorders>
          <w:top w:val="single" w:color="808080" w:sz="6" w:space="0"/>
          <w:left w:val="single" w:color="808080" w:sz="6" w:space="0"/>
          <w:bottom w:val="single" w:color="808080" w:sz="6" w:space="0"/>
          <w:right w:val="single" w:color="808080" w:sz="6" w:space="0"/>
          <w:insideH w:val="single" w:color="808080" w:sz="6" w:space="0"/>
          <w:insideV w:val="single" w:color="808080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529"/>
        <w:gridCol w:w="4529"/>
      </w:tblGrid>
      <w:tr w14:paraId="6341996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6" w:type="dxa"/>
            <w:shd w:val="clear" w:color="auto" w:fill="D9EAF7"/>
            <w:vAlign w:val="center"/>
          </w:tcPr>
          <w:p w14:paraId="53A6C4C7">
            <w:pPr>
              <w:jc w:val="center"/>
            </w:pPr>
            <w:r>
              <w:rPr>
                <w:rFonts w:ascii="宋体" w:hAnsi="宋体" w:eastAsia="宋体"/>
                <w:b/>
                <w:sz w:val="19"/>
              </w:rPr>
              <w:t>元件</w:t>
            </w:r>
          </w:p>
        </w:tc>
        <w:tc>
          <w:tcPr>
            <w:tcW w:w="4536" w:type="dxa"/>
            <w:shd w:val="clear" w:color="auto" w:fill="D9EAF7"/>
            <w:vAlign w:val="center"/>
          </w:tcPr>
          <w:p w14:paraId="69123743">
            <w:pPr>
              <w:jc w:val="center"/>
            </w:pPr>
            <w:r>
              <w:rPr>
                <w:rFonts w:ascii="宋体" w:hAnsi="宋体" w:eastAsia="宋体"/>
                <w:b/>
                <w:sz w:val="19"/>
              </w:rPr>
              <w:t>参数/说明</w:t>
            </w:r>
          </w:p>
        </w:tc>
      </w:tr>
      <w:tr w14:paraId="2EA37711">
        <w:tblPrEx>
          <w:tblBorders>
            <w:top w:val="single" w:color="808080" w:sz="6" w:space="0"/>
            <w:left w:val="single" w:color="808080" w:sz="6" w:space="0"/>
            <w:bottom w:val="single" w:color="808080" w:sz="6" w:space="0"/>
            <w:right w:val="single" w:color="808080" w:sz="6" w:space="0"/>
            <w:insideH w:val="single" w:color="808080" w:sz="6" w:space="0"/>
            <w:insideV w:val="single" w:color="80808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6" w:type="dxa"/>
            <w:vAlign w:val="center"/>
          </w:tcPr>
          <w:p w14:paraId="3AD96D75">
            <w:pPr>
              <w:spacing w:after="20"/>
            </w:pPr>
            <w:r>
              <w:rPr>
                <w:rFonts w:ascii="宋体" w:hAnsi="宋体" w:eastAsia="宋体"/>
                <w:b w:val="0"/>
                <w:sz w:val="18"/>
              </w:rPr>
              <w:t>直流电源</w:t>
            </w:r>
          </w:p>
        </w:tc>
        <w:tc>
          <w:tcPr>
            <w:tcW w:w="4536" w:type="dxa"/>
            <w:vAlign w:val="center"/>
          </w:tcPr>
          <w:p w14:paraId="7298144A">
            <w:pPr>
              <w:spacing w:after="20"/>
            </w:pPr>
            <w:r>
              <w:rPr>
                <w:rFonts w:ascii="宋体" w:hAnsi="宋体" w:eastAsia="宋体"/>
                <w:b w:val="0"/>
                <w:sz w:val="18"/>
              </w:rPr>
              <w:t>Usa＝5 V，Usb＝10 V，二者不共地</w:t>
            </w:r>
          </w:p>
        </w:tc>
      </w:tr>
      <w:tr w14:paraId="6C1DC888">
        <w:tblPrEx>
          <w:tblBorders>
            <w:top w:val="single" w:color="808080" w:sz="6" w:space="0"/>
            <w:left w:val="single" w:color="808080" w:sz="6" w:space="0"/>
            <w:bottom w:val="single" w:color="808080" w:sz="6" w:space="0"/>
            <w:right w:val="single" w:color="808080" w:sz="6" w:space="0"/>
            <w:insideH w:val="single" w:color="808080" w:sz="6" w:space="0"/>
            <w:insideV w:val="single" w:color="80808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6" w:type="dxa"/>
            <w:vAlign w:val="center"/>
          </w:tcPr>
          <w:p w14:paraId="21AF75A1">
            <w:pPr>
              <w:spacing w:after="20"/>
            </w:pPr>
            <w:r>
              <w:rPr>
                <w:rFonts w:ascii="宋体" w:hAnsi="宋体" w:eastAsia="宋体"/>
                <w:b w:val="0"/>
                <w:sz w:val="18"/>
              </w:rPr>
              <w:t>电阻</w:t>
            </w:r>
          </w:p>
        </w:tc>
        <w:tc>
          <w:tcPr>
            <w:tcW w:w="4536" w:type="dxa"/>
            <w:vAlign w:val="center"/>
          </w:tcPr>
          <w:p w14:paraId="20B63E39">
            <w:pPr>
              <w:spacing w:after="20"/>
            </w:pPr>
            <w:r>
              <w:rPr>
                <w:rFonts w:ascii="宋体" w:hAnsi="宋体" w:eastAsia="宋体"/>
                <w:b w:val="0"/>
                <w:sz w:val="18"/>
              </w:rPr>
              <w:t>R1＝R2＝R7＝220 Ω，R8＝200 Ω</w:t>
            </w:r>
          </w:p>
        </w:tc>
      </w:tr>
      <w:tr w14:paraId="20B0B59B">
        <w:tblPrEx>
          <w:tblBorders>
            <w:top w:val="single" w:color="808080" w:sz="6" w:space="0"/>
            <w:left w:val="single" w:color="808080" w:sz="6" w:space="0"/>
            <w:bottom w:val="single" w:color="808080" w:sz="6" w:space="0"/>
            <w:right w:val="single" w:color="808080" w:sz="6" w:space="0"/>
            <w:insideH w:val="single" w:color="808080" w:sz="6" w:space="0"/>
            <w:insideV w:val="single" w:color="80808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6" w:type="dxa"/>
            <w:vAlign w:val="center"/>
          </w:tcPr>
          <w:p w14:paraId="3C905ABC">
            <w:pPr>
              <w:spacing w:after="20"/>
            </w:pPr>
            <w:r>
              <w:rPr>
                <w:rFonts w:ascii="宋体" w:hAnsi="宋体" w:eastAsia="宋体"/>
                <w:b w:val="0"/>
                <w:sz w:val="18"/>
              </w:rPr>
              <w:t>电位器</w:t>
            </w:r>
          </w:p>
        </w:tc>
        <w:tc>
          <w:tcPr>
            <w:tcW w:w="4536" w:type="dxa"/>
            <w:vAlign w:val="center"/>
          </w:tcPr>
          <w:p w14:paraId="609F1EFF">
            <w:pPr>
              <w:spacing w:after="20"/>
            </w:pPr>
            <w:r>
              <w:rPr>
                <w:rFonts w:ascii="宋体" w:hAnsi="宋体" w:eastAsia="宋体"/>
                <w:b w:val="0"/>
                <w:sz w:val="18"/>
              </w:rPr>
              <w:t>Rw＝500 Ω，可调端用于寻找 e5 等电位点</w:t>
            </w:r>
          </w:p>
        </w:tc>
      </w:tr>
      <w:tr w14:paraId="43F1EF30">
        <w:tblPrEx>
          <w:tblBorders>
            <w:top w:val="single" w:color="808080" w:sz="6" w:space="0"/>
            <w:left w:val="single" w:color="808080" w:sz="6" w:space="0"/>
            <w:bottom w:val="single" w:color="808080" w:sz="6" w:space="0"/>
            <w:right w:val="single" w:color="808080" w:sz="6" w:space="0"/>
            <w:insideH w:val="single" w:color="808080" w:sz="6" w:space="0"/>
            <w:insideV w:val="single" w:color="80808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6" w:type="dxa"/>
            <w:vAlign w:val="center"/>
          </w:tcPr>
          <w:p w14:paraId="4294A927">
            <w:pPr>
              <w:spacing w:after="20"/>
            </w:pPr>
            <w:r>
              <w:rPr>
                <w:rFonts w:ascii="宋体" w:hAnsi="宋体" w:eastAsia="宋体"/>
                <w:b w:val="0"/>
                <w:sz w:val="18"/>
              </w:rPr>
              <w:t>测量仪器</w:t>
            </w:r>
          </w:p>
        </w:tc>
        <w:tc>
          <w:tcPr>
            <w:tcW w:w="4536" w:type="dxa"/>
            <w:vAlign w:val="center"/>
          </w:tcPr>
          <w:p w14:paraId="4027D967">
            <w:pPr>
              <w:spacing w:after="20"/>
            </w:pPr>
            <w:r>
              <w:rPr>
                <w:rFonts w:ascii="宋体" w:hAnsi="宋体" w:eastAsia="宋体"/>
                <w:b w:val="0"/>
                <w:sz w:val="18"/>
              </w:rPr>
              <w:t>直流电压表、直流电流表、数字万用表</w:t>
            </w:r>
          </w:p>
        </w:tc>
      </w:tr>
    </w:tbl>
    <w:p w14:paraId="5952EB5D">
      <w:pPr>
        <w:spacing w:after="20"/>
      </w:pPr>
    </w:p>
    <w:p w14:paraId="5E2A5499">
      <w:pPr>
        <w:keepNext/>
        <w:spacing w:before="200" w:after="100"/>
      </w:pPr>
      <w:r>
        <w:rPr>
          <w:rFonts w:ascii="宋体" w:hAnsi="宋体" w:eastAsia="宋体"/>
          <w:b/>
          <w:sz w:val="28"/>
        </w:rPr>
        <w:t>四、实验步骤</w:t>
      </w:r>
    </w:p>
    <w:p w14:paraId="31FC8D83">
      <w:pPr>
        <w:spacing w:after="60" w:line="324" w:lineRule="auto"/>
        <w:ind w:firstLine="420"/>
      </w:pPr>
      <w:r>
        <w:rPr>
          <w:rFonts w:ascii="宋体" w:hAnsi="宋体" w:eastAsia="宋体"/>
          <w:b w:val="0"/>
          <w:sz w:val="21"/>
        </w:rPr>
        <w:t>先以e点为参考点测量a～g各点电位，再以a点为参考点复测；随后测量 Uab、Ubc、Ucd、Ude、Uef、Ufg、Uga。调节Rw的滑动端使e5与e等电位，比较短接前后读数。测量中将D1～D6短接，确保表笔极性与下标顺序一致。</w:t>
      </w:r>
    </w:p>
    <w:p w14:paraId="050DE4EF">
      <w:pPr>
        <w:keepNext/>
        <w:spacing w:before="200" w:after="100"/>
      </w:pPr>
      <w:r>
        <w:rPr>
          <w:rFonts w:ascii="宋体" w:hAnsi="宋体" w:eastAsia="宋体"/>
          <w:b/>
          <w:sz w:val="28"/>
        </w:rPr>
        <w:t>五、原始记录与数据验证</w:t>
      </w:r>
    </w:p>
    <w:tbl>
      <w:tblPr>
        <w:tblStyle w:val="13"/>
        <w:tblW w:w="0" w:type="auto"/>
        <w:jc w:val="center"/>
        <w:tblBorders>
          <w:top w:val="single" w:color="808080" w:sz="6" w:space="0"/>
          <w:left w:val="single" w:color="808080" w:sz="6" w:space="0"/>
          <w:bottom w:val="single" w:color="808080" w:sz="6" w:space="0"/>
          <w:right w:val="single" w:color="808080" w:sz="6" w:space="0"/>
          <w:insideH w:val="single" w:color="808080" w:sz="6" w:space="0"/>
          <w:insideV w:val="single" w:color="808080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58"/>
      </w:tblGrid>
      <w:tr w14:paraId="7559CE79">
        <w:tblPrEx>
          <w:tblBorders>
            <w:top w:val="single" w:color="808080" w:sz="6" w:space="0"/>
            <w:left w:val="single" w:color="808080" w:sz="6" w:space="0"/>
            <w:bottom w:val="single" w:color="808080" w:sz="6" w:space="0"/>
            <w:right w:val="single" w:color="808080" w:sz="6" w:space="0"/>
            <w:insideH w:val="single" w:color="808080" w:sz="6" w:space="0"/>
            <w:insideV w:val="single" w:color="80808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072" w:type="dxa"/>
            <w:shd w:val="clear" w:color="auto" w:fill="F2F2F2"/>
            <w:vAlign w:val="center"/>
          </w:tcPr>
          <w:p w14:paraId="11BCEBF0">
            <w:pPr>
              <w:spacing w:before="480" w:after="480"/>
              <w:jc w:val="center"/>
            </w:pPr>
            <w:r>
              <w:drawing>
                <wp:inline distT="0" distB="0" distL="114300" distR="114300">
                  <wp:extent cx="5606415" cy="4827905"/>
                  <wp:effectExtent l="0" t="0" r="3810" b="1270"/>
                  <wp:docPr id="6" name="图片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图片 4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06415" cy="48279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1FD33A4">
      <w:pPr>
        <w:keepNext/>
        <w:spacing w:before="120" w:after="100"/>
      </w:pPr>
      <w:r>
        <w:rPr>
          <w:rFonts w:ascii="宋体" w:hAnsi="宋体" w:eastAsia="宋体"/>
          <w:b/>
          <w:sz w:val="24"/>
        </w:rPr>
        <w:t>5.1 参考点改变与电位的相对性</w:t>
      </w:r>
    </w:p>
    <w:p w14:paraId="3169EA65">
      <w:pPr>
        <w:spacing w:after="60" w:line="324" w:lineRule="auto"/>
        <w:ind w:firstLine="420"/>
      </w:pPr>
      <w:r>
        <w:rPr>
          <w:rFonts w:ascii="宋体" w:hAnsi="宋体" w:eastAsia="宋体"/>
          <w:b w:val="0"/>
          <w:sz w:val="21"/>
        </w:rPr>
        <w:t>以a点为参考点时，电子记录给出 Va＝0 V、Vb＝1.821 V、Vc＝2.655 V、Vd＝−7.332 V、Ve＝−6.630 V、Vf＝−5.862 V、Vg＝−0.774 V。改以e点为参考点后，对应值为 Va＝6.630 V、Vb＝8.451 V、Vc＝9.285 V、Vd＝−0.702 V、Ve＝0 V、Vf＝0.769 V、Vg＝5.856 V。</w:t>
      </w:r>
    </w:p>
    <w:p w14:paraId="464BFEEF">
      <w:pPr>
        <w:spacing w:after="60" w:line="324" w:lineRule="auto"/>
        <w:ind w:firstLine="420"/>
      </w:pPr>
      <w:r>
        <w:rPr>
          <w:rFonts w:ascii="宋体" w:hAnsi="宋体" w:eastAsia="宋体"/>
          <w:b w:val="0"/>
          <w:sz w:val="21"/>
        </w:rPr>
        <w:t>两组电位相差约+6.630 V（例如 1.821＋6.630＝8.451 V，−7.332＋6.630＝−0.702 V），说明改变参考点使各节点电位整体平移，而节点间的相对关系不变。</w:t>
      </w:r>
    </w:p>
    <w:tbl>
      <w:tblPr>
        <w:tblStyle w:val="13"/>
        <w:tblW w:w="0" w:type="auto"/>
        <w:jc w:val="center"/>
        <w:tblBorders>
          <w:top w:val="single" w:color="808080" w:sz="6" w:space="0"/>
          <w:left w:val="single" w:color="808080" w:sz="6" w:space="0"/>
          <w:bottom w:val="single" w:color="808080" w:sz="6" w:space="0"/>
          <w:right w:val="single" w:color="808080" w:sz="6" w:space="0"/>
          <w:insideH w:val="single" w:color="808080" w:sz="6" w:space="0"/>
          <w:insideV w:val="single" w:color="808080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3"/>
        <w:gridCol w:w="2265"/>
        <w:gridCol w:w="2265"/>
        <w:gridCol w:w="2265"/>
      </w:tblGrid>
      <w:tr w14:paraId="2FA37E79">
        <w:tblPrEx>
          <w:tblBorders>
            <w:top w:val="single" w:color="808080" w:sz="6" w:space="0"/>
            <w:left w:val="single" w:color="808080" w:sz="6" w:space="0"/>
            <w:bottom w:val="single" w:color="808080" w:sz="6" w:space="0"/>
            <w:right w:val="single" w:color="808080" w:sz="6" w:space="0"/>
            <w:insideH w:val="single" w:color="808080" w:sz="6" w:space="0"/>
            <w:insideV w:val="single" w:color="80808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D9EAF7"/>
            <w:vAlign w:val="center"/>
          </w:tcPr>
          <w:p w14:paraId="6C0EB8DB">
            <w:pPr>
              <w:jc w:val="center"/>
            </w:pPr>
            <w:r>
              <w:rPr>
                <w:rFonts w:ascii="宋体" w:hAnsi="宋体" w:eastAsia="宋体"/>
                <w:b/>
                <w:sz w:val="19"/>
              </w:rPr>
              <w:t>节点</w:t>
            </w:r>
          </w:p>
        </w:tc>
        <w:tc>
          <w:tcPr>
            <w:tcW w:w="2268" w:type="dxa"/>
            <w:shd w:val="clear" w:color="auto" w:fill="D9EAF7"/>
            <w:vAlign w:val="center"/>
          </w:tcPr>
          <w:p w14:paraId="158120F4">
            <w:pPr>
              <w:jc w:val="center"/>
            </w:pPr>
            <w:r>
              <w:rPr>
                <w:rFonts w:ascii="宋体" w:hAnsi="宋体" w:eastAsia="宋体"/>
                <w:b/>
                <w:sz w:val="19"/>
              </w:rPr>
              <w:t>以a为参考 (V)</w:t>
            </w:r>
          </w:p>
        </w:tc>
        <w:tc>
          <w:tcPr>
            <w:tcW w:w="2268" w:type="dxa"/>
            <w:shd w:val="clear" w:color="auto" w:fill="D9EAF7"/>
            <w:vAlign w:val="center"/>
          </w:tcPr>
          <w:p w14:paraId="1D71A62A">
            <w:pPr>
              <w:jc w:val="center"/>
            </w:pPr>
            <w:r>
              <w:rPr>
                <w:rFonts w:ascii="宋体" w:hAnsi="宋体" w:eastAsia="宋体"/>
                <w:b/>
                <w:sz w:val="19"/>
              </w:rPr>
              <w:t>以e为参考 (V)</w:t>
            </w:r>
          </w:p>
        </w:tc>
        <w:tc>
          <w:tcPr>
            <w:tcW w:w="2268" w:type="dxa"/>
            <w:shd w:val="clear" w:color="auto" w:fill="D9EAF7"/>
            <w:vAlign w:val="center"/>
          </w:tcPr>
          <w:p w14:paraId="120D0766">
            <w:pPr>
              <w:jc w:val="center"/>
            </w:pPr>
            <w:r>
              <w:rPr>
                <w:rFonts w:ascii="宋体" w:hAnsi="宋体" w:eastAsia="宋体"/>
                <w:b/>
                <w:sz w:val="19"/>
              </w:rPr>
              <w:t>差值 (V)</w:t>
            </w:r>
          </w:p>
        </w:tc>
      </w:tr>
      <w:tr w14:paraId="27B5C6CB">
        <w:tblPrEx>
          <w:tblBorders>
            <w:top w:val="single" w:color="808080" w:sz="6" w:space="0"/>
            <w:left w:val="single" w:color="808080" w:sz="6" w:space="0"/>
            <w:bottom w:val="single" w:color="808080" w:sz="6" w:space="0"/>
            <w:right w:val="single" w:color="808080" w:sz="6" w:space="0"/>
            <w:insideH w:val="single" w:color="808080" w:sz="6" w:space="0"/>
            <w:insideV w:val="single" w:color="80808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62041EB0">
            <w:pPr>
              <w:spacing w:after="20"/>
            </w:pPr>
            <w:r>
              <w:rPr>
                <w:rFonts w:ascii="宋体" w:hAnsi="宋体" w:eastAsia="宋体"/>
                <w:b w:val="0"/>
                <w:sz w:val="18"/>
              </w:rPr>
              <w:t>a</w:t>
            </w:r>
          </w:p>
        </w:tc>
        <w:tc>
          <w:tcPr>
            <w:tcW w:w="2268" w:type="dxa"/>
            <w:vAlign w:val="center"/>
          </w:tcPr>
          <w:p w14:paraId="4FFE0E52">
            <w:pPr>
              <w:spacing w:after="20"/>
            </w:pPr>
            <w:r>
              <w:rPr>
                <w:rFonts w:ascii="宋体" w:hAnsi="宋体" w:eastAsia="宋体"/>
                <w:b w:val="0"/>
                <w:sz w:val="18"/>
              </w:rPr>
              <w:t>0.000</w:t>
            </w:r>
          </w:p>
        </w:tc>
        <w:tc>
          <w:tcPr>
            <w:tcW w:w="2268" w:type="dxa"/>
            <w:vAlign w:val="center"/>
          </w:tcPr>
          <w:p w14:paraId="0F5D6220">
            <w:pPr>
              <w:spacing w:after="20"/>
            </w:pPr>
            <w:r>
              <w:rPr>
                <w:rFonts w:ascii="宋体" w:hAnsi="宋体" w:eastAsia="宋体"/>
                <w:b w:val="0"/>
                <w:sz w:val="18"/>
              </w:rPr>
              <w:t>6.630</w:t>
            </w:r>
          </w:p>
        </w:tc>
        <w:tc>
          <w:tcPr>
            <w:tcW w:w="2268" w:type="dxa"/>
            <w:vAlign w:val="center"/>
          </w:tcPr>
          <w:p w14:paraId="6C37C4A7">
            <w:pPr>
              <w:spacing w:after="20"/>
            </w:pPr>
            <w:r>
              <w:rPr>
                <w:rFonts w:ascii="宋体" w:hAnsi="宋体" w:eastAsia="宋体"/>
                <w:b w:val="0"/>
                <w:sz w:val="18"/>
              </w:rPr>
              <w:t>6.630</w:t>
            </w:r>
          </w:p>
        </w:tc>
      </w:tr>
      <w:tr w14:paraId="2ABFEC37">
        <w:tblPrEx>
          <w:tblBorders>
            <w:top w:val="single" w:color="808080" w:sz="6" w:space="0"/>
            <w:left w:val="single" w:color="808080" w:sz="6" w:space="0"/>
            <w:bottom w:val="single" w:color="808080" w:sz="6" w:space="0"/>
            <w:right w:val="single" w:color="808080" w:sz="6" w:space="0"/>
            <w:insideH w:val="single" w:color="808080" w:sz="6" w:space="0"/>
            <w:insideV w:val="single" w:color="80808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1246CFA3">
            <w:pPr>
              <w:spacing w:after="20"/>
            </w:pPr>
            <w:r>
              <w:rPr>
                <w:rFonts w:ascii="宋体" w:hAnsi="宋体" w:eastAsia="宋体"/>
                <w:b w:val="0"/>
                <w:sz w:val="18"/>
              </w:rPr>
              <w:t>b</w:t>
            </w:r>
          </w:p>
        </w:tc>
        <w:tc>
          <w:tcPr>
            <w:tcW w:w="2268" w:type="dxa"/>
            <w:vAlign w:val="center"/>
          </w:tcPr>
          <w:p w14:paraId="5C006E15">
            <w:pPr>
              <w:spacing w:after="20"/>
            </w:pPr>
            <w:r>
              <w:rPr>
                <w:rFonts w:ascii="宋体" w:hAnsi="宋体" w:eastAsia="宋体"/>
                <w:b w:val="0"/>
                <w:sz w:val="18"/>
              </w:rPr>
              <w:t>1.821</w:t>
            </w:r>
          </w:p>
        </w:tc>
        <w:tc>
          <w:tcPr>
            <w:tcW w:w="2268" w:type="dxa"/>
            <w:vAlign w:val="center"/>
          </w:tcPr>
          <w:p w14:paraId="346A9918">
            <w:pPr>
              <w:spacing w:after="20"/>
            </w:pPr>
            <w:r>
              <w:rPr>
                <w:rFonts w:ascii="宋体" w:hAnsi="宋体" w:eastAsia="宋体"/>
                <w:b w:val="0"/>
                <w:sz w:val="18"/>
              </w:rPr>
              <w:t>8.451</w:t>
            </w:r>
          </w:p>
        </w:tc>
        <w:tc>
          <w:tcPr>
            <w:tcW w:w="2268" w:type="dxa"/>
            <w:vAlign w:val="center"/>
          </w:tcPr>
          <w:p w14:paraId="6F4FA412">
            <w:pPr>
              <w:spacing w:after="20"/>
            </w:pPr>
            <w:r>
              <w:rPr>
                <w:rFonts w:ascii="宋体" w:hAnsi="宋体" w:eastAsia="宋体"/>
                <w:b w:val="0"/>
                <w:sz w:val="18"/>
              </w:rPr>
              <w:t>6.630</w:t>
            </w:r>
          </w:p>
        </w:tc>
      </w:tr>
      <w:tr w14:paraId="583C2FAB">
        <w:tblPrEx>
          <w:tblBorders>
            <w:top w:val="single" w:color="808080" w:sz="6" w:space="0"/>
            <w:left w:val="single" w:color="808080" w:sz="6" w:space="0"/>
            <w:bottom w:val="single" w:color="808080" w:sz="6" w:space="0"/>
            <w:right w:val="single" w:color="808080" w:sz="6" w:space="0"/>
            <w:insideH w:val="single" w:color="808080" w:sz="6" w:space="0"/>
            <w:insideV w:val="single" w:color="80808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6DB8D41F">
            <w:pPr>
              <w:spacing w:after="20"/>
            </w:pPr>
            <w:r>
              <w:rPr>
                <w:rFonts w:ascii="宋体" w:hAnsi="宋体" w:eastAsia="宋体"/>
                <w:b w:val="0"/>
                <w:sz w:val="18"/>
              </w:rPr>
              <w:t>c</w:t>
            </w:r>
          </w:p>
        </w:tc>
        <w:tc>
          <w:tcPr>
            <w:tcW w:w="2268" w:type="dxa"/>
            <w:vAlign w:val="center"/>
          </w:tcPr>
          <w:p w14:paraId="4D5E16CC">
            <w:pPr>
              <w:spacing w:after="20"/>
            </w:pPr>
            <w:r>
              <w:rPr>
                <w:rFonts w:ascii="宋体" w:hAnsi="宋体" w:eastAsia="宋体"/>
                <w:b w:val="0"/>
                <w:sz w:val="18"/>
              </w:rPr>
              <w:t>2.655</w:t>
            </w:r>
          </w:p>
        </w:tc>
        <w:tc>
          <w:tcPr>
            <w:tcW w:w="2268" w:type="dxa"/>
            <w:vAlign w:val="center"/>
          </w:tcPr>
          <w:p w14:paraId="752F8B57">
            <w:pPr>
              <w:spacing w:after="20"/>
            </w:pPr>
            <w:r>
              <w:rPr>
                <w:rFonts w:ascii="宋体" w:hAnsi="宋体" w:eastAsia="宋体"/>
                <w:b w:val="0"/>
                <w:sz w:val="18"/>
              </w:rPr>
              <w:t>9.285</w:t>
            </w:r>
          </w:p>
        </w:tc>
        <w:tc>
          <w:tcPr>
            <w:tcW w:w="2268" w:type="dxa"/>
            <w:vAlign w:val="center"/>
          </w:tcPr>
          <w:p w14:paraId="573CAECE">
            <w:pPr>
              <w:spacing w:after="20"/>
            </w:pPr>
            <w:r>
              <w:rPr>
                <w:rFonts w:ascii="宋体" w:hAnsi="宋体" w:eastAsia="宋体"/>
                <w:b w:val="0"/>
                <w:sz w:val="18"/>
              </w:rPr>
              <w:t>6.630</w:t>
            </w:r>
          </w:p>
        </w:tc>
      </w:tr>
      <w:tr w14:paraId="5D248EC4">
        <w:tblPrEx>
          <w:tblBorders>
            <w:top w:val="single" w:color="808080" w:sz="6" w:space="0"/>
            <w:left w:val="single" w:color="808080" w:sz="6" w:space="0"/>
            <w:bottom w:val="single" w:color="808080" w:sz="6" w:space="0"/>
            <w:right w:val="single" w:color="808080" w:sz="6" w:space="0"/>
            <w:insideH w:val="single" w:color="808080" w:sz="6" w:space="0"/>
            <w:insideV w:val="single" w:color="80808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075CEFA8">
            <w:pPr>
              <w:spacing w:after="20"/>
            </w:pPr>
            <w:r>
              <w:rPr>
                <w:rFonts w:ascii="宋体" w:hAnsi="宋体" w:eastAsia="宋体"/>
                <w:b w:val="0"/>
                <w:sz w:val="18"/>
              </w:rPr>
              <w:t>d</w:t>
            </w:r>
          </w:p>
        </w:tc>
        <w:tc>
          <w:tcPr>
            <w:tcW w:w="2268" w:type="dxa"/>
            <w:vAlign w:val="center"/>
          </w:tcPr>
          <w:p w14:paraId="1A6CC98A">
            <w:pPr>
              <w:spacing w:after="20"/>
            </w:pPr>
            <w:r>
              <w:rPr>
                <w:rFonts w:ascii="宋体" w:hAnsi="宋体" w:eastAsia="宋体"/>
                <w:b w:val="0"/>
                <w:sz w:val="18"/>
              </w:rPr>
              <w:t>−7.332</w:t>
            </w:r>
          </w:p>
        </w:tc>
        <w:tc>
          <w:tcPr>
            <w:tcW w:w="2268" w:type="dxa"/>
            <w:vAlign w:val="center"/>
          </w:tcPr>
          <w:p w14:paraId="7699BC59">
            <w:pPr>
              <w:spacing w:after="20"/>
            </w:pPr>
            <w:r>
              <w:rPr>
                <w:rFonts w:ascii="宋体" w:hAnsi="宋体" w:eastAsia="宋体"/>
                <w:b w:val="0"/>
                <w:sz w:val="18"/>
              </w:rPr>
              <w:t>−0.702</w:t>
            </w:r>
          </w:p>
        </w:tc>
        <w:tc>
          <w:tcPr>
            <w:tcW w:w="2268" w:type="dxa"/>
            <w:vAlign w:val="center"/>
          </w:tcPr>
          <w:p w14:paraId="50CCE905">
            <w:pPr>
              <w:spacing w:after="20"/>
            </w:pPr>
            <w:r>
              <w:rPr>
                <w:rFonts w:ascii="宋体" w:hAnsi="宋体" w:eastAsia="宋体"/>
                <w:b w:val="0"/>
                <w:sz w:val="18"/>
              </w:rPr>
              <w:t>6.630</w:t>
            </w:r>
          </w:p>
        </w:tc>
      </w:tr>
      <w:tr w14:paraId="7604C245">
        <w:tblPrEx>
          <w:tblBorders>
            <w:top w:val="single" w:color="808080" w:sz="6" w:space="0"/>
            <w:left w:val="single" w:color="808080" w:sz="6" w:space="0"/>
            <w:bottom w:val="single" w:color="808080" w:sz="6" w:space="0"/>
            <w:right w:val="single" w:color="808080" w:sz="6" w:space="0"/>
            <w:insideH w:val="single" w:color="808080" w:sz="6" w:space="0"/>
            <w:insideV w:val="single" w:color="80808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498479D2">
            <w:pPr>
              <w:spacing w:after="20"/>
            </w:pPr>
            <w:r>
              <w:rPr>
                <w:rFonts w:ascii="宋体" w:hAnsi="宋体" w:eastAsia="宋体"/>
                <w:b w:val="0"/>
                <w:sz w:val="18"/>
              </w:rPr>
              <w:t>e</w:t>
            </w:r>
          </w:p>
        </w:tc>
        <w:tc>
          <w:tcPr>
            <w:tcW w:w="2268" w:type="dxa"/>
            <w:vAlign w:val="center"/>
          </w:tcPr>
          <w:p w14:paraId="77E48C54">
            <w:pPr>
              <w:spacing w:after="20"/>
            </w:pPr>
            <w:r>
              <w:rPr>
                <w:rFonts w:ascii="宋体" w:hAnsi="宋体" w:eastAsia="宋体"/>
                <w:b w:val="0"/>
                <w:sz w:val="18"/>
              </w:rPr>
              <w:t>−6.630</w:t>
            </w:r>
          </w:p>
        </w:tc>
        <w:tc>
          <w:tcPr>
            <w:tcW w:w="2268" w:type="dxa"/>
            <w:vAlign w:val="center"/>
          </w:tcPr>
          <w:p w14:paraId="3F54C2B8">
            <w:pPr>
              <w:spacing w:after="20"/>
            </w:pPr>
            <w:r>
              <w:rPr>
                <w:rFonts w:ascii="宋体" w:hAnsi="宋体" w:eastAsia="宋体"/>
                <w:b w:val="0"/>
                <w:sz w:val="18"/>
              </w:rPr>
              <w:t>0.000</w:t>
            </w:r>
          </w:p>
        </w:tc>
        <w:tc>
          <w:tcPr>
            <w:tcW w:w="2268" w:type="dxa"/>
            <w:vAlign w:val="center"/>
          </w:tcPr>
          <w:p w14:paraId="207F1231">
            <w:pPr>
              <w:spacing w:after="20"/>
            </w:pPr>
            <w:r>
              <w:rPr>
                <w:rFonts w:ascii="宋体" w:hAnsi="宋体" w:eastAsia="宋体"/>
                <w:b w:val="0"/>
                <w:sz w:val="18"/>
              </w:rPr>
              <w:t>6.630</w:t>
            </w:r>
          </w:p>
        </w:tc>
      </w:tr>
      <w:tr w14:paraId="4477CF73">
        <w:tblPrEx>
          <w:tblBorders>
            <w:top w:val="single" w:color="808080" w:sz="6" w:space="0"/>
            <w:left w:val="single" w:color="808080" w:sz="6" w:space="0"/>
            <w:bottom w:val="single" w:color="808080" w:sz="6" w:space="0"/>
            <w:right w:val="single" w:color="808080" w:sz="6" w:space="0"/>
            <w:insideH w:val="single" w:color="808080" w:sz="6" w:space="0"/>
            <w:insideV w:val="single" w:color="80808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19B05B37">
            <w:pPr>
              <w:spacing w:after="20"/>
            </w:pPr>
            <w:r>
              <w:rPr>
                <w:rFonts w:ascii="宋体" w:hAnsi="宋体" w:eastAsia="宋体"/>
                <w:b w:val="0"/>
                <w:sz w:val="18"/>
              </w:rPr>
              <w:t>f</w:t>
            </w:r>
          </w:p>
        </w:tc>
        <w:tc>
          <w:tcPr>
            <w:tcW w:w="2268" w:type="dxa"/>
            <w:vAlign w:val="center"/>
          </w:tcPr>
          <w:p w14:paraId="05C36114">
            <w:pPr>
              <w:spacing w:after="20"/>
            </w:pPr>
            <w:r>
              <w:rPr>
                <w:rFonts w:ascii="宋体" w:hAnsi="宋体" w:eastAsia="宋体"/>
                <w:b w:val="0"/>
                <w:sz w:val="18"/>
              </w:rPr>
              <w:t>−5.862</w:t>
            </w:r>
          </w:p>
        </w:tc>
        <w:tc>
          <w:tcPr>
            <w:tcW w:w="2268" w:type="dxa"/>
            <w:vAlign w:val="center"/>
          </w:tcPr>
          <w:p w14:paraId="6198FCE8">
            <w:pPr>
              <w:spacing w:after="20"/>
            </w:pPr>
            <w:r>
              <w:rPr>
                <w:rFonts w:ascii="宋体" w:hAnsi="宋体" w:eastAsia="宋体"/>
                <w:b w:val="0"/>
                <w:sz w:val="18"/>
              </w:rPr>
              <w:t>0.769</w:t>
            </w:r>
          </w:p>
        </w:tc>
        <w:tc>
          <w:tcPr>
            <w:tcW w:w="2268" w:type="dxa"/>
            <w:vAlign w:val="center"/>
          </w:tcPr>
          <w:p w14:paraId="4A593CA9">
            <w:pPr>
              <w:spacing w:after="20"/>
            </w:pPr>
            <w:r>
              <w:rPr>
                <w:rFonts w:ascii="宋体" w:hAnsi="宋体" w:eastAsia="宋体"/>
                <w:b w:val="0"/>
                <w:sz w:val="18"/>
              </w:rPr>
              <w:t>6.631</w:t>
            </w:r>
          </w:p>
        </w:tc>
      </w:tr>
      <w:tr w14:paraId="78056F87">
        <w:tblPrEx>
          <w:tblBorders>
            <w:top w:val="single" w:color="808080" w:sz="6" w:space="0"/>
            <w:left w:val="single" w:color="808080" w:sz="6" w:space="0"/>
            <w:bottom w:val="single" w:color="808080" w:sz="6" w:space="0"/>
            <w:right w:val="single" w:color="808080" w:sz="6" w:space="0"/>
            <w:insideH w:val="single" w:color="808080" w:sz="6" w:space="0"/>
            <w:insideV w:val="single" w:color="80808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232D2DFC">
            <w:pPr>
              <w:spacing w:after="20"/>
            </w:pPr>
            <w:r>
              <w:rPr>
                <w:rFonts w:ascii="宋体" w:hAnsi="宋体" w:eastAsia="宋体"/>
                <w:b w:val="0"/>
                <w:sz w:val="18"/>
              </w:rPr>
              <w:t>g</w:t>
            </w:r>
          </w:p>
        </w:tc>
        <w:tc>
          <w:tcPr>
            <w:tcW w:w="2268" w:type="dxa"/>
            <w:vAlign w:val="center"/>
          </w:tcPr>
          <w:p w14:paraId="4B2A17E2">
            <w:pPr>
              <w:spacing w:after="20"/>
            </w:pPr>
            <w:r>
              <w:rPr>
                <w:rFonts w:ascii="宋体" w:hAnsi="宋体" w:eastAsia="宋体"/>
                <w:b w:val="0"/>
                <w:sz w:val="18"/>
              </w:rPr>
              <w:t>−0.774</w:t>
            </w:r>
          </w:p>
        </w:tc>
        <w:tc>
          <w:tcPr>
            <w:tcW w:w="2268" w:type="dxa"/>
            <w:vAlign w:val="center"/>
          </w:tcPr>
          <w:p w14:paraId="670EA222">
            <w:pPr>
              <w:spacing w:after="20"/>
            </w:pPr>
            <w:r>
              <w:rPr>
                <w:rFonts w:ascii="宋体" w:hAnsi="宋体" w:eastAsia="宋体"/>
                <w:b w:val="0"/>
                <w:sz w:val="18"/>
              </w:rPr>
              <w:t>5.856</w:t>
            </w:r>
          </w:p>
        </w:tc>
        <w:tc>
          <w:tcPr>
            <w:tcW w:w="2268" w:type="dxa"/>
            <w:vAlign w:val="center"/>
          </w:tcPr>
          <w:p w14:paraId="21A3C80B">
            <w:pPr>
              <w:spacing w:after="20"/>
            </w:pPr>
            <w:r>
              <w:rPr>
                <w:rFonts w:ascii="宋体" w:hAnsi="宋体" w:eastAsia="宋体"/>
                <w:b w:val="0"/>
                <w:sz w:val="18"/>
              </w:rPr>
              <w:t>6.630</w:t>
            </w:r>
          </w:p>
        </w:tc>
      </w:tr>
    </w:tbl>
    <w:p w14:paraId="04D558ED">
      <w:pPr>
        <w:spacing w:after="20"/>
      </w:pPr>
    </w:p>
    <w:p w14:paraId="6AAD01A8">
      <w:pPr>
        <w:keepNext/>
        <w:spacing w:before="120" w:after="100"/>
      </w:pPr>
      <w:r>
        <w:rPr>
          <w:rFonts w:ascii="宋体" w:hAnsi="宋体" w:eastAsia="宋体"/>
          <w:b/>
          <w:sz w:val="24"/>
        </w:rPr>
        <w:t>5.2 等电位点验证</w:t>
      </w:r>
    </w:p>
    <w:p w14:paraId="23103B44">
      <w:pPr>
        <w:spacing w:after="60" w:line="324" w:lineRule="auto"/>
        <w:ind w:firstLine="420"/>
      </w:pPr>
      <w:r>
        <w:rPr>
          <w:rFonts w:ascii="宋体" w:hAnsi="宋体" w:eastAsia="宋体"/>
          <w:b w:val="0"/>
          <w:sz w:val="21"/>
        </w:rPr>
        <w:t>在寻找等电位点后再短接e与e5，记录中各节点电位的最大变化为0.033 V（例如a点0.239 V变为0.272 V，c点−7.840 V变为−7.830 V）。相对于数伏量级节点电位，该变化很小，表明e5已调至与e近似等电位，短接没有明显改变原电路工作状态。</w:t>
      </w:r>
    </w:p>
    <w:p w14:paraId="092CF832">
      <w:pPr>
        <w:keepNext/>
        <w:spacing w:before="120" w:after="100"/>
      </w:pPr>
      <w:r>
        <w:rPr>
          <w:rFonts w:ascii="宋体" w:hAnsi="宋体" w:eastAsia="宋体"/>
          <w:b/>
          <w:sz w:val="24"/>
        </w:rPr>
        <w:t>5.3 KVL验证</w:t>
      </w:r>
    </w:p>
    <w:p w14:paraId="551821E2">
      <w:pPr>
        <w:spacing w:after="60" w:line="324" w:lineRule="auto"/>
        <w:ind w:firstLine="420"/>
      </w:pPr>
      <w:r>
        <w:rPr>
          <w:rFonts w:ascii="宋体" w:hAnsi="宋体" w:eastAsia="宋体"/>
          <w:b w:val="0"/>
          <w:sz w:val="21"/>
        </w:rPr>
        <w:t>取回路 a→b→c→d→e→f→g→a，按下标顺序对附表2电压代数求和。</w:t>
      </w:r>
    </w:p>
    <w:tbl>
      <w:tblPr>
        <w:tblStyle w:val="13"/>
        <w:tblW w:w="0" w:type="auto"/>
        <w:jc w:val="center"/>
        <w:tblBorders>
          <w:top w:val="single" w:color="808080" w:sz="6" w:space="0"/>
          <w:left w:val="single" w:color="808080" w:sz="6" w:space="0"/>
          <w:bottom w:val="single" w:color="808080" w:sz="6" w:space="0"/>
          <w:right w:val="single" w:color="808080" w:sz="6" w:space="0"/>
          <w:insideH w:val="single" w:color="808080" w:sz="6" w:space="0"/>
          <w:insideV w:val="single" w:color="808080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39"/>
        <w:gridCol w:w="4027"/>
        <w:gridCol w:w="1726"/>
        <w:gridCol w:w="1666"/>
      </w:tblGrid>
      <w:tr w14:paraId="40E315E0">
        <w:tblPrEx>
          <w:tblBorders>
            <w:top w:val="single" w:color="808080" w:sz="6" w:space="0"/>
            <w:left w:val="single" w:color="808080" w:sz="6" w:space="0"/>
            <w:bottom w:val="single" w:color="808080" w:sz="6" w:space="0"/>
            <w:right w:val="single" w:color="808080" w:sz="6" w:space="0"/>
            <w:insideH w:val="single" w:color="808080" w:sz="6" w:space="0"/>
            <w:insideV w:val="single" w:color="80808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D9EAF7"/>
            <w:vAlign w:val="center"/>
          </w:tcPr>
          <w:p w14:paraId="6D865D78">
            <w:pPr>
              <w:jc w:val="center"/>
            </w:pPr>
            <w:r>
              <w:rPr>
                <w:rFonts w:ascii="宋体" w:hAnsi="宋体" w:eastAsia="宋体"/>
                <w:b/>
                <w:sz w:val="19"/>
              </w:rPr>
              <w:t>状态</w:t>
            </w:r>
          </w:p>
        </w:tc>
        <w:tc>
          <w:tcPr>
            <w:tcW w:w="2268" w:type="dxa"/>
            <w:shd w:val="clear" w:color="auto" w:fill="D9EAF7"/>
            <w:vAlign w:val="center"/>
          </w:tcPr>
          <w:p w14:paraId="53A573EC">
            <w:pPr>
              <w:jc w:val="center"/>
            </w:pPr>
            <w:r>
              <w:rPr>
                <w:rFonts w:ascii="宋体" w:hAnsi="宋体" w:eastAsia="宋体"/>
                <w:b/>
                <w:sz w:val="19"/>
              </w:rPr>
              <w:t>ΣU＝Uab+Ubc+Ucd+Ude+Uef+Ufg+Uga</w:t>
            </w:r>
          </w:p>
        </w:tc>
        <w:tc>
          <w:tcPr>
            <w:tcW w:w="2268" w:type="dxa"/>
            <w:shd w:val="clear" w:color="auto" w:fill="D9EAF7"/>
            <w:vAlign w:val="center"/>
          </w:tcPr>
          <w:p w14:paraId="323050BD">
            <w:pPr>
              <w:jc w:val="center"/>
            </w:pPr>
            <w:r>
              <w:rPr>
                <w:rFonts w:ascii="宋体" w:hAnsi="宋体" w:eastAsia="宋体"/>
                <w:b/>
                <w:sz w:val="19"/>
              </w:rPr>
              <w:t>残差</w:t>
            </w:r>
          </w:p>
        </w:tc>
        <w:tc>
          <w:tcPr>
            <w:tcW w:w="2268" w:type="dxa"/>
            <w:shd w:val="clear" w:color="auto" w:fill="D9EAF7"/>
            <w:vAlign w:val="center"/>
          </w:tcPr>
          <w:p w14:paraId="0B720E1B">
            <w:pPr>
              <w:jc w:val="center"/>
            </w:pPr>
            <w:r>
              <w:rPr>
                <w:rFonts w:ascii="宋体" w:hAnsi="宋体" w:eastAsia="宋体"/>
                <w:b/>
                <w:sz w:val="19"/>
              </w:rPr>
              <w:t>结论</w:t>
            </w:r>
          </w:p>
        </w:tc>
      </w:tr>
      <w:tr w14:paraId="75FC21F5">
        <w:tblPrEx>
          <w:tblBorders>
            <w:top w:val="single" w:color="808080" w:sz="6" w:space="0"/>
            <w:left w:val="single" w:color="808080" w:sz="6" w:space="0"/>
            <w:bottom w:val="single" w:color="808080" w:sz="6" w:space="0"/>
            <w:right w:val="single" w:color="808080" w:sz="6" w:space="0"/>
            <w:insideH w:val="single" w:color="808080" w:sz="6" w:space="0"/>
            <w:insideV w:val="single" w:color="80808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0BDD533A">
            <w:pPr>
              <w:spacing w:after="20"/>
            </w:pPr>
            <w:r>
              <w:rPr>
                <w:rFonts w:ascii="宋体" w:hAnsi="宋体" w:eastAsia="宋体"/>
                <w:b w:val="0"/>
                <w:sz w:val="18"/>
              </w:rPr>
              <w:t>找到等电位前</w:t>
            </w:r>
          </w:p>
        </w:tc>
        <w:tc>
          <w:tcPr>
            <w:tcW w:w="2268" w:type="dxa"/>
            <w:vAlign w:val="center"/>
          </w:tcPr>
          <w:p w14:paraId="1D594051">
            <w:pPr>
              <w:spacing w:after="20"/>
            </w:pPr>
            <w:r>
              <w:rPr>
                <w:rFonts w:ascii="宋体" w:hAnsi="宋体" w:eastAsia="宋体"/>
                <w:b w:val="0"/>
                <w:sz w:val="18"/>
              </w:rPr>
              <w:t>5.601+2.327−9.702+2.162+2.325−5.021+2.324</w:t>
            </w:r>
          </w:p>
        </w:tc>
        <w:tc>
          <w:tcPr>
            <w:tcW w:w="2268" w:type="dxa"/>
            <w:vAlign w:val="center"/>
          </w:tcPr>
          <w:p w14:paraId="4C1F582D">
            <w:pPr>
              <w:spacing w:after="20"/>
            </w:pPr>
            <w:r>
              <w:rPr>
                <w:rFonts w:ascii="宋体" w:hAnsi="宋体" w:eastAsia="宋体"/>
                <w:b w:val="0"/>
                <w:sz w:val="18"/>
              </w:rPr>
              <w:t>0.016 V</w:t>
            </w:r>
          </w:p>
        </w:tc>
        <w:tc>
          <w:tcPr>
            <w:tcW w:w="2268" w:type="dxa"/>
            <w:vAlign w:val="center"/>
          </w:tcPr>
          <w:p w14:paraId="2B1CC15E">
            <w:pPr>
              <w:spacing w:after="20"/>
            </w:pPr>
            <w:r>
              <w:rPr>
                <w:rFonts w:ascii="宋体" w:hAnsi="宋体" w:eastAsia="宋体"/>
                <w:b w:val="0"/>
                <w:sz w:val="18"/>
              </w:rPr>
              <w:t>近似为0</w:t>
            </w:r>
          </w:p>
        </w:tc>
      </w:tr>
      <w:tr w14:paraId="46899117">
        <w:tblPrEx>
          <w:tblBorders>
            <w:top w:val="single" w:color="808080" w:sz="6" w:space="0"/>
            <w:left w:val="single" w:color="808080" w:sz="6" w:space="0"/>
            <w:bottom w:val="single" w:color="808080" w:sz="6" w:space="0"/>
            <w:right w:val="single" w:color="808080" w:sz="6" w:space="0"/>
            <w:insideH w:val="single" w:color="808080" w:sz="6" w:space="0"/>
            <w:insideV w:val="single" w:color="80808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4B9F0587">
            <w:pPr>
              <w:spacing w:after="20"/>
            </w:pPr>
            <w:r>
              <w:rPr>
                <w:rFonts w:ascii="宋体" w:hAnsi="宋体" w:eastAsia="宋体"/>
                <w:b w:val="0"/>
                <w:sz w:val="18"/>
              </w:rPr>
              <w:t>找到等电位后</w:t>
            </w:r>
          </w:p>
        </w:tc>
        <w:tc>
          <w:tcPr>
            <w:tcW w:w="2268" w:type="dxa"/>
            <w:vAlign w:val="center"/>
          </w:tcPr>
          <w:p w14:paraId="6B7E9B2A">
            <w:pPr>
              <w:spacing w:after="20"/>
            </w:pPr>
            <w:r>
              <w:rPr>
                <w:rFonts w:ascii="宋体" w:hAnsi="宋体" w:eastAsia="宋体"/>
                <w:b w:val="0"/>
                <w:sz w:val="18"/>
              </w:rPr>
              <w:t>5.575+2.507−10.014+2.175+2.388−5.024+2.393</w:t>
            </w:r>
          </w:p>
        </w:tc>
        <w:tc>
          <w:tcPr>
            <w:tcW w:w="2268" w:type="dxa"/>
            <w:vAlign w:val="center"/>
          </w:tcPr>
          <w:p w14:paraId="3D2C90BE">
            <w:pPr>
              <w:spacing w:after="20"/>
            </w:pPr>
            <w:r>
              <w:rPr>
                <w:rFonts w:ascii="宋体" w:hAnsi="宋体" w:eastAsia="宋体"/>
                <w:b w:val="0"/>
                <w:sz w:val="18"/>
              </w:rPr>
              <w:t>0.000 V</w:t>
            </w:r>
          </w:p>
        </w:tc>
        <w:tc>
          <w:tcPr>
            <w:tcW w:w="2268" w:type="dxa"/>
            <w:vAlign w:val="center"/>
          </w:tcPr>
          <w:p w14:paraId="6DAF3A12">
            <w:pPr>
              <w:spacing w:after="20"/>
            </w:pPr>
            <w:r>
              <w:rPr>
                <w:rFonts w:ascii="宋体" w:hAnsi="宋体" w:eastAsia="宋体"/>
                <w:b w:val="0"/>
                <w:sz w:val="18"/>
              </w:rPr>
              <w:t>满足KVL</w:t>
            </w:r>
          </w:p>
        </w:tc>
      </w:tr>
      <w:tr w14:paraId="05D6619E">
        <w:tblPrEx>
          <w:tblBorders>
            <w:top w:val="single" w:color="808080" w:sz="6" w:space="0"/>
            <w:left w:val="single" w:color="808080" w:sz="6" w:space="0"/>
            <w:bottom w:val="single" w:color="808080" w:sz="6" w:space="0"/>
            <w:right w:val="single" w:color="808080" w:sz="6" w:space="0"/>
            <w:insideH w:val="single" w:color="808080" w:sz="6" w:space="0"/>
            <w:insideV w:val="single" w:color="80808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01CFA285">
            <w:pPr>
              <w:spacing w:after="20"/>
            </w:pPr>
            <w:r>
              <w:rPr>
                <w:rFonts w:ascii="宋体" w:hAnsi="宋体" w:eastAsia="宋体"/>
                <w:b w:val="0"/>
                <w:sz w:val="18"/>
              </w:rPr>
              <w:t>等电位点短接后</w:t>
            </w:r>
          </w:p>
        </w:tc>
        <w:tc>
          <w:tcPr>
            <w:tcW w:w="2268" w:type="dxa"/>
            <w:vAlign w:val="center"/>
          </w:tcPr>
          <w:p w14:paraId="142937C8">
            <w:pPr>
              <w:spacing w:after="20"/>
            </w:pPr>
            <w:r>
              <w:rPr>
                <w:rFonts w:ascii="宋体" w:hAnsi="宋体" w:eastAsia="宋体"/>
                <w:b w:val="0"/>
                <w:sz w:val="18"/>
              </w:rPr>
              <w:t>5.594+2.515−10.015+2.181+2.396−5.032+2.361</w:t>
            </w:r>
          </w:p>
        </w:tc>
        <w:tc>
          <w:tcPr>
            <w:tcW w:w="2268" w:type="dxa"/>
            <w:vAlign w:val="center"/>
          </w:tcPr>
          <w:p w14:paraId="0D48BF15">
            <w:pPr>
              <w:spacing w:after="20"/>
            </w:pPr>
            <w:r>
              <w:rPr>
                <w:rFonts w:ascii="宋体" w:hAnsi="宋体" w:eastAsia="宋体"/>
                <w:b w:val="0"/>
                <w:sz w:val="18"/>
              </w:rPr>
              <w:t>0.000 V</w:t>
            </w:r>
          </w:p>
        </w:tc>
        <w:tc>
          <w:tcPr>
            <w:tcW w:w="2268" w:type="dxa"/>
            <w:vAlign w:val="center"/>
          </w:tcPr>
          <w:p w14:paraId="0A09BFFF">
            <w:pPr>
              <w:spacing w:after="20"/>
            </w:pPr>
            <w:r>
              <w:rPr>
                <w:rFonts w:ascii="宋体" w:hAnsi="宋体" w:eastAsia="宋体"/>
                <w:b w:val="0"/>
                <w:sz w:val="18"/>
              </w:rPr>
              <w:t>满足KVL</w:t>
            </w:r>
          </w:p>
        </w:tc>
      </w:tr>
    </w:tbl>
    <w:p w14:paraId="6F87ED30">
      <w:pPr>
        <w:spacing w:after="20"/>
      </w:pPr>
    </w:p>
    <w:p w14:paraId="7ED82CC2">
      <w:pPr>
        <w:spacing w:after="60" w:line="324" w:lineRule="auto"/>
        <w:ind w:firstLine="420"/>
      </w:pPr>
      <w:r>
        <w:rPr>
          <w:rFonts w:ascii="宋体" w:hAnsi="宋体" w:eastAsia="宋体"/>
          <w:b w:val="0"/>
          <w:sz w:val="21"/>
        </w:rPr>
        <w:t>三种状态下闭合回路的电压代数和均接近零；后两组在给定有效数字下恰为零，验证了基尔霍夫电压定律。</w:t>
      </w:r>
    </w:p>
    <w:p w14:paraId="770623A6">
      <w:pPr>
        <w:keepNext/>
        <w:spacing w:before="200" w:after="100"/>
      </w:pPr>
      <w:r>
        <w:rPr>
          <w:rFonts w:ascii="宋体" w:hAnsi="宋体" w:eastAsia="宋体"/>
          <w:b/>
          <w:sz w:val="28"/>
        </w:rPr>
        <w:t>六、电位图绘制说明</w:t>
      </w:r>
    </w:p>
    <w:p w14:paraId="243104D0">
      <w:pPr>
        <w:spacing w:after="40"/>
        <w:jc w:val="center"/>
      </w:pPr>
      <w:r>
        <w:drawing>
          <wp:inline distT="0" distB="0" distL="114300" distR="114300">
            <wp:extent cx="4499610" cy="2499995"/>
            <wp:effectExtent l="0" t="0" r="5715" b="508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5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9A3201">
      <w:pPr>
        <w:spacing w:after="120" w:line="324" w:lineRule="auto"/>
        <w:jc w:val="center"/>
      </w:pPr>
      <w:r>
        <w:rPr>
          <w:rFonts w:ascii="宋体" w:hAnsi="宋体" w:eastAsia="宋体"/>
          <w:b w:val="0"/>
          <w:sz w:val="19"/>
        </w:rPr>
        <w:t>图3  以 e 点为参考点的实测电位图</w:t>
      </w:r>
    </w:p>
    <w:p w14:paraId="5E9214BF">
      <w:pPr>
        <w:spacing w:after="60" w:line="324" w:lineRule="auto"/>
        <w:ind w:firstLine="420"/>
      </w:pPr>
      <w:r>
        <w:rPr>
          <w:rFonts w:ascii="宋体" w:hAnsi="宋体" w:eastAsia="宋体"/>
          <w:b w:val="0"/>
          <w:sz w:val="21"/>
        </w:rPr>
        <w:t>以e为零电位基准，可按节点顺序标注：a=6.630 V、b=8.451 V、c=9.285 V、d=−0.702 V、e=0 V、f=0.769 V、g=5.856 V。绘图时以水平零线表示e点，其他点按正负电位在零线上下标出高度，再按实际拓扑连接相邻节点；任一支路的竖向高度差即为该支路电压。</w:t>
      </w:r>
    </w:p>
    <w:p w14:paraId="19B9EF3C">
      <w:pPr>
        <w:keepNext/>
        <w:spacing w:before="200" w:after="100"/>
      </w:pPr>
      <w:r>
        <w:rPr>
          <w:rFonts w:ascii="宋体" w:hAnsi="宋体" w:eastAsia="宋体"/>
          <w:b/>
          <w:sz w:val="28"/>
        </w:rPr>
        <w:t>七、误差分析</w:t>
      </w:r>
    </w:p>
    <w:p w14:paraId="31BDE2D5">
      <w:pPr>
        <w:spacing w:after="60" w:line="324" w:lineRule="auto"/>
        <w:ind w:firstLine="420"/>
      </w:pPr>
      <w:r>
        <w:rPr>
          <w:rFonts w:ascii="宋体" w:hAnsi="宋体" w:eastAsia="宋体"/>
          <w:b w:val="0"/>
          <w:sz w:val="21"/>
        </w:rPr>
        <w:t>1. 电压表有限输入电阻会使高阻支路产生分流；</w:t>
      </w:r>
      <w:r>
        <w:rPr>
          <w:rFonts w:hint="eastAsia" w:ascii="宋体" w:hAnsi="宋体"/>
          <w:b w:val="0"/>
          <w:sz w:val="21"/>
          <w:lang w:val="en-US" w:eastAsia="zh-CN"/>
        </w:rPr>
        <w:t>经查阅互联网资料知，</w:t>
      </w:r>
      <w:r>
        <w:rPr>
          <w:rFonts w:ascii="宋体" w:hAnsi="宋体" w:eastAsia="宋体"/>
          <w:b w:val="0"/>
          <w:sz w:val="21"/>
        </w:rPr>
        <w:t>表笔接触电阻、插孔氧化和电源纹波</w:t>
      </w:r>
      <w:r>
        <w:rPr>
          <w:rFonts w:hint="eastAsia" w:ascii="宋体" w:hAnsi="宋体"/>
          <w:b w:val="0"/>
          <w:sz w:val="21"/>
          <w:lang w:val="en-US" w:eastAsia="zh-CN"/>
        </w:rPr>
        <w:t>等</w:t>
      </w:r>
      <w:r>
        <w:rPr>
          <w:rFonts w:ascii="宋体" w:hAnsi="宋体" w:eastAsia="宋体"/>
          <w:b w:val="0"/>
          <w:sz w:val="21"/>
        </w:rPr>
        <w:t>会带来附加误差。</w:t>
      </w:r>
    </w:p>
    <w:p w14:paraId="585C1181">
      <w:pPr>
        <w:spacing w:after="60" w:line="324" w:lineRule="auto"/>
        <w:ind w:firstLine="420"/>
      </w:pPr>
      <w:r>
        <w:rPr>
          <w:rFonts w:ascii="宋体" w:hAnsi="宋体" w:eastAsia="宋体"/>
          <w:b w:val="0"/>
          <w:sz w:val="21"/>
        </w:rPr>
        <w:t>2. 电位读数的正负号依赖参考点和表笔极性。若没有按 UAB 的下标顺序接表笔，数值符号会错误，从而使KVL代数和失真。</w:t>
      </w:r>
    </w:p>
    <w:p w14:paraId="752E90BE">
      <w:pPr>
        <w:spacing w:after="60" w:line="324" w:lineRule="auto"/>
        <w:ind w:firstLine="420"/>
      </w:pPr>
      <w:r>
        <w:rPr>
          <w:rFonts w:ascii="宋体" w:hAnsi="宋体" w:eastAsia="宋体"/>
          <w:b w:val="0"/>
          <w:sz w:val="21"/>
        </w:rPr>
        <w:t>3. 电位器滑动端具有接触电阻，指零判断受仪表分辨率影响，因此等电位点只能达到近似；记录中短接前后的0.033 V最大差异反映了这一限制。</w:t>
      </w:r>
    </w:p>
    <w:p w14:paraId="1CD3CB24">
      <w:pPr>
        <w:keepNext/>
        <w:spacing w:before="200" w:after="100"/>
      </w:pPr>
      <w:r>
        <w:rPr>
          <w:rFonts w:ascii="宋体" w:hAnsi="宋体" w:eastAsia="宋体"/>
          <w:b/>
          <w:sz w:val="28"/>
        </w:rPr>
        <w:t>八、思考题与结论</w:t>
      </w:r>
    </w:p>
    <w:p w14:paraId="0FA9A6C3">
      <w:pPr>
        <w:spacing w:after="60" w:line="324" w:lineRule="auto"/>
        <w:ind w:firstLine="420"/>
        <w:rPr>
          <w:sz w:val="21"/>
          <w:szCs w:val="21"/>
        </w:rPr>
      </w:pPr>
      <w:r>
        <w:rPr>
          <w:rFonts w:ascii="宋体" w:hAnsi="宋体" w:eastAsia="宋体"/>
          <w:b w:val="0"/>
          <w:sz w:val="21"/>
          <w:szCs w:val="21"/>
        </w:rPr>
        <w:t>参考点是人为选定的零电位基准；改变参考点会改变全部节点电位的数</w:t>
      </w:r>
      <w:bookmarkStart w:id="0" w:name="_GoBack"/>
      <w:bookmarkEnd w:id="0"/>
      <w:r>
        <w:rPr>
          <w:rFonts w:ascii="宋体" w:hAnsi="宋体" w:eastAsia="宋体"/>
          <w:b w:val="0"/>
          <w:sz w:val="21"/>
          <w:szCs w:val="21"/>
        </w:rPr>
        <w:t>值，但不会改变任意两点的电压。</w:t>
      </w:r>
      <w:r>
        <w:rPr>
          <w:rFonts w:ascii="宋体" w:hAnsi="宋体" w:eastAsia="宋体" w:cs="宋体"/>
          <w:sz w:val="21"/>
          <w:szCs w:val="21"/>
        </w:rPr>
        <w:t>若两个节点在</w:t>
      </w:r>
      <w:r>
        <w:rPr>
          <w:rStyle w:val="15"/>
          <w:rFonts w:ascii="宋体" w:hAnsi="宋体" w:eastAsia="宋体" w:cs="宋体"/>
          <w:b w:val="0"/>
          <w:bCs/>
          <w:sz w:val="21"/>
          <w:szCs w:val="21"/>
        </w:rPr>
        <w:t>未连接时已经处于等电位状态</w:t>
      </w:r>
      <w:r>
        <w:rPr>
          <w:rFonts w:ascii="宋体" w:hAnsi="宋体" w:eastAsia="宋体" w:cs="宋体"/>
          <w:sz w:val="21"/>
          <w:szCs w:val="21"/>
        </w:rPr>
        <w:t>，在本实验的线性直流电阻网络中将它们短接，理想情况下不会显著改变原网络各节点电位和支路工作状态。</w:t>
      </w:r>
    </w:p>
    <w:p w14:paraId="71265153">
      <w:pPr>
        <w:spacing w:after="60" w:line="324" w:lineRule="auto"/>
        <w:ind w:firstLine="420"/>
      </w:pPr>
      <w:r>
        <w:rPr>
          <w:rFonts w:ascii="宋体" w:hAnsi="宋体" w:eastAsia="宋体"/>
          <w:b w:val="0"/>
          <w:sz w:val="21"/>
          <w:szCs w:val="21"/>
        </w:rPr>
        <w:t>本实验实测表明：参考点由a改为e后各节点电位统一平移约6.630 V；闭合回路电压代数和的最大残差仅0.016 V；等电位点短接前后节点变化很小。实验结果与电位相对性及KVL一致</w:t>
      </w:r>
      <w:r>
        <w:rPr>
          <w:rFonts w:ascii="宋体" w:hAnsi="宋体" w:eastAsia="宋体"/>
          <w:b w:val="0"/>
          <w:sz w:val="21"/>
        </w:rPr>
        <w:t>。</w:t>
      </w:r>
    </w:p>
    <w:sectPr>
      <w:pgSz w:w="11906" w:h="16838"/>
      <w:pgMar w:top="1247" w:right="1417" w:bottom="1247" w:left="1417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华文行楷">
    <w:panose1 w:val="02010800040101010101"/>
    <w:charset w:val="86"/>
    <w:family w:val="auto"/>
    <w:pitch w:val="default"/>
    <w:sig w:usb0="00000001" w:usb1="080F0000" w:usb2="00000000" w:usb3="00000000" w:csb0="0004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78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5008C"/>
    <w:rsid w:val="005E12C8"/>
    <w:rsid w:val="005E14F8"/>
    <w:rsid w:val="0075008C"/>
    <w:rsid w:val="00F474AE"/>
    <w:rsid w:val="3E525794"/>
    <w:rsid w:val="417A0FC7"/>
    <w:rsid w:val="5BE73FDF"/>
    <w:rsid w:val="7340032B"/>
    <w:rsid w:val="779505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after="0" w:line="240" w:lineRule="auto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  <w14:ligatures w14:val="none"/>
    </w:rPr>
  </w:style>
  <w:style w:type="paragraph" w:styleId="2">
    <w:name w:val="heading 1"/>
    <w:basedOn w:val="1"/>
    <w:next w:val="1"/>
    <w:link w:val="16"/>
    <w:qFormat/>
    <w:uiPriority w:val="9"/>
    <w:pPr>
      <w:keepNext/>
      <w:keepLines/>
      <w:spacing w:before="480" w:after="80" w:line="278" w:lineRule="auto"/>
      <w:jc w:val="left"/>
      <w:outlineLvl w:val="0"/>
    </w:pPr>
    <w:rPr>
      <w:rFonts w:asciiTheme="majorHAnsi" w:hAnsiTheme="majorHAnsi" w:eastAsiaTheme="majorEastAsia" w:cstheme="majorBidi"/>
      <w:color w:val="104862" w:themeColor="accent1" w:themeShade="BF"/>
      <w:sz w:val="48"/>
      <w:szCs w:val="48"/>
      <w14:ligatures w14:val="standardContextual"/>
    </w:rPr>
  </w:style>
  <w:style w:type="paragraph" w:styleId="3">
    <w:name w:val="heading 2"/>
    <w:basedOn w:val="1"/>
    <w:next w:val="1"/>
    <w:link w:val="17"/>
    <w:semiHidden/>
    <w:unhideWhenUsed/>
    <w:qFormat/>
    <w:uiPriority w:val="9"/>
    <w:pPr>
      <w:keepNext/>
      <w:keepLines/>
      <w:spacing w:before="160" w:after="80" w:line="278" w:lineRule="auto"/>
      <w:jc w:val="left"/>
      <w:outlineLvl w:val="1"/>
    </w:pPr>
    <w:rPr>
      <w:rFonts w:asciiTheme="majorHAnsi" w:hAnsiTheme="majorHAnsi" w:eastAsiaTheme="majorEastAsia" w:cstheme="majorBidi"/>
      <w:color w:val="104862" w:themeColor="accent1" w:themeShade="BF"/>
      <w:sz w:val="40"/>
      <w:szCs w:val="40"/>
      <w14:ligatures w14:val="standardContextual"/>
    </w:rPr>
  </w:style>
  <w:style w:type="paragraph" w:styleId="4">
    <w:name w:val="heading 3"/>
    <w:basedOn w:val="1"/>
    <w:next w:val="1"/>
    <w:link w:val="18"/>
    <w:semiHidden/>
    <w:unhideWhenUsed/>
    <w:qFormat/>
    <w:uiPriority w:val="9"/>
    <w:pPr>
      <w:keepNext/>
      <w:keepLines/>
      <w:spacing w:before="160" w:after="80" w:line="278" w:lineRule="auto"/>
      <w:jc w:val="left"/>
      <w:outlineLvl w:val="2"/>
    </w:pPr>
    <w:rPr>
      <w:rFonts w:asciiTheme="majorHAnsi" w:hAnsiTheme="majorHAnsi" w:eastAsiaTheme="majorEastAsia" w:cstheme="majorBidi"/>
      <w:color w:val="104862" w:themeColor="accent1" w:themeShade="BF"/>
      <w:sz w:val="32"/>
      <w:szCs w:val="32"/>
      <w14:ligatures w14:val="standardContextual"/>
    </w:rPr>
  </w:style>
  <w:style w:type="paragraph" w:styleId="5">
    <w:name w:val="heading 4"/>
    <w:basedOn w:val="1"/>
    <w:next w:val="1"/>
    <w:link w:val="19"/>
    <w:semiHidden/>
    <w:unhideWhenUsed/>
    <w:qFormat/>
    <w:uiPriority w:val="9"/>
    <w:pPr>
      <w:keepNext/>
      <w:keepLines/>
      <w:spacing w:before="80" w:after="40" w:line="278" w:lineRule="auto"/>
      <w:jc w:val="left"/>
      <w:outlineLvl w:val="3"/>
    </w:pPr>
    <w:rPr>
      <w:rFonts w:asciiTheme="minorHAnsi" w:hAnsiTheme="minorHAnsi" w:eastAsiaTheme="minorEastAsia" w:cstheme="majorBidi"/>
      <w:color w:val="104862" w:themeColor="accent1" w:themeShade="BF"/>
      <w:sz w:val="28"/>
      <w:szCs w:val="28"/>
      <w14:ligatures w14:val="standardContextual"/>
    </w:rPr>
  </w:style>
  <w:style w:type="paragraph" w:styleId="6">
    <w:name w:val="heading 5"/>
    <w:basedOn w:val="1"/>
    <w:next w:val="1"/>
    <w:link w:val="20"/>
    <w:semiHidden/>
    <w:unhideWhenUsed/>
    <w:qFormat/>
    <w:uiPriority w:val="9"/>
    <w:pPr>
      <w:keepNext/>
      <w:keepLines/>
      <w:spacing w:before="80" w:after="40" w:line="278" w:lineRule="auto"/>
      <w:jc w:val="left"/>
      <w:outlineLvl w:val="4"/>
    </w:pPr>
    <w:rPr>
      <w:rFonts w:asciiTheme="minorHAnsi" w:hAnsiTheme="minorHAnsi" w:eastAsiaTheme="minorEastAsia" w:cstheme="majorBidi"/>
      <w:color w:val="104862" w:themeColor="accent1" w:themeShade="BF"/>
      <w:sz w:val="24"/>
      <w14:ligatures w14:val="standardContextual"/>
    </w:rPr>
  </w:style>
  <w:style w:type="paragraph" w:styleId="7">
    <w:name w:val="heading 6"/>
    <w:basedOn w:val="1"/>
    <w:next w:val="1"/>
    <w:link w:val="21"/>
    <w:semiHidden/>
    <w:unhideWhenUsed/>
    <w:qFormat/>
    <w:uiPriority w:val="9"/>
    <w:pPr>
      <w:keepNext/>
      <w:keepLines/>
      <w:spacing w:before="40" w:line="278" w:lineRule="auto"/>
      <w:jc w:val="left"/>
      <w:outlineLvl w:val="5"/>
    </w:pPr>
    <w:rPr>
      <w:rFonts w:asciiTheme="minorHAnsi" w:hAnsiTheme="minorHAnsi" w:eastAsiaTheme="minorEastAsia" w:cstheme="majorBidi"/>
      <w:b/>
      <w:bCs/>
      <w:color w:val="104862" w:themeColor="accent1" w:themeShade="BF"/>
      <w:sz w:val="22"/>
      <w14:ligatures w14:val="standardContextual"/>
    </w:rPr>
  </w:style>
  <w:style w:type="paragraph" w:styleId="8">
    <w:name w:val="heading 7"/>
    <w:basedOn w:val="1"/>
    <w:next w:val="1"/>
    <w:link w:val="22"/>
    <w:semiHidden/>
    <w:unhideWhenUsed/>
    <w:qFormat/>
    <w:uiPriority w:val="9"/>
    <w:pPr>
      <w:keepNext/>
      <w:keepLines/>
      <w:spacing w:before="40" w:line="278" w:lineRule="auto"/>
      <w:jc w:val="left"/>
      <w:outlineLvl w:val="6"/>
    </w:pPr>
    <w:rPr>
      <w:rFonts w:asciiTheme="minorHAnsi" w:hAnsiTheme="minorHAnsi" w:eastAsiaTheme="minorEastAsia" w:cstheme="majorBidi"/>
      <w:b/>
      <w:bCs/>
      <w:color w:val="595959" w:themeColor="text1" w:themeTint="A6"/>
      <w:sz w:val="22"/>
      <w14:textFill>
        <w14:solidFill>
          <w14:schemeClr w14:val="tx1">
            <w14:lumMod w14:val="65000"/>
            <w14:lumOff w14:val="35000"/>
          </w14:schemeClr>
        </w14:solidFill>
      </w14:textFill>
      <w14:ligatures w14:val="standardContextual"/>
    </w:rPr>
  </w:style>
  <w:style w:type="paragraph" w:styleId="9">
    <w:name w:val="heading 8"/>
    <w:basedOn w:val="1"/>
    <w:next w:val="1"/>
    <w:link w:val="23"/>
    <w:semiHidden/>
    <w:unhideWhenUsed/>
    <w:qFormat/>
    <w:uiPriority w:val="9"/>
    <w:pPr>
      <w:keepNext/>
      <w:keepLines/>
      <w:spacing w:line="278" w:lineRule="auto"/>
      <w:jc w:val="left"/>
      <w:outlineLvl w:val="7"/>
    </w:pPr>
    <w:rPr>
      <w:rFonts w:asciiTheme="minorHAnsi" w:hAnsiTheme="minorHAnsi" w:eastAsiaTheme="minorEastAsia" w:cstheme="majorBidi"/>
      <w:color w:val="595959" w:themeColor="text1" w:themeTint="A6"/>
      <w:sz w:val="22"/>
      <w14:textFill>
        <w14:solidFill>
          <w14:schemeClr w14:val="tx1">
            <w14:lumMod w14:val="65000"/>
            <w14:lumOff w14:val="35000"/>
          </w14:schemeClr>
        </w14:solidFill>
      </w14:textFill>
      <w14:ligatures w14:val="standardContextual"/>
    </w:rPr>
  </w:style>
  <w:style w:type="paragraph" w:styleId="10">
    <w:name w:val="heading 9"/>
    <w:basedOn w:val="1"/>
    <w:next w:val="1"/>
    <w:link w:val="24"/>
    <w:semiHidden/>
    <w:unhideWhenUsed/>
    <w:qFormat/>
    <w:uiPriority w:val="9"/>
    <w:pPr>
      <w:keepNext/>
      <w:keepLines/>
      <w:spacing w:line="278" w:lineRule="auto"/>
      <w:jc w:val="left"/>
      <w:outlineLvl w:val="8"/>
    </w:pPr>
    <w:rPr>
      <w:rFonts w:asciiTheme="minorHAnsi" w:hAnsiTheme="minorHAnsi" w:eastAsiaTheme="majorEastAsia" w:cstheme="majorBidi"/>
      <w:color w:val="595959" w:themeColor="text1" w:themeTint="A6"/>
      <w:sz w:val="22"/>
      <w14:textFill>
        <w14:solidFill>
          <w14:schemeClr w14:val="tx1">
            <w14:lumMod w14:val="65000"/>
            <w14:lumOff w14:val="35000"/>
          </w14:schemeClr>
        </w14:solidFill>
      </w14:textFill>
      <w14:ligatures w14:val="standardContextual"/>
    </w:rPr>
  </w:style>
  <w:style w:type="character" w:default="1" w:styleId="14">
    <w:name w:val="Default Paragraph Font"/>
    <w:semiHidden/>
    <w:unhideWhenUsed/>
    <w:qFormat/>
    <w:uiPriority w:val="1"/>
  </w:style>
  <w:style w:type="table" w:default="1" w:styleId="1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Subtitle"/>
    <w:basedOn w:val="1"/>
    <w:next w:val="1"/>
    <w:link w:val="26"/>
    <w:qFormat/>
    <w:uiPriority w:val="11"/>
    <w:pPr>
      <w:spacing w:after="160" w:line="278" w:lineRule="auto"/>
      <w:jc w:val="center"/>
    </w:pPr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  <w14:ligatures w14:val="standardContextual"/>
    </w:rPr>
  </w:style>
  <w:style w:type="paragraph" w:styleId="12">
    <w:name w:val="Title"/>
    <w:basedOn w:val="1"/>
    <w:next w:val="1"/>
    <w:link w:val="25"/>
    <w:qFormat/>
    <w:uiPriority w:val="10"/>
    <w:pPr>
      <w:spacing w:after="80"/>
      <w:contextualSpacing/>
      <w:jc w:val="center"/>
    </w:pPr>
    <w:rPr>
      <w:rFonts w:asciiTheme="majorHAnsi" w:hAnsiTheme="majorHAnsi" w:eastAsiaTheme="majorEastAsia" w:cstheme="majorBidi"/>
      <w:spacing w:val="-10"/>
      <w:kern w:val="28"/>
      <w:sz w:val="56"/>
      <w:szCs w:val="56"/>
      <w14:ligatures w14:val="standardContextual"/>
    </w:rPr>
  </w:style>
  <w:style w:type="character" w:styleId="15">
    <w:name w:val="Strong"/>
    <w:basedOn w:val="14"/>
    <w:qFormat/>
    <w:uiPriority w:val="22"/>
    <w:rPr>
      <w:b/>
    </w:rPr>
  </w:style>
  <w:style w:type="character" w:customStyle="1" w:styleId="16">
    <w:name w:val="标题 1 字符"/>
    <w:basedOn w:val="14"/>
    <w:link w:val="2"/>
    <w:qFormat/>
    <w:uiPriority w:val="9"/>
    <w:rPr>
      <w:rFonts w:asciiTheme="majorHAnsi" w:hAnsiTheme="majorHAnsi" w:eastAsiaTheme="majorEastAsia" w:cstheme="majorBidi"/>
      <w:color w:val="104862" w:themeColor="accent1" w:themeShade="BF"/>
      <w:sz w:val="48"/>
      <w:szCs w:val="48"/>
    </w:rPr>
  </w:style>
  <w:style w:type="character" w:customStyle="1" w:styleId="17">
    <w:name w:val="标题 2 字符"/>
    <w:basedOn w:val="14"/>
    <w:link w:val="3"/>
    <w:semiHidden/>
    <w:qFormat/>
    <w:uiPriority w:val="9"/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character" w:customStyle="1" w:styleId="18">
    <w:name w:val="标题 3 字符"/>
    <w:basedOn w:val="14"/>
    <w:link w:val="4"/>
    <w:semiHidden/>
    <w:qFormat/>
    <w:uiPriority w:val="9"/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character" w:customStyle="1" w:styleId="19">
    <w:name w:val="标题 4 字符"/>
    <w:basedOn w:val="14"/>
    <w:link w:val="5"/>
    <w:semiHidden/>
    <w:qFormat/>
    <w:uiPriority w:val="9"/>
    <w:rPr>
      <w:rFonts w:cstheme="majorBidi"/>
      <w:color w:val="104862" w:themeColor="accent1" w:themeShade="BF"/>
      <w:sz w:val="28"/>
      <w:szCs w:val="28"/>
    </w:rPr>
  </w:style>
  <w:style w:type="character" w:customStyle="1" w:styleId="20">
    <w:name w:val="标题 5 字符"/>
    <w:basedOn w:val="14"/>
    <w:link w:val="6"/>
    <w:semiHidden/>
    <w:qFormat/>
    <w:uiPriority w:val="9"/>
    <w:rPr>
      <w:rFonts w:cstheme="majorBidi"/>
      <w:color w:val="104862" w:themeColor="accent1" w:themeShade="BF"/>
      <w:sz w:val="24"/>
    </w:rPr>
  </w:style>
  <w:style w:type="character" w:customStyle="1" w:styleId="21">
    <w:name w:val="标题 6 字符"/>
    <w:basedOn w:val="14"/>
    <w:link w:val="7"/>
    <w:semiHidden/>
    <w:qFormat/>
    <w:uiPriority w:val="9"/>
    <w:rPr>
      <w:rFonts w:cstheme="majorBidi"/>
      <w:b/>
      <w:bCs/>
      <w:color w:val="104862" w:themeColor="accent1" w:themeShade="BF"/>
    </w:rPr>
  </w:style>
  <w:style w:type="character" w:customStyle="1" w:styleId="22">
    <w:name w:val="标题 7 字符"/>
    <w:basedOn w:val="14"/>
    <w:link w:val="8"/>
    <w:semiHidden/>
    <w:qFormat/>
    <w:uiPriority w:val="9"/>
    <w:rPr>
      <w:rFonts w:cstheme="majorBidi"/>
      <w:b/>
      <w:b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3">
    <w:name w:val="标题 8 字符"/>
    <w:basedOn w:val="14"/>
    <w:link w:val="9"/>
    <w:semiHidden/>
    <w:qFormat/>
    <w:uiPriority w:val="9"/>
    <w:rPr>
      <w:rFonts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4">
    <w:name w:val="标题 9 字符"/>
    <w:basedOn w:val="14"/>
    <w:link w:val="10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5">
    <w:name w:val="标题 字符"/>
    <w:basedOn w:val="14"/>
    <w:link w:val="12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6">
    <w:name w:val="副标题 字符"/>
    <w:basedOn w:val="14"/>
    <w:link w:val="11"/>
    <w:qFormat/>
    <w:uiPriority w:val="11"/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7">
    <w:name w:val="Quote"/>
    <w:basedOn w:val="1"/>
    <w:next w:val="1"/>
    <w:link w:val="28"/>
    <w:qFormat/>
    <w:uiPriority w:val="29"/>
    <w:pPr>
      <w:spacing w:before="160" w:after="160" w:line="278" w:lineRule="auto"/>
      <w:jc w:val="center"/>
    </w:pPr>
    <w:rPr>
      <w:rFonts w:asciiTheme="minorHAnsi" w:hAnsiTheme="minorHAnsi" w:eastAsiaTheme="minorEastAsia" w:cstheme="minorBidi"/>
      <w:i/>
      <w:iCs/>
      <w:color w:val="404040" w:themeColor="text1" w:themeTint="BF"/>
      <w:sz w:val="22"/>
      <w14:textFill>
        <w14:solidFill>
          <w14:schemeClr w14:val="tx1">
            <w14:lumMod w14:val="75000"/>
            <w14:lumOff w14:val="25000"/>
          </w14:schemeClr>
        </w14:solidFill>
      </w14:textFill>
      <w14:ligatures w14:val="standardContextual"/>
    </w:rPr>
  </w:style>
  <w:style w:type="character" w:customStyle="1" w:styleId="28">
    <w:name w:val="引用 字符"/>
    <w:basedOn w:val="14"/>
    <w:link w:val="27"/>
    <w:qFormat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29">
    <w:name w:val="List Paragraph"/>
    <w:basedOn w:val="1"/>
    <w:qFormat/>
    <w:uiPriority w:val="34"/>
    <w:pPr>
      <w:spacing w:after="160" w:line="278" w:lineRule="auto"/>
      <w:ind w:left="720"/>
      <w:contextualSpacing/>
      <w:jc w:val="left"/>
    </w:pPr>
    <w:rPr>
      <w:rFonts w:asciiTheme="minorHAnsi" w:hAnsiTheme="minorHAnsi" w:eastAsiaTheme="minorEastAsia" w:cstheme="minorBidi"/>
      <w:sz w:val="22"/>
      <w14:ligatures w14:val="standardContextual"/>
    </w:rPr>
  </w:style>
  <w:style w:type="character" w:customStyle="1" w:styleId="30">
    <w:name w:val="Intense Emphasis"/>
    <w:basedOn w:val="14"/>
    <w:qFormat/>
    <w:uiPriority w:val="21"/>
    <w:rPr>
      <w:i/>
      <w:iCs/>
      <w:color w:val="104862" w:themeColor="accent1" w:themeShade="BF"/>
    </w:rPr>
  </w:style>
  <w:style w:type="paragraph" w:styleId="31">
    <w:name w:val="Intense Quote"/>
    <w:basedOn w:val="1"/>
    <w:next w:val="1"/>
    <w:link w:val="32"/>
    <w:qFormat/>
    <w:uiPriority w:val="3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 w:line="278" w:lineRule="auto"/>
      <w:ind w:left="864" w:right="864"/>
      <w:jc w:val="center"/>
    </w:pPr>
    <w:rPr>
      <w:rFonts w:asciiTheme="minorHAnsi" w:hAnsiTheme="minorHAnsi" w:eastAsiaTheme="minorEastAsia" w:cstheme="minorBidi"/>
      <w:i/>
      <w:iCs/>
      <w:color w:val="104862" w:themeColor="accent1" w:themeShade="BF"/>
      <w:sz w:val="22"/>
      <w14:ligatures w14:val="standardContextual"/>
    </w:rPr>
  </w:style>
  <w:style w:type="character" w:customStyle="1" w:styleId="32">
    <w:name w:val="明显引用 字符"/>
    <w:basedOn w:val="14"/>
    <w:link w:val="31"/>
    <w:qFormat/>
    <w:uiPriority w:val="30"/>
    <w:rPr>
      <w:i/>
      <w:iCs/>
      <w:color w:val="104862" w:themeColor="accent1" w:themeShade="BF"/>
    </w:rPr>
  </w:style>
  <w:style w:type="character" w:customStyle="1" w:styleId="33">
    <w:name w:val="Intense Reference"/>
    <w:basedOn w:val="14"/>
    <w:qFormat/>
    <w:uiPriority w:val="32"/>
    <w:rPr>
      <w:b/>
      <w:bCs/>
      <w:smallCaps/>
      <w:color w:val="104862" w:themeColor="accent1" w:themeShade="BF"/>
      <w:spacing w:val="5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https://www.nju.edu.cn/__local/F/7A/1D/91723945F34FAA0A9C67700CF8F_13B47AE2_E3A7.png" TargetMode="External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6</Pages>
  <Words>1859</Words>
  <Characters>2416</Characters>
  <Lines>82</Lines>
  <Paragraphs>82</Paragraphs>
  <TotalTime>2</TotalTime>
  <ScaleCrop>false</ScaleCrop>
  <LinksUpToDate>false</LinksUpToDate>
  <CharactersWithSpaces>2689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2026-08-28T04:10:00Z</dcterms:created>
  <dc:creator>Lu, Yang</dc:creator>
  <cp:lastModifiedBy>眭子健</cp:lastModifiedBy>
  <dcterms:modified xsi:type="dcterms:W3CDTF">2026-09-19T11:29:55Z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eyJoZGlkIjoiNzVjYTg0YTRhNjIzNzMzZThhNTNmMjIyOWRmODNkYzUiLCJ1c2VySWQiOiIxNzI1NjM0MTg3In0=</vt:lpwstr>
  </property>
  <property fmtid="{D5CDD505-2E9C-101B-9397-08002B2CF9AE}" pid="3" name="KSOProductBuildVer">
    <vt:lpwstr>2052-12.1.0.25865</vt:lpwstr>
  </property>
  <property fmtid="{D5CDD505-2E9C-101B-9397-08002B2CF9AE}" pid="4" name="ICV">
    <vt:lpwstr>303DDA2FDE8248ACB1CB9AFEE47F58AB_12</vt:lpwstr>
  </property>
</Properties>
</file>