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非度量多维尺度分析（NMDS）、层次聚类分析、Bray-Curtis β多样性、Mantel检验和SIMPER（相似性百分比）分析。</w:t>
        <w:br/>
        <w:br/>
        <w:t>主要发现：</w:t>
        <w:br/>
        <w:t>（1）绿藻门为优势功能群，占总多度的35.8%，尾滴虫和中心纲硅藻为优势种；</w:t>
        <w:br/>
        <w:t>（2）PCA分析表明，TDS-盐度-电导率构成的离子浓度轴（PC1）解释了61.6%的环境方差；</w:t>
        <w:br/>
        <w:t>（3）Mantel检验表明时间距离与群落差异呈极显著正相关（r=+0.326, p=0.0004），说明季节性演替强于空间异质性；</w:t>
        <w:br/>
        <w:t>（4）SIMPER分析揭示尾滴虫和剑水蚤是群落差异的主要贡献物种，分别驱动了时间和空间维度上的群落分化。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后山水池、菜根谭样本在PC1上偏负，反映较高的离子浓度综合得分；后山水池、梦川样本在PC1上偏正，离子浓度综合得分较低。在PC2轴上，菜根谭和梦川样本的分散程度最大，体现了pH和温度在时间维度上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黎照湖（38种），表明这两个样点的生境异质性较高，能为更多浮游生物种类提供适宜栖境。梦川累计总多度最高（402），但物种数仅有39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多度排名前三的物种——尾滴虫（原生动物，167）、中心纲硅藻（硅藻门，126）、盘星藻（绿藻门，114）——均为富营养化水体的典型指示种。盘星藻属（Pediastrum）是中营养至富营养湖泊的常见优势类群。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绿藻门在所有样本中均占主导地位（35.8%），其次是裸藻门（9.7%）和硅藻门（14.2%）。后山水池样本中节肢动物（剑水蚤、裸腹蚤等）的比例显著高于其他样点，与其局部爆发性增长一致。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K-优势度曲线反映了各样本中优势种的累积丰度分布。曲线越陡峭，表明少数物种主导群落的程度越高。后山水池5.31的曲线最为陡峭，与该次调查中剑水蚤和裸腹蚤的爆发性增长吻合。</w:t>
      </w:r>
    </w:p>
    <w:p>
      <w:r>
        <w:br w:type="page"/>
      </w:r>
    </w:p>
    <w:p>
      <w:pPr>
        <w:pStyle w:val="Heading1"/>
      </w:pPr>
      <w:r>
        <w:t>五、群落排序与分类</w:t>
      </w:r>
    </w:p>
    <w:p>
      <w:pPr>
        <w:pStyle w:val="Heading2"/>
      </w:pPr>
      <w:r>
        <w:t>5.1 NMDS 排序分析</w:t>
      </w:r>
    </w:p>
    <w:p>
      <w:r>
        <w:t>基于Bray-Curtis相异度矩阵进行NMDS排序（Stress=0.0805），以可视化15个样本间群落组成的相似性关系。Bray-Curtis相异度的计算不依赖于物种分布的参数假设，对稀疏数据具有较好的稳健性。</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结果显示Stress=0.0805，二维排序图对原始相异度矩阵拟合良好（Stress&lt;0.1）。虚线连接同一采样点的三次调查样本，显示各采样点群落的时间演替轨迹。梦川和菜根谭样本（绿色和橙色）在空间中位置接近，表明这两个样点的群落结构较为相似，（BC=0.634，为各采样点对中最低），表明两者群落结构最为相似。</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第一次调查（5.16）的五份样本独立聚为一类，明显区别于后两次调查（5.23和5.31）的样本。这反映了"若干"类物种（实际25~30个个体）在后期调查中的大幅增加使群落多度显著膨胀，导致5.16与后两次调查的群落结构出现断裂式差异。后两次调查的样本在聚类中进一步按采样点分组，表明在整体丰度提高后，空间异质性开始显现——梦川与菜根谭较为相似，后山水池与香雪海更接近。</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Pielou均匀度与TDS（r=-0.14, p=0.630）和盐度（r=-0.12, p=0.661）的相关性不显著，表明在当前的样本量和水质梯度范围内，离子浓度对群落均匀度的直接影响有限。</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p=0.0004），是群落差异的最强解释因素，表明即使在短短三周内，浮游生物群落也发生了显著的演替变化。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（1）后山水池与其他所有采样点的差异主要由剑水蚤和裸腹蚤主导，这两个枝角类/桡足类在后山水池5.31调查中爆发性增长，使其群落结构显著异于其他样点。</w:t>
        <w:br/>
        <w:t>（2）采样点间的BC相异度以后山水池与黎照湖最高（0.854），主要由若干关键物种的丰度差异驱动，反映了浮游植物功能群构成上的显著空间异质性。</w:t>
        <w:br/>
        <w:t>（3）时间维度上，5.16→5.31的群落差异最大（BC=0.833），该时期的核心演替驱动物种与若干类物种的集中出现密切相关。</w:t>
        <w:br/>
        <w:t>（4）剑水蚤和裸腹蚤在后山水池的局部爆发是采样点间差异的主要来源，反映了小型水体中浮游动物的发生性增长特征。</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月牙藻是梦川的完美指示种（IndVal=1.000），在梦川的三次调查中均出现且全部个体仅分布于梦川，表明月牙藻对梦川的特定生境条件具有高度依赖性。衣藻是菜根谭的重要指示种（IndVal=0.875），反映出菜根谭可能具有适宜该类群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1.5~2.5之间波动），但在时间上呈现明显的演替趋势。物种数从第一次调查的27种快速增长至第二次的51种后趋于饱和，个体数量则持续增长（227→537→591），推测若干类物种（实际25~30个体）在后续调查中集中出现，使多度大幅增长，群落正经历从物种拓殖向优势种扩张的演替阶段转换。</w:t>
      </w:r>
    </w:p>
    <w:p>
      <w:pPr>
        <w:pStyle w:val="Heading2"/>
      </w:pPr>
      <w:r>
        <w:t>8.2 环境驱动因子</w:t>
      </w:r>
    </w:p>
    <w:p>
      <w:r>
        <w:t>Mantel检验（9999次置换）和PCA分析一致表明，时间因子（r=+0.326, p=0.0004）是群落差异的最强解释变量，超越了空间异质性的效应。这一发现说明即使在短短三周的时间尺度上，浮游生物群落也随季节性温度变化和营养盐动态发生显著重组。TDS和电导率的单独显著效应（p&lt;0.05）提示离子浓度梯度对群落结构存在次要但可检测的影响，其生态学机制可能涉及渗透压胁迫和特定离子的生理效应。</w:t>
      </w:r>
    </w:p>
    <w:p>
      <w:pPr>
        <w:pStyle w:val="Heading2"/>
      </w:pPr>
      <w:r>
        <w:t>8.3 群落演替的主要驱动物种</w:t>
      </w:r>
    </w:p>
    <w:p>
      <w:r>
        <w:t>SIMPER分析识别出尾滴虫是5.16→5.31间群落变化的核心驱动物种，其大量出现在后两次调查中是群落演替的主要标志。此外，尾滴虫属适宜在较高温度和营养盐条件下快速增殖，具有季节性爆发的特点。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五个采样点共记录浮游生物物种79种，分属13个功能类群，绿藻门为绝对优势门类（35.8%）。</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Mantel检验表明时间距离是群落差异的最强解释因素（r=+0.326, p=0.0004），季节演替效应&gt;空间异质性效应。</w:t>
      </w:r>
    </w:p>
    <w:p>
      <w:pPr>
        <w:ind w:left="283"/>
      </w:pPr>
      <w:r>
        <w:t>4. 尾滴虫和剑水蚤分别在时间和空间维度上主导了群落差异（SIMPER分析），是监测群落动态的关键指示类群。</w:t>
      </w:r>
    </w:p>
    <w:p>
      <w:pPr>
        <w:ind w:left="283"/>
      </w:pPr>
      <w:r>
        <w:t>5. TDS和电导率单独与群落差异呈显著正相关（p&lt;0.05），离子浓度是影响浮游生物群落结构的次要但可检测的环境因子。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PCA、NMDS、聚类、相关性、功能群、Beta多样性、指示物种、K-优势度曲线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