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非度量多维尺度分析（NMDS）、层次聚类分析、Bray-Curtis β多样性、Mantel检验和SIMPER（相似性百分比）分析。</w:t>
        <w:br/>
        <w:br/>
        <w:t>主要发现：</w:t>
        <w:br/>
        <w:t>（1）绿藻门为优势功能群，占总多度的35.8%，尾滴虫和中心纲硅藻为优势种；</w:t>
        <w:br/>
        <w:t>（2）PCA分析表明，TDS-盐度-电导率构成的离子浓度轴（PC1）解释了61.6%的环境方差；</w:t>
        <w:br/>
        <w:t>（3）Mantel检验表明时间距离与群落差异呈极显著正相关（r=+0.326, p=0.0004），说明季节性演替强于空间异质性；</w:t>
        <w:br/>
        <w:t>（4）SIMPER分析揭示尾滴虫和剑水蚤是群落差异的主要贡献物种，分别驱动了时间和空间维度上的群落分化。</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野外镜检中出现的"若干""很多""大量"等模糊表述，分别映射为数值25~30（随机）、8、15。注：若干的映射值经与现场人员核实后从最初低估的3修正为实际范围25~30。</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黎照湖、香雪海样本在PC1上偏负，反映较高的离子浓度综合得分；后山水池、梦川样本在PC1上偏正，离子浓度综合得分较低。在PC2轴上，菜根谭和梦川样本的分散程度最大，体现了pH和温度在时间维度上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1.982</w:t>
            </w:r>
          </w:p>
        </w:tc>
        <w:tc>
          <w:tcPr>
            <w:tcW w:type="dxa" w:w="1080"/>
          </w:tcPr>
          <w:p>
            <w:pPr>
              <w:jc w:val="center"/>
            </w:pPr>
            <w:r/>
            <w:r>
              <w:rPr>
                <w:rFonts w:ascii="宋体" w:hAnsi="宋体" w:eastAsia="宋体"/>
                <w:b w:val="0"/>
                <w:sz w:val="16"/>
              </w:rPr>
              <w:t>0.765</w:t>
            </w:r>
          </w:p>
        </w:tc>
        <w:tc>
          <w:tcPr>
            <w:tcW w:type="dxa" w:w="1080"/>
          </w:tcPr>
          <w:p>
            <w:pPr>
              <w:jc w:val="center"/>
            </w:pPr>
            <w:r/>
            <w:r>
              <w:rPr>
                <w:rFonts w:ascii="宋体" w:hAnsi="宋体" w:eastAsia="宋体"/>
                <w:b w:val="0"/>
                <w:sz w:val="16"/>
              </w:rPr>
              <w:t>0.715</w:t>
            </w:r>
          </w:p>
        </w:tc>
        <w:tc>
          <w:tcPr>
            <w:tcW w:type="dxa" w:w="1080"/>
          </w:tcPr>
          <w:p>
            <w:pPr>
              <w:jc w:val="center"/>
            </w:pPr>
            <w:r/>
            <w:r>
              <w:rPr>
                <w:rFonts w:ascii="宋体" w:hAnsi="宋体" w:eastAsia="宋体"/>
                <w:b w:val="0"/>
                <w:sz w:val="16"/>
              </w:rPr>
              <w:t>3.63</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75</w:t>
            </w:r>
          </w:p>
        </w:tc>
        <w:tc>
          <w:tcPr>
            <w:tcW w:type="dxa" w:w="1080"/>
          </w:tcPr>
          <w:p>
            <w:pPr>
              <w:jc w:val="center"/>
            </w:pPr>
            <w:r/>
            <w:r>
              <w:rPr>
                <w:rFonts w:ascii="宋体" w:hAnsi="宋体" w:eastAsia="宋体"/>
                <w:b w:val="0"/>
                <w:sz w:val="16"/>
              </w:rPr>
              <w:t>2.230</w:t>
            </w:r>
          </w:p>
        </w:tc>
        <w:tc>
          <w:tcPr>
            <w:tcW w:type="dxa" w:w="1080"/>
          </w:tcPr>
          <w:p>
            <w:pPr>
              <w:jc w:val="center"/>
            </w:pPr>
            <w:r/>
            <w:r>
              <w:rPr>
                <w:rFonts w:ascii="宋体" w:hAnsi="宋体" w:eastAsia="宋体"/>
                <w:b w:val="0"/>
                <w:sz w:val="16"/>
              </w:rPr>
              <w:t>0.815</w:t>
            </w:r>
          </w:p>
        </w:tc>
        <w:tc>
          <w:tcPr>
            <w:tcW w:type="dxa" w:w="1080"/>
          </w:tcPr>
          <w:p>
            <w:pPr>
              <w:jc w:val="center"/>
            </w:pPr>
            <w:r/>
            <w:r>
              <w:rPr>
                <w:rFonts w:ascii="宋体" w:hAnsi="宋体" w:eastAsia="宋体"/>
                <w:b w:val="0"/>
                <w:sz w:val="16"/>
              </w:rPr>
              <w:t>0.787</w:t>
            </w:r>
          </w:p>
        </w:tc>
        <w:tc>
          <w:tcPr>
            <w:tcW w:type="dxa" w:w="1080"/>
          </w:tcPr>
          <w:p>
            <w:pPr>
              <w:jc w:val="center"/>
            </w:pPr>
            <w:r/>
            <w:r>
              <w:rPr>
                <w:rFonts w:ascii="宋体" w:hAnsi="宋体" w:eastAsia="宋体"/>
                <w:b w:val="0"/>
                <w:sz w:val="16"/>
              </w:rPr>
              <w:t>3.71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43</w:t>
            </w:r>
          </w:p>
        </w:tc>
        <w:tc>
          <w:tcPr>
            <w:tcW w:type="dxa" w:w="1080"/>
          </w:tcPr>
          <w:p>
            <w:pPr>
              <w:jc w:val="center"/>
            </w:pPr>
            <w:r/>
            <w:r>
              <w:rPr>
                <w:rFonts w:ascii="宋体" w:hAnsi="宋体" w:eastAsia="宋体"/>
                <w:b w:val="0"/>
                <w:sz w:val="16"/>
              </w:rPr>
              <w:t>1.187</w:t>
            </w:r>
          </w:p>
        </w:tc>
        <w:tc>
          <w:tcPr>
            <w:tcW w:type="dxa" w:w="1080"/>
          </w:tcPr>
          <w:p>
            <w:pPr>
              <w:jc w:val="center"/>
            </w:pPr>
            <w:r/>
            <w:r>
              <w:rPr>
                <w:rFonts w:ascii="宋体" w:hAnsi="宋体" w:eastAsia="宋体"/>
                <w:b w:val="0"/>
                <w:sz w:val="16"/>
              </w:rPr>
              <w:t>0.605</w:t>
            </w:r>
          </w:p>
        </w:tc>
        <w:tc>
          <w:tcPr>
            <w:tcW w:type="dxa" w:w="1080"/>
          </w:tcPr>
          <w:p>
            <w:pPr>
              <w:jc w:val="center"/>
            </w:pPr>
            <w:r/>
            <w:r>
              <w:rPr>
                <w:rFonts w:ascii="宋体" w:hAnsi="宋体" w:eastAsia="宋体"/>
                <w:b w:val="0"/>
                <w:sz w:val="16"/>
              </w:rPr>
              <w:t>0.737</w:t>
            </w:r>
          </w:p>
        </w:tc>
        <w:tc>
          <w:tcPr>
            <w:tcW w:type="dxa" w:w="1080"/>
          </w:tcPr>
          <w:p>
            <w:pPr>
              <w:jc w:val="center"/>
            </w:pPr>
            <w:r/>
            <w:r>
              <w:rPr>
                <w:rFonts w:ascii="宋体" w:hAnsi="宋体" w:eastAsia="宋体"/>
                <w:b w:val="0"/>
                <w:sz w:val="16"/>
              </w:rPr>
              <w:t>1.06</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143</w:t>
            </w:r>
          </w:p>
        </w:tc>
        <w:tc>
          <w:tcPr>
            <w:tcW w:type="dxa" w:w="1080"/>
          </w:tcPr>
          <w:p>
            <w:pPr>
              <w:jc w:val="center"/>
            </w:pPr>
            <w:r/>
            <w:r>
              <w:rPr>
                <w:rFonts w:ascii="宋体" w:hAnsi="宋体" w:eastAsia="宋体"/>
                <w:b w:val="0"/>
                <w:sz w:val="16"/>
              </w:rPr>
              <w:t>2.173</w:t>
            </w:r>
          </w:p>
        </w:tc>
        <w:tc>
          <w:tcPr>
            <w:tcW w:type="dxa" w:w="1080"/>
          </w:tcPr>
          <w:p>
            <w:pPr>
              <w:jc w:val="center"/>
            </w:pPr>
            <w:r/>
            <w:r>
              <w:rPr>
                <w:rFonts w:ascii="宋体" w:hAnsi="宋体" w:eastAsia="宋体"/>
                <w:b w:val="0"/>
                <w:sz w:val="16"/>
              </w:rPr>
              <w:t>0.846</w:t>
            </w:r>
          </w:p>
        </w:tc>
        <w:tc>
          <w:tcPr>
            <w:tcW w:type="dxa" w:w="1080"/>
          </w:tcPr>
          <w:p>
            <w:pPr>
              <w:jc w:val="center"/>
            </w:pPr>
            <w:r/>
            <w:r>
              <w:rPr>
                <w:rFonts w:ascii="宋体" w:hAnsi="宋体" w:eastAsia="宋体"/>
                <w:b w:val="0"/>
                <w:sz w:val="16"/>
              </w:rPr>
              <w:t>0.752</w:t>
            </w:r>
          </w:p>
        </w:tc>
        <w:tc>
          <w:tcPr>
            <w:tcW w:type="dxa" w:w="1080"/>
          </w:tcPr>
          <w:p>
            <w:pPr>
              <w:jc w:val="center"/>
            </w:pPr>
            <w:r/>
            <w:r>
              <w:rPr>
                <w:rFonts w:ascii="宋体" w:hAnsi="宋体" w:eastAsia="宋体"/>
                <w:b w:val="0"/>
                <w:sz w:val="16"/>
              </w:rPr>
              <w:t>3.43</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177</w:t>
            </w:r>
          </w:p>
        </w:tc>
        <w:tc>
          <w:tcPr>
            <w:tcW w:type="dxa" w:w="1080"/>
          </w:tcPr>
          <w:p>
            <w:pPr>
              <w:jc w:val="center"/>
            </w:pPr>
            <w:r/>
            <w:r>
              <w:rPr>
                <w:rFonts w:ascii="宋体" w:hAnsi="宋体" w:eastAsia="宋体"/>
                <w:b w:val="0"/>
                <w:sz w:val="16"/>
              </w:rPr>
              <w:t>2.445</w:t>
            </w:r>
          </w:p>
        </w:tc>
        <w:tc>
          <w:tcPr>
            <w:tcW w:type="dxa" w:w="1080"/>
          </w:tcPr>
          <w:p>
            <w:pPr>
              <w:jc w:val="center"/>
            </w:pPr>
            <w:r/>
            <w:r>
              <w:rPr>
                <w:rFonts w:ascii="宋体" w:hAnsi="宋体" w:eastAsia="宋体"/>
                <w:b w:val="0"/>
                <w:sz w:val="16"/>
              </w:rPr>
              <w:t>0.881</w:t>
            </w:r>
          </w:p>
        </w:tc>
        <w:tc>
          <w:tcPr>
            <w:tcW w:type="dxa" w:w="1080"/>
          </w:tcPr>
          <w:p>
            <w:pPr>
              <w:jc w:val="center"/>
            </w:pPr>
            <w:r/>
            <w:r>
              <w:rPr>
                <w:rFonts w:ascii="宋体" w:hAnsi="宋体" w:eastAsia="宋体"/>
                <w:b w:val="0"/>
                <w:sz w:val="16"/>
              </w:rPr>
              <w:t>0.769</w:t>
            </w:r>
          </w:p>
        </w:tc>
        <w:tc>
          <w:tcPr>
            <w:tcW w:type="dxa" w:w="1080"/>
          </w:tcPr>
          <w:p>
            <w:pPr>
              <w:jc w:val="center"/>
            </w:pPr>
            <w:r/>
            <w:r>
              <w:rPr>
                <w:rFonts w:ascii="宋体" w:hAnsi="宋体" w:eastAsia="宋体"/>
                <w:b w:val="0"/>
                <w:sz w:val="16"/>
              </w:rPr>
              <w:t>4.44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88</w:t>
            </w:r>
          </w:p>
        </w:tc>
        <w:tc>
          <w:tcPr>
            <w:tcW w:type="dxa" w:w="1080"/>
          </w:tcPr>
          <w:p>
            <w:pPr>
              <w:jc w:val="center"/>
            </w:pPr>
            <w:r/>
            <w:r>
              <w:rPr>
                <w:rFonts w:ascii="宋体" w:hAnsi="宋体" w:eastAsia="宋体"/>
                <w:b w:val="0"/>
                <w:sz w:val="16"/>
              </w:rPr>
              <w:t>2.575</w:t>
            </w:r>
          </w:p>
        </w:tc>
        <w:tc>
          <w:tcPr>
            <w:tcW w:type="dxa" w:w="1080"/>
          </w:tcPr>
          <w:p>
            <w:pPr>
              <w:jc w:val="center"/>
            </w:pPr>
            <w:r/>
            <w:r>
              <w:rPr>
                <w:rFonts w:ascii="宋体" w:hAnsi="宋体" w:eastAsia="宋体"/>
                <w:b w:val="0"/>
                <w:sz w:val="16"/>
              </w:rPr>
              <w:t>0.858</w:t>
            </w:r>
          </w:p>
        </w:tc>
        <w:tc>
          <w:tcPr>
            <w:tcW w:type="dxa" w:w="1080"/>
          </w:tcPr>
          <w:p>
            <w:pPr>
              <w:jc w:val="center"/>
            </w:pPr>
            <w:r/>
            <w:r>
              <w:rPr>
                <w:rFonts w:ascii="宋体" w:hAnsi="宋体" w:eastAsia="宋体"/>
                <w:b w:val="0"/>
                <w:sz w:val="16"/>
              </w:rPr>
              <w:t>0.800</w:t>
            </w:r>
          </w:p>
        </w:tc>
        <w:tc>
          <w:tcPr>
            <w:tcW w:type="dxa" w:w="1080"/>
          </w:tcPr>
          <w:p>
            <w:pPr>
              <w:jc w:val="center"/>
            </w:pPr>
            <w:r/>
            <w:r>
              <w:rPr>
                <w:rFonts w:ascii="宋体" w:hAnsi="宋体" w:eastAsia="宋体"/>
                <w:b w:val="0"/>
                <w:sz w:val="16"/>
              </w:rPr>
              <w:t>5.36</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84</w:t>
            </w:r>
          </w:p>
        </w:tc>
        <w:tc>
          <w:tcPr>
            <w:tcW w:type="dxa" w:w="1080"/>
          </w:tcPr>
          <w:p>
            <w:pPr>
              <w:jc w:val="center"/>
            </w:pPr>
            <w:r/>
            <w:r>
              <w:rPr>
                <w:rFonts w:ascii="宋体" w:hAnsi="宋体" w:eastAsia="宋体"/>
                <w:b w:val="0"/>
                <w:sz w:val="16"/>
              </w:rPr>
              <w:t>1.915</w:t>
            </w:r>
          </w:p>
        </w:tc>
        <w:tc>
          <w:tcPr>
            <w:tcW w:type="dxa" w:w="1080"/>
          </w:tcPr>
          <w:p>
            <w:pPr>
              <w:jc w:val="center"/>
            </w:pPr>
            <w:r/>
            <w:r>
              <w:rPr>
                <w:rFonts w:ascii="宋体" w:hAnsi="宋体" w:eastAsia="宋体"/>
                <w:b w:val="0"/>
                <w:sz w:val="16"/>
              </w:rPr>
              <w:t>0.747</w:t>
            </w:r>
          </w:p>
        </w:tc>
        <w:tc>
          <w:tcPr>
            <w:tcW w:type="dxa" w:w="1080"/>
          </w:tcPr>
          <w:p>
            <w:pPr>
              <w:jc w:val="center"/>
            </w:pPr>
            <w:r/>
            <w:r>
              <w:rPr>
                <w:rFonts w:ascii="宋体" w:hAnsi="宋体" w:eastAsia="宋体"/>
                <w:b w:val="0"/>
                <w:sz w:val="16"/>
              </w:rPr>
              <w:t>0.639</w:t>
            </w:r>
          </w:p>
        </w:tc>
        <w:tc>
          <w:tcPr>
            <w:tcW w:type="dxa" w:w="1080"/>
          </w:tcPr>
          <w:p>
            <w:pPr>
              <w:jc w:val="center"/>
            </w:pPr>
            <w:r/>
            <w:r>
              <w:rPr>
                <w:rFonts w:ascii="宋体" w:hAnsi="宋体" w:eastAsia="宋体"/>
                <w:b w:val="0"/>
                <w:sz w:val="16"/>
              </w:rPr>
              <w:t>4.29</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163</w:t>
            </w:r>
          </w:p>
        </w:tc>
        <w:tc>
          <w:tcPr>
            <w:tcW w:type="dxa" w:w="1080"/>
          </w:tcPr>
          <w:p>
            <w:pPr>
              <w:jc w:val="center"/>
            </w:pPr>
            <w:r/>
            <w:r>
              <w:rPr>
                <w:rFonts w:ascii="宋体" w:hAnsi="宋体" w:eastAsia="宋体"/>
                <w:b w:val="0"/>
                <w:sz w:val="16"/>
              </w:rPr>
              <w:t>2.514</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0.854</w:t>
            </w:r>
          </w:p>
        </w:tc>
        <w:tc>
          <w:tcPr>
            <w:tcW w:type="dxa" w:w="1080"/>
          </w:tcPr>
          <w:p>
            <w:pPr>
              <w:jc w:val="center"/>
            </w:pPr>
            <w:r/>
            <w:r>
              <w:rPr>
                <w:rFonts w:ascii="宋体" w:hAnsi="宋体" w:eastAsia="宋体"/>
                <w:b w:val="0"/>
                <w:sz w:val="16"/>
              </w:rPr>
              <w:t>3.53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129</w:t>
            </w:r>
          </w:p>
        </w:tc>
        <w:tc>
          <w:tcPr>
            <w:tcW w:type="dxa" w:w="1080"/>
          </w:tcPr>
          <w:p>
            <w:pPr>
              <w:jc w:val="center"/>
            </w:pPr>
            <w:r/>
            <w:r>
              <w:rPr>
                <w:rFonts w:ascii="宋体" w:hAnsi="宋体" w:eastAsia="宋体"/>
                <w:b w:val="0"/>
                <w:sz w:val="16"/>
              </w:rPr>
              <w:t>2.490</w:t>
            </w:r>
          </w:p>
        </w:tc>
        <w:tc>
          <w:tcPr>
            <w:tcW w:type="dxa" w:w="1080"/>
          </w:tcPr>
          <w:p>
            <w:pPr>
              <w:jc w:val="center"/>
            </w:pPr>
            <w:r/>
            <w:r>
              <w:rPr>
                <w:rFonts w:ascii="宋体" w:hAnsi="宋体" w:eastAsia="宋体"/>
                <w:b w:val="0"/>
                <w:sz w:val="16"/>
              </w:rPr>
              <w:t>0.877</w:t>
            </w:r>
          </w:p>
        </w:tc>
        <w:tc>
          <w:tcPr>
            <w:tcW w:type="dxa" w:w="1080"/>
          </w:tcPr>
          <w:p>
            <w:pPr>
              <w:jc w:val="center"/>
            </w:pPr>
            <w:r/>
            <w:r>
              <w:rPr>
                <w:rFonts w:ascii="宋体" w:hAnsi="宋体" w:eastAsia="宋体"/>
                <w:b w:val="0"/>
                <w:sz w:val="16"/>
              </w:rPr>
              <w:t>0.805</w:t>
            </w:r>
          </w:p>
        </w:tc>
        <w:tc>
          <w:tcPr>
            <w:tcW w:type="dxa" w:w="1080"/>
          </w:tcPr>
          <w:p>
            <w:pPr>
              <w:jc w:val="center"/>
            </w:pPr>
            <w:r/>
            <w:r>
              <w:rPr>
                <w:rFonts w:ascii="宋体" w:hAnsi="宋体" w:eastAsia="宋体"/>
                <w:b w:val="0"/>
                <w:sz w:val="16"/>
              </w:rPr>
              <w:t>4.32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146</w:t>
            </w:r>
          </w:p>
        </w:tc>
        <w:tc>
          <w:tcPr>
            <w:tcW w:type="dxa" w:w="1080"/>
          </w:tcPr>
          <w:p>
            <w:pPr>
              <w:jc w:val="center"/>
            </w:pPr>
            <w:r/>
            <w:r>
              <w:rPr>
                <w:rFonts w:ascii="宋体" w:hAnsi="宋体" w:eastAsia="宋体"/>
                <w:b w:val="0"/>
                <w:sz w:val="16"/>
              </w:rPr>
              <w:t>2.228</w:t>
            </w:r>
          </w:p>
        </w:tc>
        <w:tc>
          <w:tcPr>
            <w:tcW w:type="dxa" w:w="1080"/>
          </w:tcPr>
          <w:p>
            <w:pPr>
              <w:jc w:val="center"/>
            </w:pPr>
            <w:r/>
            <w:r>
              <w:rPr>
                <w:rFonts w:ascii="宋体" w:hAnsi="宋体" w:eastAsia="宋体"/>
                <w:b w:val="0"/>
                <w:sz w:val="16"/>
              </w:rPr>
              <w:t>0.856</w:t>
            </w:r>
          </w:p>
        </w:tc>
        <w:tc>
          <w:tcPr>
            <w:tcW w:type="dxa" w:w="1080"/>
          </w:tcPr>
          <w:p>
            <w:pPr>
              <w:jc w:val="center"/>
            </w:pPr>
            <w:r/>
            <w:r>
              <w:rPr>
                <w:rFonts w:ascii="宋体" w:hAnsi="宋体" w:eastAsia="宋体"/>
                <w:b w:val="0"/>
                <w:sz w:val="16"/>
              </w:rPr>
              <w:t>0.771</w:t>
            </w:r>
          </w:p>
        </w:tc>
        <w:tc>
          <w:tcPr>
            <w:tcW w:type="dxa" w:w="1080"/>
          </w:tcPr>
          <w:p>
            <w:pPr>
              <w:jc w:val="center"/>
            </w:pPr>
            <w:r/>
            <w:r>
              <w:rPr>
                <w:rFonts w:ascii="宋体" w:hAnsi="宋体" w:eastAsia="宋体"/>
                <w:b w:val="0"/>
                <w:sz w:val="16"/>
              </w:rPr>
              <w:t>3.41</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283</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402</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292</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128</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250</w:t>
            </w:r>
          </w:p>
        </w:tc>
        <w:tc>
          <w:tcPr>
            <w:tcW w:type="dxa" w:w="2160"/>
          </w:tcPr>
          <w:p>
            <w:pPr>
              <w:jc w:val="center"/>
            </w:pPr>
            <w:r/>
            <w:r>
              <w:rPr>
                <w:rFonts w:ascii="宋体" w:hAnsi="宋体" w:eastAsia="宋体"/>
                <w:b w:val="0"/>
                <w:sz w:val="18"/>
              </w:rPr>
              <w:t>12.7</w:t>
            </w:r>
          </w:p>
        </w:tc>
      </w:tr>
    </w:tbl>
    <w:p/>
    <w:p>
      <w:r>
        <w:t>梦川累计物种数最高（39种），其次为黎照湖（38种），表明这两个样点的生境异质性较高，能为更多浮游生物种类提供适宜栖境。梦川累计总多度最高（402），但物种数仅有39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167</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126</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114</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109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83</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66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55</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袋鞭藻</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实球藻</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团藻</w:t>
            </w:r>
          </w:p>
        </w:tc>
        <w:tc>
          <w:tcPr>
            <w:tcW w:type="dxa" w:w="2160"/>
          </w:tcPr>
          <w:p>
            <w:pPr>
              <w:jc w:val="center"/>
            </w:pPr>
            <w:r/>
            <w:r>
              <w:rPr>
                <w:rFonts w:ascii="宋体" w:hAnsi="宋体" w:eastAsia="宋体"/>
                <w:b w:val="0"/>
                <w:sz w:val="18"/>
              </w:rPr>
              <w:t>26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剑水蚤残骸</w:t>
            </w:r>
          </w:p>
        </w:tc>
        <w:tc>
          <w:tcPr>
            <w:tcW w:type="dxa" w:w="2160"/>
          </w:tcPr>
          <w:p>
            <w:pPr>
              <w:jc w:val="center"/>
            </w:pPr>
            <w:r/>
            <w:r>
              <w:rPr>
                <w:rFonts w:ascii="宋体" w:hAnsi="宋体" w:eastAsia="宋体"/>
                <w:b w:val="0"/>
                <w:sz w:val="18"/>
              </w:rPr>
              <w:t>25</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bl>
    <w:p/>
    <w:p>
      <w:r>
        <w:t>多度排名前三的物种——尾滴虫（原生动物，167）、中心纲硅藻（硅藻门，126）、盘星藻（绿藻门，114）——均为富营养化水体的典型指示种。盘星藻属（Pediastrum）是中营养至富营养湖泊的常见优势类群。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0.5</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215</w:t>
            </w:r>
          </w:p>
        </w:tc>
        <w:tc>
          <w:tcPr>
            <w:tcW w:type="dxa" w:w="2880"/>
          </w:tcPr>
          <w:p>
            <w:pPr>
              <w:jc w:val="center"/>
            </w:pPr>
            <w:r/>
            <w:r>
              <w:rPr>
                <w:rFonts w:ascii="宋体" w:hAnsi="宋体" w:eastAsia="宋体"/>
                <w:b w:val="0"/>
                <w:sz w:val="18"/>
              </w:rPr>
              <w:t>15.9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90</w:t>
            </w:r>
          </w:p>
        </w:tc>
        <w:tc>
          <w:tcPr>
            <w:tcW w:type="dxa" w:w="2880"/>
          </w:tcPr>
          <w:p>
            <w:pPr>
              <w:jc w:val="center"/>
            </w:pPr>
            <w:r/>
            <w:r>
              <w:rPr>
                <w:rFonts w:ascii="宋体" w:hAnsi="宋体" w:eastAsia="宋体"/>
                <w:b w:val="0"/>
                <w:sz w:val="18"/>
              </w:rPr>
              <w:t>6.6</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192</w:t>
            </w:r>
          </w:p>
        </w:tc>
        <w:tc>
          <w:tcPr>
            <w:tcW w:type="dxa" w:w="2880"/>
          </w:tcPr>
          <w:p>
            <w:pPr>
              <w:jc w:val="center"/>
            </w:pPr>
            <w:r/>
            <w:r>
              <w:rPr>
                <w:rFonts w:ascii="宋体" w:hAnsi="宋体" w:eastAsia="宋体"/>
                <w:b w:val="0"/>
                <w:sz w:val="18"/>
              </w:rPr>
              <w:t>14.2</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40</w:t>
            </w:r>
          </w:p>
        </w:tc>
        <w:tc>
          <w:tcPr>
            <w:tcW w:type="dxa" w:w="2880"/>
          </w:tcPr>
          <w:p>
            <w:pPr>
              <w:jc w:val="center"/>
            </w:pPr>
            <w:r/>
            <w:r>
              <w:rPr>
                <w:rFonts w:ascii="宋体" w:hAnsi="宋体" w:eastAsia="宋体"/>
                <w:b w:val="0"/>
                <w:sz w:val="18"/>
              </w:rPr>
              <w:t>3.0</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485</w:t>
            </w:r>
          </w:p>
        </w:tc>
        <w:tc>
          <w:tcPr>
            <w:tcW w:type="dxa" w:w="2880"/>
          </w:tcPr>
          <w:p>
            <w:pPr>
              <w:jc w:val="center"/>
            </w:pPr>
            <w:r/>
            <w:r>
              <w:rPr>
                <w:rFonts w:ascii="宋体" w:hAnsi="宋体" w:eastAsia="宋体"/>
                <w:b w:val="0"/>
                <w:sz w:val="18"/>
              </w:rPr>
              <w:t>35.8</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77</w:t>
            </w:r>
          </w:p>
        </w:tc>
        <w:tc>
          <w:tcPr>
            <w:tcW w:type="dxa" w:w="2880"/>
          </w:tcPr>
          <w:p>
            <w:pPr>
              <w:jc w:val="center"/>
            </w:pPr>
            <w:r/>
            <w:r>
              <w:rPr>
                <w:rFonts w:ascii="宋体" w:hAnsi="宋体" w:eastAsia="宋体"/>
                <w:b w:val="0"/>
                <w:sz w:val="18"/>
              </w:rPr>
              <w:t>5.7</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131</w:t>
            </w:r>
          </w:p>
        </w:tc>
        <w:tc>
          <w:tcPr>
            <w:tcW w:type="dxa" w:w="2880"/>
          </w:tcPr>
          <w:p>
            <w:pPr>
              <w:jc w:val="center"/>
            </w:pPr>
            <w:r/>
            <w:r>
              <w:rPr>
                <w:rFonts w:ascii="宋体" w:hAnsi="宋体" w:eastAsia="宋体"/>
                <w:b w:val="0"/>
                <w:sz w:val="18"/>
              </w:rPr>
              <w:t>9.7</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1.0</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1.5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绿藻门在所有样本中均占主导地位（35.8%），其次是裸藻门（9.7%）和硅藻门（14.2%）。后山水池样本中节肢动物（剑水蚤、裸腹蚤等）的比例显著高于其他样点，与其局部爆发性增长一致。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K-优势度曲线反映了各样本中优势种的累积丰度分布。曲线越靠近左上角（即曲线下面积AUC越小），表明少数物种主导群落的程度越高。15条曲线中，黎照湖 2026-5.16的曲线最为陡峭（AUC=64.38），最优势种占25.0%，反映了调查初期部分样点群落结构简单、少数物种高度集中的特点。三次调查间对比可见，曲线整体随调查批次后移趋于平缓，与群落物种丰富度和均匀度逐渐提高的趋势一致。</w:t>
      </w:r>
    </w:p>
    <w:p>
      <w:r>
        <w:br w:type="page"/>
      </w:r>
    </w:p>
    <w:p>
      <w:pPr>
        <w:pStyle w:val="Heading1"/>
      </w:pPr>
      <w:r>
        <w:t>五、群落排序与分类</w:t>
      </w:r>
    </w:p>
    <w:p>
      <w:pPr>
        <w:pStyle w:val="Heading2"/>
      </w:pPr>
      <w:r>
        <w:t>5.1 NMDS 排序分析</w:t>
      </w:r>
    </w:p>
    <w:p>
      <w:r>
        <w:t>基于Bray-Curtis相异度矩阵进行NMDS排序（Stress=0.0805），以可视化15个样本间群落组成的相似性关系。Bray-Curtis相异度的计算不依赖于物种分布的参数假设，对稀疏数据具有较好的稳健性。</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NMDS排序结果显示Stress=0.0805，二维排序图对原始相异度矩阵拟合良好（Stress&lt;0.1）。虚线连接同一采样点的三次调查样本，显示各采样点群落的时间演替轨迹。梦川和菜根谭样本（绿色和橙色）在空间中位置接近，表明这两个样点的群落结构较为相似，（BC=0.634，为各采样点对中最低），表明两者群落结构最为相似。</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第一次调查（5.16）的五份样本独立聚为一类，明显区别于后两次调查（5.23和5.31）的样本。这反映了"若干"类物种（实际25~30个个体）在后期调查中的大幅增加使群落多度显著膨胀，导致5.16与后两次调查的群落结构出现断裂式差异。后两次调查的样本在聚类中进一步按采样点分组，表明在整体丰度提高后，空间异质性开始显现——梦川与菜根谭较为相似，后山水池与香雪海更接近。</w:t>
      </w:r>
    </w:p>
    <w:p>
      <w:pPr>
        <w:pStyle w:val="Heading2"/>
      </w:pPr>
      <w:r>
        <w:t>5.3 Beta 多样性</w:t>
      </w:r>
    </w:p>
    <w:p>
      <w:r>
        <w:t>同一采样点内（时间变化）的相异度：0.782 ± 0.157（n=15）。不同采样点间（空间变化）的相异度：0.775 ± 0.118（n=90）。t检验（t=0.202, p=0.8401）表明组内与组间差异不显著，提示时间变化与空间变化效应相当。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+0.04</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+0.00</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-0.21</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-0.27</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-0.14</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-0.15</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+0.29</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-0.20</w:t>
            </w:r>
          </w:p>
        </w:tc>
      </w:tr>
    </w:tbl>
    <w:p/>
    <w:p>
      <w:r>
        <w:t>Pielou均匀度与TDS（r=-0.14, p=0.630）和盐度（r=-0.12, p=0.661）的相关性不显著，表明在当前的样本量和水质梯度范围内，离子浓度对群落均匀度的直接影响有限。</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+0.1087</w:t>
            </w:r>
          </w:p>
        </w:tc>
        <w:tc>
          <w:tcPr>
            <w:tcW w:type="dxa" w:w="2160"/>
          </w:tcPr>
          <w:p>
            <w:pPr>
              <w:jc w:val="center"/>
            </w:pPr>
            <w:r/>
            <w:r>
              <w:rPr>
                <w:rFonts w:ascii="宋体" w:hAnsi="宋体" w:eastAsia="宋体"/>
                <w:b w:val="0"/>
                <w:sz w:val="18"/>
              </w:rPr>
              <w:t>0.1321</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+0.1834</w:t>
            </w:r>
          </w:p>
        </w:tc>
        <w:tc>
          <w:tcPr>
            <w:tcW w:type="dxa" w:w="2160"/>
          </w:tcPr>
          <w:p>
            <w:pPr>
              <w:jc w:val="center"/>
            </w:pPr>
            <w:r/>
            <w:r>
              <w:rPr>
                <w:rFonts w:ascii="宋体" w:hAnsi="宋体" w:eastAsia="宋体"/>
                <w:b w:val="0"/>
                <w:sz w:val="18"/>
              </w:rPr>
              <w:t>0.0268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+0.1625</w:t>
            </w:r>
          </w:p>
        </w:tc>
        <w:tc>
          <w:tcPr>
            <w:tcW w:type="dxa" w:w="2160"/>
          </w:tcPr>
          <w:p>
            <w:pPr>
              <w:jc w:val="center"/>
            </w:pPr>
            <w:r/>
            <w:r>
              <w:rPr>
                <w:rFonts w:ascii="宋体" w:hAnsi="宋体" w:eastAsia="宋体"/>
                <w:b w:val="0"/>
                <w:sz w:val="18"/>
              </w:rPr>
              <w:t>0.0457</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-0.0625</w:t>
            </w:r>
          </w:p>
        </w:tc>
        <w:tc>
          <w:tcPr>
            <w:tcW w:type="dxa" w:w="2160"/>
          </w:tcPr>
          <w:p>
            <w:pPr>
              <w:jc w:val="center"/>
            </w:pPr>
            <w:r/>
            <w:r>
              <w:rPr>
                <w:rFonts w:ascii="宋体" w:hAnsi="宋体" w:eastAsia="宋体"/>
                <w:b w:val="0"/>
                <w:sz w:val="18"/>
              </w:rPr>
              <w:t>0.7407</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+0.1667</w:t>
            </w:r>
          </w:p>
        </w:tc>
        <w:tc>
          <w:tcPr>
            <w:tcW w:type="dxa" w:w="2160"/>
          </w:tcPr>
          <w:p>
            <w:pPr>
              <w:jc w:val="center"/>
            </w:pPr>
            <w:r/>
            <w:r>
              <w:rPr>
                <w:rFonts w:ascii="宋体" w:hAnsi="宋体" w:eastAsia="宋体"/>
                <w:b w:val="0"/>
                <w:sz w:val="18"/>
              </w:rPr>
              <w:t>0.0405</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-0.0881</w:t>
            </w:r>
          </w:p>
        </w:tc>
        <w:tc>
          <w:tcPr>
            <w:tcW w:type="dxa" w:w="2160"/>
          </w:tcPr>
          <w:p>
            <w:pPr>
              <w:jc w:val="center"/>
            </w:pPr>
            <w:r/>
            <w:r>
              <w:rPr>
                <w:rFonts w:ascii="宋体" w:hAnsi="宋体" w:eastAsia="宋体"/>
                <w:b w:val="0"/>
                <w:sz w:val="18"/>
              </w:rPr>
              <w:t>0.8093</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+0.3262</w:t>
            </w:r>
          </w:p>
        </w:tc>
        <w:tc>
          <w:tcPr>
            <w:tcW w:type="dxa" w:w="2160"/>
          </w:tcPr>
          <w:p>
            <w:pPr>
              <w:jc w:val="center"/>
            </w:pPr>
            <w:r/>
            <w:r>
              <w:rPr>
                <w:rFonts w:ascii="宋体" w:hAnsi="宋体" w:eastAsia="宋体"/>
                <w:b w:val="0"/>
                <w:sz w:val="18"/>
              </w:rPr>
              <w:t>0.0004</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-0.0199</w:t>
            </w:r>
          </w:p>
        </w:tc>
        <w:tc>
          <w:tcPr>
            <w:tcW w:type="dxa" w:w="2160"/>
          </w:tcPr>
          <w:p>
            <w:pPr>
              <w:jc w:val="center"/>
            </w:pPr>
            <w:r/>
            <w:r>
              <w:rPr>
                <w:rFonts w:ascii="宋体" w:hAnsi="宋体" w:eastAsia="宋体"/>
                <w:b w:val="0"/>
                <w:sz w:val="18"/>
              </w:rPr>
              <w:t>0.5628</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（1）时间距离与群落相异度呈极显著正相关（r=+0.326, p=0.0004），是群落差异的最强解释因素，表明即使在短短三周内，浮游生物群落也发生了显著的演替变化。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（3）空间距离（是否同一采样点）与群落差异无显著相关性（p=0.563），说明五个采样点之间不存在显著的空间异质性效应。</w:t>
        <w:br/>
        <w:t>（4）全模型（5个环境变量综合距离）不显著（p=0.132），表明环境因子并非以简单的线性叠加方式影响群落。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0.803</w:t>
            </w:r>
          </w:p>
        </w:tc>
        <w:tc>
          <w:tcPr>
            <w:tcW w:type="dxa" w:w="2880"/>
          </w:tcPr>
          <w:p>
            <w:pPr>
              <w:jc w:val="center"/>
            </w:pPr>
            <w:r/>
            <w:r>
              <w:rPr>
                <w:rFonts w:ascii="宋体" w:hAnsi="宋体" w:eastAsia="宋体"/>
                <w:b w:val="0"/>
                <w:sz w:val="14"/>
              </w:rPr>
              <w:t>中心纲硅藻(11.3%), 甲藻(11.3%), 尾滴虫(9.4%), 小球藻(6.9%), 袋鞭藻(6.2%)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0.771</w:t>
            </w:r>
          </w:p>
        </w:tc>
        <w:tc>
          <w:tcPr>
            <w:tcW w:type="dxa" w:w="2880"/>
          </w:tcPr>
          <w:p>
            <w:pPr>
              <w:jc w:val="center"/>
            </w:pPr>
            <w:r/>
            <w:r>
              <w:rPr>
                <w:rFonts w:ascii="宋体" w:hAnsi="宋体" w:eastAsia="宋体"/>
                <w:b w:val="0"/>
                <w:sz w:val="14"/>
              </w:rPr>
              <w:t>尾滴虫(15.6%), 中心纲硅藻(8.0%), 盘星藻(8.0%), 团藻(6.6%), 空球藻(6.6%)</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0.845</w:t>
            </w:r>
          </w:p>
        </w:tc>
        <w:tc>
          <w:tcPr>
            <w:tcW w:type="dxa" w:w="2880"/>
          </w:tcPr>
          <w:p>
            <w:pPr>
              <w:jc w:val="center"/>
            </w:pPr>
            <w:r/>
            <w:r>
              <w:rPr>
                <w:rFonts w:ascii="宋体" w:hAnsi="宋体" w:eastAsia="宋体"/>
                <w:b w:val="0"/>
                <w:sz w:val="14"/>
              </w:rPr>
              <w:t>盘星藻(11.5%), 空球藻(9.2%), 剑水蚤(8.8%), 团藻(8.5%), 栅藻(8.5%)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0.854</w:t>
            </w:r>
          </w:p>
        </w:tc>
        <w:tc>
          <w:tcPr>
            <w:tcW w:type="dxa" w:w="2880"/>
          </w:tcPr>
          <w:p>
            <w:pPr>
              <w:jc w:val="center"/>
            </w:pPr>
            <w:r/>
            <w:r>
              <w:rPr>
                <w:rFonts w:ascii="宋体" w:hAnsi="宋体" w:eastAsia="宋体"/>
                <w:b w:val="0"/>
                <w:sz w:val="14"/>
              </w:rPr>
              <w:t>尾滴虫(14.2%), 盘星藻(9.1%), 栅藻(7.3%), 草履虫(6.8%), 空球藻(6.6%)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0.634</w:t>
            </w:r>
          </w:p>
        </w:tc>
        <w:tc>
          <w:tcPr>
            <w:tcW w:type="dxa" w:w="2880"/>
          </w:tcPr>
          <w:p>
            <w:pPr>
              <w:jc w:val="center"/>
            </w:pPr>
            <w:r/>
            <w:r>
              <w:rPr>
                <w:rFonts w:ascii="宋体" w:hAnsi="宋体" w:eastAsia="宋体"/>
                <w:b w:val="0"/>
                <w:sz w:val="14"/>
              </w:rPr>
              <w:t>甲藻(14.6%), 袋鞭藻(9.3%), 眼虫(8.9%), 实球藻(8.6%), 中心纲硅藻(7.6%)</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0.759</w:t>
            </w:r>
          </w:p>
        </w:tc>
        <w:tc>
          <w:tcPr>
            <w:tcW w:type="dxa" w:w="2880"/>
          </w:tcPr>
          <w:p>
            <w:pPr>
              <w:jc w:val="center"/>
            </w:pPr>
            <w:r/>
            <w:r>
              <w:rPr>
                <w:rFonts w:ascii="宋体" w:hAnsi="宋体" w:eastAsia="宋体"/>
                <w:b w:val="0"/>
                <w:sz w:val="14"/>
              </w:rPr>
              <w:t>甲藻(14.3%), 尾滴虫(10.7%), 小球藻(9.5%), 中心纲硅藻(9.2%), 袋鞭藻(8.6%)</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甲藻(14.1%), 中心纲硅藻(12.9%), 草履虫(7.2%), 实球藻(6.7%), 剑水蚤残骸(6.2%)</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0.735</w:t>
            </w:r>
          </w:p>
        </w:tc>
        <w:tc>
          <w:tcPr>
            <w:tcW w:type="dxa" w:w="2880"/>
          </w:tcPr>
          <w:p>
            <w:pPr>
              <w:jc w:val="center"/>
            </w:pPr>
            <w:r/>
            <w:r>
              <w:rPr>
                <w:rFonts w:ascii="宋体" w:hAnsi="宋体" w:eastAsia="宋体"/>
                <w:b w:val="0"/>
                <w:sz w:val="14"/>
              </w:rPr>
              <w:t>尾滴虫(22.4%), 眼虫(14.9%), 小球藻(7.0%), 栅藻(4.4%), 中心纲硅藻(3.5%)</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0.727</w:t>
            </w:r>
          </w:p>
        </w:tc>
        <w:tc>
          <w:tcPr>
            <w:tcW w:type="dxa" w:w="2880"/>
          </w:tcPr>
          <w:p>
            <w:pPr>
              <w:jc w:val="center"/>
            </w:pPr>
            <w:r/>
            <w:r>
              <w:rPr>
                <w:rFonts w:ascii="宋体" w:hAnsi="宋体" w:eastAsia="宋体"/>
                <w:b w:val="0"/>
                <w:sz w:val="14"/>
              </w:rPr>
              <w:t>眼虫(12.1%), 中心纲硅藻(10.3%), 线虫(9.9%), 草履虫(9.2%), 剑水蚤残骸(8.9%)</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0.846</w:t>
            </w:r>
          </w:p>
        </w:tc>
        <w:tc>
          <w:tcPr>
            <w:tcW w:type="dxa" w:w="2880"/>
          </w:tcPr>
          <w:p>
            <w:pPr>
              <w:jc w:val="center"/>
            </w:pPr>
            <w:r/>
            <w:r>
              <w:rPr>
                <w:rFonts w:ascii="宋体" w:hAnsi="宋体" w:eastAsia="宋体"/>
                <w:b w:val="0"/>
                <w:sz w:val="14"/>
              </w:rPr>
              <w:t>尾滴虫(18.0%), 草履虫(11.3%), 线虫(10.2%), 剑水蚤残骸(9.4%), 小球藻(7.9%)</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0.819</w:t>
            </w:r>
          </w:p>
        </w:tc>
        <w:tc>
          <w:tcPr>
            <w:tcW w:type="dxa" w:w="2880"/>
          </w:tcPr>
          <w:p>
            <w:pPr>
              <w:jc w:val="center"/>
            </w:pPr>
            <w:r/>
            <w:r>
              <w:rPr>
                <w:rFonts w:ascii="宋体" w:hAnsi="宋体" w:eastAsia="宋体"/>
                <w:b w:val="0"/>
                <w:sz w:val="14"/>
              </w:rPr>
              <w:t>尾滴虫(19.6%), 盘星藻(10.8%), 栅藻(8.3%), 空球藻(6.0%), 袋鞭藻(6.0%)</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0.833</w:t>
            </w:r>
          </w:p>
        </w:tc>
        <w:tc>
          <w:tcPr>
            <w:tcW w:type="dxa" w:w="2880"/>
          </w:tcPr>
          <w:p>
            <w:pPr>
              <w:jc w:val="center"/>
            </w:pPr>
            <w:r/>
            <w:r>
              <w:rPr>
                <w:rFonts w:ascii="宋体" w:hAnsi="宋体" w:eastAsia="宋体"/>
                <w:b w:val="0"/>
                <w:sz w:val="14"/>
              </w:rPr>
              <w:t>尾滴虫(12.6%), 盘星藻(8.8%), 线虫(6.8%), 小球藻(6.2%), 实球藻(5.6%)</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0.740</w:t>
            </w:r>
          </w:p>
        </w:tc>
        <w:tc>
          <w:tcPr>
            <w:tcW w:type="dxa" w:w="2880"/>
          </w:tcPr>
          <w:p>
            <w:pPr>
              <w:jc w:val="center"/>
            </w:pPr>
            <w:r/>
            <w:r>
              <w:rPr>
                <w:rFonts w:ascii="宋体" w:hAnsi="宋体" w:eastAsia="宋体"/>
                <w:b w:val="0"/>
                <w:sz w:val="14"/>
              </w:rPr>
              <w:t>栅藻(6.8%), 线虫(6.4%), 实球藻(5.3%), 草履虫(5.3%), 中心纲硅藻(5.3%)</w:t>
            </w:r>
          </w:p>
        </w:tc>
      </w:tr>
    </w:tbl>
    <w:p/>
    <w:p>
      <w:r>
        <w:t>SIMPER分析的关键发现：</w:t>
        <w:br/>
        <w:t>（1）后山水池与其他所有采样点的差异主要由剑水蚤和裸腹蚤主导，这两个枝角类/桡足类在后山水池5.31调查中爆发性增长，使其群落结构显著异于其他样点。</w:t>
        <w:br/>
        <w:t>（2）采样点间的BC相异度以后山水池与黎照湖最高（0.854），主要由若干关键物种的丰度差异驱动，反映了浮游植物功能群构成上的显著空间异质性。</w:t>
        <w:br/>
        <w:t>（3）时间维度上，5.16→5.31的群落差异最大（BC=0.833），该时期的核心演替驱动物种与若干类物种的集中出现密切相关。</w:t>
        <w:br/>
        <w:t>（4）剑水蚤和裸腹蚤在后山水池的局部爆发是采样点间差异的主要来源，反映了小型水体中浮游动物的发生性增长特征。</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空球藻</w:t>
            </w:r>
          </w:p>
        </w:tc>
        <w:tc>
          <w:tcPr>
            <w:tcW w:type="dxa" w:w="1728"/>
          </w:tcPr>
          <w:p>
            <w:pPr>
              <w:jc w:val="center"/>
            </w:pPr>
            <w:r/>
            <w:r>
              <w:rPr>
                <w:rFonts w:ascii="宋体" w:hAnsi="宋体" w:eastAsia="宋体"/>
                <w:b w:val="0"/>
                <w:sz w:val="16"/>
              </w:rPr>
              <w:t>0.514</w:t>
            </w:r>
          </w:p>
        </w:tc>
        <w:tc>
          <w:tcPr>
            <w:tcW w:type="dxa" w:w="1728"/>
          </w:tcPr>
          <w:p>
            <w:pPr>
              <w:jc w:val="center"/>
            </w:pPr>
            <w:r/>
            <w:r>
              <w:rPr>
                <w:rFonts w:ascii="宋体" w:hAnsi="宋体" w:eastAsia="宋体"/>
                <w:b w:val="0"/>
                <w:sz w:val="16"/>
              </w:rPr>
              <w:t>27</w:t>
            </w:r>
          </w:p>
        </w:tc>
        <w:tc>
          <w:tcPr>
            <w:tcW w:type="dxa" w:w="1728"/>
          </w:tcPr>
          <w:p>
            <w:pPr>
              <w:jc w:val="center"/>
            </w:pPr>
            <w:r/>
            <w:r>
              <w:rPr>
                <w:rFonts w:ascii="宋体" w:hAnsi="宋体" w:eastAsia="宋体"/>
                <w:b w:val="0"/>
                <w:sz w:val="16"/>
              </w:rPr>
              <w:t>2/3</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栅藻</w:t>
            </w:r>
          </w:p>
        </w:tc>
        <w:tc>
          <w:tcPr>
            <w:tcW w:type="dxa" w:w="1728"/>
          </w:tcPr>
          <w:p>
            <w:pPr>
              <w:jc w:val="center"/>
            </w:pPr>
            <w:r/>
            <w:r>
              <w:rPr>
                <w:rFonts w:ascii="宋体" w:hAnsi="宋体" w:eastAsia="宋体"/>
                <w:b w:val="0"/>
                <w:sz w:val="16"/>
              </w:rPr>
              <w:t>0.470</w:t>
            </w:r>
          </w:p>
        </w:tc>
        <w:tc>
          <w:tcPr>
            <w:tcW w:type="dxa" w:w="1728"/>
          </w:tcPr>
          <w:p>
            <w:pPr>
              <w:jc w:val="center"/>
            </w:pPr>
            <w:r/>
            <w:r>
              <w:rPr>
                <w:rFonts w:ascii="宋体" w:hAnsi="宋体" w:eastAsia="宋体"/>
                <w:b w:val="0"/>
                <w:sz w:val="16"/>
              </w:rPr>
              <w:t>31</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甲藻</w:t>
            </w:r>
          </w:p>
        </w:tc>
        <w:tc>
          <w:tcPr>
            <w:tcW w:type="dxa" w:w="1728"/>
          </w:tcPr>
          <w:p>
            <w:pPr>
              <w:jc w:val="center"/>
            </w:pPr>
            <w:r/>
            <w:r>
              <w:rPr>
                <w:rFonts w:ascii="宋体" w:hAnsi="宋体" w:eastAsia="宋体"/>
                <w:b w:val="0"/>
                <w:sz w:val="16"/>
              </w:rPr>
              <w:t>0.687</w:t>
            </w:r>
          </w:p>
        </w:tc>
        <w:tc>
          <w:tcPr>
            <w:tcW w:type="dxa" w:w="1728"/>
          </w:tcPr>
          <w:p>
            <w:pPr>
              <w:jc w:val="center"/>
            </w:pPr>
            <w:r/>
            <w:r>
              <w:rPr>
                <w:rFonts w:ascii="宋体" w:hAnsi="宋体" w:eastAsia="宋体"/>
                <w:b w:val="0"/>
                <w:sz w:val="16"/>
              </w:rPr>
              <w:t>57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眼虫</w:t>
            </w:r>
          </w:p>
        </w:tc>
        <w:tc>
          <w:tcPr>
            <w:tcW w:type="dxa" w:w="1728"/>
          </w:tcPr>
          <w:p>
            <w:pPr>
              <w:jc w:val="center"/>
            </w:pPr>
            <w:r/>
            <w:r>
              <w:rPr>
                <w:rFonts w:ascii="宋体" w:hAnsi="宋体" w:eastAsia="宋体"/>
                <w:b w:val="0"/>
                <w:sz w:val="16"/>
              </w:rPr>
              <w:t>0.618</w:t>
            </w:r>
          </w:p>
        </w:tc>
        <w:tc>
          <w:tcPr>
            <w:tcW w:type="dxa" w:w="1728"/>
          </w:tcPr>
          <w:p>
            <w:pPr>
              <w:jc w:val="center"/>
            </w:pPr>
            <w:r/>
            <w:r>
              <w:rPr>
                <w:rFonts w:ascii="宋体" w:hAnsi="宋体" w:eastAsia="宋体"/>
                <w:b w:val="0"/>
                <w:sz w:val="16"/>
              </w:rPr>
              <w:t>34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草履虫</w:t>
            </w:r>
          </w:p>
        </w:tc>
        <w:tc>
          <w:tcPr>
            <w:tcW w:type="dxa" w:w="1728"/>
          </w:tcPr>
          <w:p>
            <w:pPr>
              <w:jc w:val="center"/>
            </w:pPr>
            <w:r/>
            <w:r>
              <w:rPr>
                <w:rFonts w:ascii="宋体" w:hAnsi="宋体" w:eastAsia="宋体"/>
                <w:b w:val="0"/>
                <w:sz w:val="16"/>
              </w:rPr>
              <w:t>0.526</w:t>
            </w:r>
          </w:p>
        </w:tc>
        <w:tc>
          <w:tcPr>
            <w:tcW w:type="dxa" w:w="1728"/>
          </w:tcPr>
          <w:p>
            <w:pPr>
              <w:jc w:val="center"/>
            </w:pPr>
            <w:r/>
            <w:r>
              <w:rPr>
                <w:rFonts w:ascii="宋体" w:hAnsi="宋体" w:eastAsia="宋体"/>
                <w:b w:val="0"/>
                <w:sz w:val="16"/>
              </w:rPr>
              <w:t>30</w:t>
            </w:r>
          </w:p>
        </w:tc>
        <w:tc>
          <w:tcPr>
            <w:tcW w:type="dxa" w:w="1728"/>
          </w:tcPr>
          <w:p>
            <w:pPr>
              <w:jc w:val="center"/>
            </w:pPr>
            <w:r/>
            <w:r>
              <w:rPr>
                <w:rFonts w:ascii="宋体" w:hAnsi="宋体" w:eastAsia="宋体"/>
                <w:b w:val="0"/>
                <w:sz w:val="16"/>
              </w:rPr>
              <w:t>2/3</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月牙藻是梦川的完美指示种（IndVal=1.000），在梦川的三次调查中均出现且全部个体仅分布于梦川，表明月牙藻对梦川的特定生境条件具有高度依赖性。衣藻是菜根谭的重要指示种（IndVal=0.875），反映出菜根谭可能具有适宜该类群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1.5~2.5之间波动），但在时间上呈现明显的演替趋势。物种数从第一次调查的27种快速增长至第二次的51种后趋于饱和，个体数量则持续增长（227→537→591），推测若干类物种（实际25~30个体）在后续调查中集中出现，使多度大幅增长，群落正经历从物种拓殖向优势种扩张的演替阶段转换。</w:t>
      </w:r>
    </w:p>
    <w:p>
      <w:pPr>
        <w:pStyle w:val="Heading2"/>
      </w:pPr>
      <w:r>
        <w:t>8.2 环境驱动因子</w:t>
      </w:r>
    </w:p>
    <w:p>
      <w:r>
        <w:t>Mantel检验（9999次置换）和PCA分析一致表明，时间因子（r=+0.326, p=0.0004）是群落差异的最强解释变量，超越了空间异质性的效应。这一发现说明即使在短短三周的时间尺度上，浮游生物群落也随季节性温度变化和营养盐动态发生显著重组。TDS和电导率的单独显著效应（p&lt;0.05）提示离子浓度梯度对群落结构存在次要但可检测的影响，其生态学机制可能涉及渗透压胁迫和特定离子的生理效应。</w:t>
      </w:r>
    </w:p>
    <w:p>
      <w:pPr>
        <w:pStyle w:val="Heading2"/>
      </w:pPr>
      <w:r>
        <w:t>8.3 群落演替的主要驱动物种</w:t>
      </w:r>
    </w:p>
    <w:p>
      <w:r>
        <w:t>SIMPER分析识别出尾滴虫是5.16→5.31间群落变化的核心驱动物种，其大量出现在后两次调查中是群落演替的主要标志。此外，尾滴虫属适宜在较高温度和营养盐条件下快速增殖，具有季节性爆发的特点。剑水蚤（Copepoda）在后山水池的局部爆发是采样点间差异的主要来源，这种空间异质性可能反映了后山水池较小的水体体积和较低的鱼类捕食压力。</w:t>
      </w:r>
    </w:p>
    <w:p>
      <w:pPr>
        <w:pStyle w:val="Heading2"/>
      </w:pPr>
      <w:r>
        <w:t>8.4 方法学考量与建议</w:t>
      </w:r>
    </w:p>
    <w:p>
      <w:r>
        <w:t>（1）模糊计数的不确定性：经与现场记录人员沟通，发现"若干"的实际含义被初期低估——原始估计值（3）远低于真实视野中的个体数（25~30）。本报告已将所有"若干"记录修正为25~30范围内的随机整数。若在正式提交中仍需讨论不确定性，可对"很多"（8）和"大量"（15）的映射方案进行敏感性分析，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五个采样点共记录浮游生物物种79种，分属13个功能类群，绿藻门为绝对优势门类（35.8%）。</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Mantel检验表明时间距离是群落差异的最强解释因素（r=+0.326, p=0.0004），季节演替效应&gt;空间异质性效应。</w:t>
      </w:r>
    </w:p>
    <w:p>
      <w:pPr>
        <w:ind w:left="283"/>
      </w:pPr>
      <w:r>
        <w:t>4. 尾滴虫和剑水蚤分别在时间和空间维度上主导了群落差异（SIMPER分析），是监测群落动态的关键指示类群。</w:t>
      </w:r>
    </w:p>
    <w:p>
      <w:pPr>
        <w:ind w:left="283"/>
      </w:pPr>
      <w:r>
        <w:t>5. TDS和电导率单独与群落差异呈显著正相关（p&lt;0.05），离子浓度是影响浮游生物群落结构的次要但可检测的环境因子。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25~30（随机整数，修正：初期沟通失误误判为少量，经核实实际每视野约25~30个个体）</w:t>
        <w:br/>
        <w:t>很多 → 8（视野内大量出现，难以逐一计数）</w:t>
        <w:br/>
        <w:t>大量 → 15（视野内密集分布，含"若干（大量）"变体，占据优势）</w:t>
        <w:br/>
        <w:br/>
        <w:t>注：若干的映射已在2026年6月与现场人员核实后修正。很多和大量的映射仍为近似处理，不可避免引入误差。</w:t>
      </w:r>
    </w:p>
    <w:p>
      <w:pPr>
        <w:pStyle w:val="Heading2"/>
      </w:pPr>
      <w:r>
        <w:t>9.3 分析脚本说明</w:t>
      </w:r>
    </w:p>
    <w:p>
      <w:r>
        <w:t>analysis.py — 多样性指数计算与多度排名</w:t>
        <w:br/>
        <w:t>advanced_analysis.py — PCA、NMDS、聚类、相关性、功能群、Beta多样性、指示物种、K-优势度曲线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