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sz w:val="36"/>
          <w:szCs w:val="36"/>
          <w:rtl w:val="0"/>
        </w:rPr>
        <w:t xml:space="preserve">Literature Review</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i w:val="1"/>
          <w:iCs w:val="1"/>
          <w:sz w:val="26"/>
          <w:szCs w:val="26"/>
          <w:rtl w:val="0"/>
        </w:rPr>
        <w:t xml:space="preserve">Subword Tokenization Awareness in Language-Neutral Language Models</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Framing</w:t>
      </w:r>
    </w:p>
    <w:p w:rsidR="00000000" w:rsidDel="00000000" w:rsidP="00000000" w:rsidRDefault="00000000" w:rsidRPr="00000000" w14:paraId="00000004">
      <w:pPr>
        <w:spacing w:after="160" w:line="300" w:lineRule="auto"/>
        <w:jc w:val="both"/>
        <w:rPr/>
      </w:pPr>
      <w:r w:rsidDel="00000000" w:rsidR="00000000" w:rsidRPr="00000000">
        <w:rPr>
          <w:rtl w:val="0"/>
        </w:rPr>
        <w:t xml:space="preserve">Language-neutral models aim to serve many languages from a single shared model without privileging any one of them. The core tension in this goal is that tokenization, the very first step of the pipeline, is rarely neutral in practice. Subword vocabularies are usually learned from corpora dominated by a handful of high-resource languages, which means the tokenizer quietly encodes linguistic bias before the model sees a single training example. A model can only be as language-neutral as its tokenizer allows it to be.</w:t>
      </w:r>
    </w:p>
    <w:p w:rsidR="00000000" w:rsidDel="00000000" w:rsidP="00000000" w:rsidRDefault="00000000" w:rsidRPr="00000000" w14:paraId="00000005">
      <w:pPr>
        <w:spacing w:after="160" w:line="300" w:lineRule="auto"/>
        <w:jc w:val="both"/>
        <w:rPr/>
      </w:pPr>
      <w:r w:rsidDel="00000000" w:rsidR="00000000" w:rsidRPr="00000000">
        <w:rPr>
          <w:rtl w:val="0"/>
        </w:rPr>
        <w:t xml:space="preserve">The two papers reviewed here speak directly to this tension from different angles. Toraman and colleagues show what goes wrong when a universal subword tokenizer meets a morphologically rich language, while Ndomba and colleagues show that even multilingual tokenizers marketed as broadly applicable fail to be neutral across African languages.</w:t>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Article 1: Toraman et al. (2023)</w:t>
      </w:r>
    </w:p>
    <w:p w:rsidR="00000000" w:rsidDel="00000000" w:rsidP="00000000" w:rsidRDefault="00000000" w:rsidRPr="00000000" w14:paraId="00000007">
      <w:pPr>
        <w:spacing w:after="160" w:line="300" w:lineRule="auto"/>
        <w:jc w:val="both"/>
        <w:rPr/>
      </w:pPr>
      <w:r w:rsidDel="00000000" w:rsidR="00000000" w:rsidRPr="00000000">
        <w:rPr>
          <w:rtl w:val="0"/>
        </w:rPr>
        <w:t xml:space="preserve">Toraman, C., Yilmaz, E. H., Şahinuç, F., &amp; Ozcelik, O. (2023). Impact of Tokenization on Language Models: An Analysis for Turkish. </w:t>
      </w:r>
      <w:r w:rsidDel="00000000" w:rsidR="00000000" w:rsidRPr="00000000">
        <w:rPr>
          <w:i w:val="1"/>
          <w:iCs w:val="1"/>
          <w:rtl w:val="0"/>
        </w:rPr>
        <w:t xml:space="preserve">ACM Transactions on Asian and Low-Resource Language Information Processing</w:t>
      </w:r>
      <w:r w:rsidDel="00000000" w:rsidR="00000000" w:rsidRPr="00000000">
        <w:rPr>
          <w:rtl w:val="0"/>
        </w:rPr>
        <w:t xml:space="preserve">, 22(4), Article 116.</w:t>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Relevance to language-neutral modelling</w:t>
      </w:r>
    </w:p>
    <w:p w:rsidR="00000000" w:rsidDel="00000000" w:rsidP="00000000" w:rsidRDefault="00000000" w:rsidRPr="00000000" w14:paraId="00000009">
      <w:pPr>
        <w:spacing w:after="160" w:line="300" w:lineRule="auto"/>
        <w:jc w:val="both"/>
        <w:rPr/>
      </w:pPr>
      <w:r w:rsidDel="00000000" w:rsidR="00000000" w:rsidRPr="00000000">
        <w:rPr>
          <w:rtl w:val="0"/>
        </w:rPr>
        <w:t xml:space="preserve">This paper is effectively a case study in why BPE and WordPiece, the de facto language-agnostic subword algorithms used in BERT, GPT, and their multilingual descendants, are not actually neutral. These algorithms were designed and tuned on English-dominated corpora, and their frequency-driven merge heuristics encode assumptions such as whitespace-separated words, limited affixation, and shallow morphology. Those assumptions break down for agglutinative languages. Turkish is a useful test case, because a single word like veremedim decomposes into five morphemes (ver-e-me-di-m, meaning "I could not give"), which exposes the problem clearly.</w:t>
      </w:r>
    </w:p>
    <w:p w:rsidR="00000000" w:rsidDel="00000000" w:rsidP="00000000" w:rsidRDefault="00000000" w:rsidRPr="00000000" w14:paraId="0000000A">
      <w:pPr>
        <w:pStyle w:val="Heading2"/>
        <w:rPr>
          <w:color w:val="000000"/>
        </w:rPr>
      </w:pPr>
      <w:r w:rsidDel="00000000" w:rsidR="00000000" w:rsidRPr="00000000">
        <w:rPr>
          <w:color w:val="000000"/>
          <w:rtl w:val="0"/>
        </w:rPr>
        <w:t xml:space="preserve">What they test</w:t>
      </w:r>
    </w:p>
    <w:p w:rsidR="00000000" w:rsidDel="00000000" w:rsidP="00000000" w:rsidRDefault="00000000" w:rsidRPr="00000000" w14:paraId="0000000B">
      <w:pPr>
        <w:spacing w:after="160" w:line="300" w:lineRule="auto"/>
        <w:jc w:val="both"/>
        <w:rPr/>
      </w:pPr>
      <w:r w:rsidDel="00000000" w:rsidR="00000000" w:rsidRPr="00000000">
        <w:rPr>
          <w:rtl w:val="0"/>
        </w:rPr>
        <w:t xml:space="preserve">The authors compare five tokenizers at different granularity levels: Character-level (ByT5), BPE, WordPiece, Morphological-level using the Zemberek analyser, and Word-level. Each tokenizer is used to pretrain a medium-sized RoBERTa model on the Turkish split of the OSCAR corpus. The resulting models are fine-tuned on six downstream tasks and compared using proper statistical tests. A second experiment sweeps vocabulary size from 7k to 66k tokens to examine the trade-off between vocabulary capacity and model size.</w:t>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Findings that matter for language-neutral modelling</w:t>
      </w:r>
    </w:p>
    <w:p w:rsidR="00000000" w:rsidDel="00000000" w:rsidP="00000000" w:rsidRDefault="00000000" w:rsidRPr="00000000" w14:paraId="0000000D">
      <w:pPr>
        <w:spacing w:after="160" w:line="300" w:lineRule="auto"/>
        <w:jc w:val="both"/>
        <w:rPr/>
      </w:pPr>
      <w:r w:rsidDel="00000000" w:rsidR="00000000" w:rsidRPr="00000000">
        <w:rPr>
          <w:rtl w:val="0"/>
        </w:rPr>
        <w:t xml:space="preserve">BPE and WordPiece remain the top performers in Turkish, but the morphological tokenizer is statistically competitive across most tasks. The gap is small, typically between 0.01 and 0.02 F1, and in several cases not statistically significant. This suggests that once a tokenizer is morphologically informed, the supposedly universal frequency-based methods lose most of their advantage.</w:t>
      </w:r>
    </w:p>
    <w:p w:rsidR="00000000" w:rsidDel="00000000" w:rsidP="00000000" w:rsidRDefault="00000000" w:rsidRPr="00000000" w14:paraId="0000000E">
      <w:pPr>
        <w:spacing w:after="160" w:line="300" w:lineRule="auto"/>
        <w:jc w:val="both"/>
        <w:rPr/>
      </w:pPr>
      <w:r w:rsidDel="00000000" w:rsidR="00000000" w:rsidRPr="00000000">
        <w:rPr>
          <w:rtl w:val="0"/>
        </w:rPr>
        <w:t xml:space="preserve">Character-level tokenization, which is often pitched as the ultimate language-agnostic solution because it eliminates vocabulary altogether, underperforms meaningfully. The authors argue that medium-sized models do not have the capacity to reconstruct higher-level structure from raw characters, which undermines the appeal of tokenizer-free approaches for low-resource languages.</w:t>
      </w:r>
    </w:p>
    <w:p w:rsidR="00000000" w:rsidDel="00000000" w:rsidP="00000000" w:rsidRDefault="00000000" w:rsidRPr="00000000" w14:paraId="0000000F">
      <w:pPr>
        <w:spacing w:after="160" w:line="300" w:lineRule="auto"/>
        <w:jc w:val="both"/>
        <w:rPr/>
      </w:pPr>
      <w:r w:rsidDel="00000000" w:rsidR="00000000" w:rsidRPr="00000000">
        <w:rPr>
          <w:rtl w:val="0"/>
        </w:rPr>
        <w:t xml:space="preserve">Word-level tokenization fails badly because roughly half of the tokens in the downstream datasets end up as unknown. This failure mode shows how vocabulary allocation, not just algorithm choice, drives neutrality in practice.</w:t>
      </w:r>
    </w:p>
    <w:p w:rsidR="00000000" w:rsidDel="00000000" w:rsidP="00000000" w:rsidRDefault="00000000" w:rsidRPr="00000000" w14:paraId="00000010">
      <w:pPr>
        <w:spacing w:after="160" w:line="300" w:lineRule="auto"/>
        <w:jc w:val="both"/>
        <w:rPr/>
      </w:pPr>
      <w:r w:rsidDel="00000000" w:rsidR="00000000" w:rsidRPr="00000000">
        <w:rPr>
          <w:rtl w:val="0"/>
        </w:rPr>
        <w:t xml:space="preserve">Vocabulary size has asymmetric effects across tokenizers. BPE and WordPiece saturate early, while morphological and word-level tokenizers keep improving as vocabulary grows. The authors recommend allocating around 20% of model parameters to the vocabulary for de facto tokenizers, and around 40% for the others. This is a concrete neutrality lever, because a shared vocabulary that needs to fairly represent a morphologically rich language requires proportionally more capacity.</w:t>
      </w:r>
    </w:p>
    <w:p w:rsidR="00000000" w:rsidDel="00000000" w:rsidP="00000000" w:rsidRDefault="00000000" w:rsidRPr="00000000" w14:paraId="00000011">
      <w:pPr>
        <w:spacing w:after="160" w:line="300" w:lineRule="auto"/>
        <w:jc w:val="both"/>
        <w:rPr/>
      </w:pPr>
      <w:r w:rsidDel="00000000" w:rsidR="00000000" w:rsidRPr="00000000">
        <w:rPr>
          <w:rtl w:val="0"/>
        </w:rPr>
        <w:t xml:space="preserve">Their RoBERTa-TR-medium recovers 97% of BERTurk's performance at roughly one-third the size, which suggests that tokenizer choice can substitute for raw model scale. That matters for multilingual settings, where adding parameters per language is usually infeasible.</w:t>
      </w:r>
    </w:p>
    <w:p w:rsidR="00000000" w:rsidDel="00000000" w:rsidP="00000000" w:rsidRDefault="00000000" w:rsidRPr="00000000" w14:paraId="00000012">
      <w:pPr>
        <w:pStyle w:val="Heading2"/>
        <w:rPr>
          <w:color w:val="000000"/>
        </w:rPr>
      </w:pPr>
      <w:r w:rsidDel="00000000" w:rsidR="00000000" w:rsidRPr="00000000">
        <w:rPr>
          <w:color w:val="000000"/>
          <w:rtl w:val="0"/>
        </w:rPr>
        <w:t xml:space="preserve">Limitations from the neutrality angle</w:t>
      </w:r>
    </w:p>
    <w:p w:rsidR="00000000" w:rsidDel="00000000" w:rsidP="00000000" w:rsidRDefault="00000000" w:rsidRPr="00000000" w14:paraId="00000013">
      <w:pPr>
        <w:spacing w:after="160" w:line="300" w:lineRule="auto"/>
        <w:jc w:val="both"/>
        <w:rPr/>
      </w:pPr>
      <w:r w:rsidDel="00000000" w:rsidR="00000000" w:rsidRPr="00000000">
        <w:rPr>
          <w:rtl w:val="0"/>
        </w:rPr>
        <w:t xml:space="preserve">The study is monolingual. It does not test whether a morphologically informed tokenizer trained on Turkish would transfer to other agglutinative languages such as Finnish, Hungarian, or Korean, which is the question a language-neutral approach would ultimately need to answer. The morphological tokenizer also depends on Zemberek, a Turkish-specific analyser, so a genuinely language-neutral morphological segmentation would need either unsupervised morphology induction or a shared cross-lingual architecture. The authors acknowledge this as future work.</w:t>
      </w:r>
    </w:p>
    <w:p w:rsidR="00000000" w:rsidDel="00000000" w:rsidP="00000000" w:rsidRDefault="00000000" w:rsidRPr="00000000" w14:paraId="00000014">
      <w:pPr>
        <w:pStyle w:val="Heading1"/>
        <w:rPr>
          <w:color w:val="000000"/>
        </w:rPr>
      </w:pPr>
      <w:r w:rsidDel="00000000" w:rsidR="00000000" w:rsidRPr="00000000">
        <w:rPr>
          <w:color w:val="000000"/>
          <w:rtl w:val="0"/>
        </w:rPr>
        <w:t xml:space="preserve">Article 2: Ndomba, Mswahili, &amp; Jeong (2025)</w:t>
      </w:r>
    </w:p>
    <w:p w:rsidR="00000000" w:rsidDel="00000000" w:rsidP="00000000" w:rsidRDefault="00000000" w:rsidRPr="00000000" w14:paraId="00000015">
      <w:pPr>
        <w:spacing w:after="160" w:line="300" w:lineRule="auto"/>
        <w:jc w:val="both"/>
        <w:rPr/>
      </w:pPr>
      <w:r w:rsidDel="00000000" w:rsidR="00000000" w:rsidRPr="00000000">
        <w:rPr>
          <w:rtl w:val="0"/>
        </w:rPr>
        <w:t xml:space="preserve">Ndomba, G. E., Mswahili, M. E., &amp; Jeong, Y.-S. (2025). Tokenizers for African Languages. </w:t>
      </w:r>
      <w:r w:rsidDel="00000000" w:rsidR="00000000" w:rsidRPr="00000000">
        <w:rPr>
          <w:i w:val="1"/>
          <w:iCs w:val="1"/>
          <w:rtl w:val="0"/>
        </w:rPr>
        <w:t xml:space="preserve">IEEE Access</w:t>
      </w:r>
      <w:r w:rsidDel="00000000" w:rsidR="00000000" w:rsidRPr="00000000">
        <w:rPr>
          <w:rtl w:val="0"/>
        </w:rPr>
        <w:t xml:space="preserve">, 13, 1046-1054.</w:t>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Relevance to language-neutral modelling</w:t>
      </w:r>
    </w:p>
    <w:p w:rsidR="00000000" w:rsidDel="00000000" w:rsidP="00000000" w:rsidRDefault="00000000" w:rsidRPr="00000000" w14:paraId="00000017">
      <w:pPr>
        <w:spacing w:after="160" w:line="300" w:lineRule="auto"/>
        <w:jc w:val="both"/>
        <w:rPr/>
      </w:pPr>
      <w:r w:rsidDel="00000000" w:rsidR="00000000" w:rsidRPr="00000000">
        <w:rPr>
          <w:rtl w:val="0"/>
        </w:rPr>
        <w:t xml:space="preserve">This paper provides direct empirical evidence that the tokenizers inside ostensibly language-neutral multilingual models such as mBERT and XLM-R are not actually neutral across the languages they claim to cover. Both models were trained on more than 100 languages each, but they include only a handful of African ones. The paper shows that their tokenizers underperform on Swahili, Hausa, and Yoruba compared to tokenizers that were trained with African languages in mind. This is a neutrality failure at the pre-model stage, before any downstream training even begins.</w:t>
      </w:r>
    </w:p>
    <w:p w:rsidR="00000000" w:rsidDel="00000000" w:rsidP="00000000" w:rsidRDefault="00000000" w:rsidRPr="00000000" w14:paraId="00000018">
      <w:pPr>
        <w:pStyle w:val="Heading2"/>
        <w:rPr>
          <w:color w:val="000000"/>
        </w:rPr>
      </w:pPr>
      <w:r w:rsidDel="00000000" w:rsidR="00000000" w:rsidRPr="00000000">
        <w:rPr>
          <w:color w:val="000000"/>
          <w:rtl w:val="0"/>
        </w:rPr>
        <w:t xml:space="preserve">What they test</w:t>
      </w:r>
    </w:p>
    <w:p w:rsidR="00000000" w:rsidDel="00000000" w:rsidP="00000000" w:rsidRDefault="00000000" w:rsidRPr="00000000" w14:paraId="00000019">
      <w:pPr>
        <w:spacing w:after="160" w:line="300" w:lineRule="auto"/>
        <w:jc w:val="both"/>
        <w:rPr/>
      </w:pPr>
      <w:r w:rsidDel="00000000" w:rsidR="00000000" w:rsidRPr="00000000">
        <w:rPr>
          <w:rtl w:val="0"/>
        </w:rPr>
        <w:t xml:space="preserve">The authors train WordPiece tokenizers separately for Swahili, Hausa, and Yoruba on unlabelled corpora. These language-specific tokenizers are then compared against three groups: monolingual high-resource tokenizers (English, Spanish, Arabic, French), Africa-focused multilingual tokenizers (AfroXLM-R, AfriBERTa, Serengeti), and global multilingual tokenizers (XLM-R, mBERT). Downstream evaluation uses TF-IDF features with SVM, Random Forest, and Logistic Regression classifiers on sentiment and news classification tasks. The authors deliberately avoid Transformer fine-tuning in this evaluation so that tokenization effects are not masked by the representational power of the downstream model.</w:t>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Findings that matter for language-neutral modelling</w:t>
      </w:r>
    </w:p>
    <w:p w:rsidR="00000000" w:rsidDel="00000000" w:rsidP="00000000" w:rsidRDefault="00000000" w:rsidRPr="00000000" w14:paraId="0000001B">
      <w:pPr>
        <w:spacing w:after="160" w:line="300" w:lineRule="auto"/>
        <w:jc w:val="both"/>
        <w:rPr/>
      </w:pPr>
      <w:r w:rsidDel="00000000" w:rsidR="00000000" w:rsidRPr="00000000">
        <w:rPr>
          <w:rtl w:val="0"/>
        </w:rPr>
        <w:t xml:space="preserve">Language-specific African tokenizers beat high-resource monolingual tokenizers by up to 5.43% on sentiment classification and 4.58% on news classification. A tokenizer trained on English data is not a neutral starting point for Swahili. It is actively worse than one trained on a related low-resource language.</w:t>
      </w:r>
    </w:p>
    <w:p w:rsidR="00000000" w:rsidDel="00000000" w:rsidP="00000000" w:rsidRDefault="00000000" w:rsidRPr="00000000" w14:paraId="0000001C">
      <w:pPr>
        <w:spacing w:after="160" w:line="300" w:lineRule="auto"/>
        <w:jc w:val="both"/>
        <w:rPr/>
      </w:pPr>
      <w:r w:rsidDel="00000000" w:rsidR="00000000" w:rsidRPr="00000000">
        <w:rPr>
          <w:rtl w:val="0"/>
        </w:rPr>
        <w:t xml:space="preserve">Africa-focused multilingual tokenizers (Serengeti, AfriBERTa, AfroXLM-R) outperform global multilingual tokenizers (XLM-R, mBERT) by an average of roughly 1.4% to 1.7%. Multilinguality alone does not produce neutrality. Which languages the tokenizer is trained on matters more than how many, which is a direct challenge to the assumption that scaling multilingual coverage automatically improves fairness across languages.</w:t>
      </w:r>
    </w:p>
    <w:p w:rsidR="00000000" w:rsidDel="00000000" w:rsidP="00000000" w:rsidRDefault="00000000" w:rsidRPr="00000000" w14:paraId="0000001D">
      <w:pPr>
        <w:spacing w:after="160" w:line="300" w:lineRule="auto"/>
        <w:jc w:val="both"/>
        <w:rPr/>
      </w:pPr>
      <w:r w:rsidDel="00000000" w:rsidR="00000000" w:rsidRPr="00000000">
        <w:rPr>
          <w:rtl w:val="0"/>
        </w:rPr>
        <w:t xml:space="preserve">Tokenizers transfer across African languages reasonably well. The Hausa tokenizer, for instance, performs decently on Swahili and Yoruba data, which suggests genuine linguistic bonds that a carefully designed regional multilingual tokenizer can exploit. This points toward regional neutrality as a more realistic design goal than global neutrality.</w:t>
      </w:r>
    </w:p>
    <w:p w:rsidR="00000000" w:rsidDel="00000000" w:rsidP="00000000" w:rsidRDefault="00000000" w:rsidRPr="00000000" w14:paraId="0000001E">
      <w:pPr>
        <w:spacing w:after="160" w:line="300" w:lineRule="auto"/>
        <w:jc w:val="both"/>
        <w:rPr/>
      </w:pPr>
      <w:r w:rsidDel="00000000" w:rsidR="00000000" w:rsidRPr="00000000">
        <w:rPr>
          <w:rtl w:val="0"/>
        </w:rPr>
        <w:t xml:space="preserve">Yoruba stands out as an exception. The Yoruba-specific tokenizer beats all multilingual alternatives by 6% to 9% on news classification. The authors attribute this to Yoruba's tonal system, complex verb variation, and small number of loanwords, which together limit the benefits of cross-lingual transfer. The implication is that full language neutrality may be unattainable for languages with distinctive phonological or morphological properties. Some languages will always need dedicated tokenization.</w:t>
      </w:r>
    </w:p>
    <w:p w:rsidR="00000000" w:rsidDel="00000000" w:rsidP="00000000" w:rsidRDefault="00000000" w:rsidRPr="00000000" w14:paraId="0000001F">
      <w:pPr>
        <w:spacing w:after="160" w:line="300" w:lineRule="auto"/>
        <w:jc w:val="both"/>
        <w:rPr/>
      </w:pPr>
      <w:r w:rsidDel="00000000" w:rsidR="00000000" w:rsidRPr="00000000">
        <w:rPr>
          <w:rtl w:val="0"/>
        </w:rPr>
        <w:t xml:space="preserve">The practical recommendation the authors offer is pragmatic. Default to an Africa-focused multilingual tokenizer such as Serengeti, but fall back to a language-specific one when the target language has properties that limit cross-lingual transfer.</w:t>
      </w:r>
    </w:p>
    <w:p w:rsidR="00000000" w:rsidDel="00000000" w:rsidP="00000000" w:rsidRDefault="00000000" w:rsidRPr="00000000" w14:paraId="00000020">
      <w:pPr>
        <w:pStyle w:val="Heading2"/>
        <w:rPr>
          <w:color w:val="000000"/>
        </w:rPr>
      </w:pPr>
      <w:r w:rsidDel="00000000" w:rsidR="00000000" w:rsidRPr="00000000">
        <w:rPr>
          <w:color w:val="000000"/>
          <w:rtl w:val="0"/>
        </w:rPr>
        <w:t xml:space="preserve">Limitations from the neutrality angle</w:t>
      </w:r>
    </w:p>
    <w:p w:rsidR="00000000" w:rsidDel="00000000" w:rsidP="00000000" w:rsidRDefault="00000000" w:rsidRPr="00000000" w14:paraId="00000021">
      <w:pPr>
        <w:spacing w:after="160" w:line="300" w:lineRule="auto"/>
        <w:jc w:val="both"/>
        <w:rPr/>
      </w:pPr>
      <w:r w:rsidDel="00000000" w:rsidR="00000000" w:rsidRPr="00000000">
        <w:rPr>
          <w:rtl w:val="0"/>
        </w:rPr>
        <w:t xml:space="preserve">The downstream datasets are small, which weakens the generalisability of the results. More importantly for the neutrality framing, the evaluation uses traditional machine learning classifiers rather than Transformer fine-tuning, so it does not directly demonstrate that tokenizer neutrality affects modern language model behaviour. It only shows that it affects the features derived from tokenized text. No statistical significance testing is reported, unlike the Toraman paper, and only three African languages are covered, which is a small sample from which to draw general claims about African tokenization.</w:t>
      </w:r>
    </w:p>
    <w:p w:rsidR="00000000" w:rsidDel="00000000" w:rsidP="00000000" w:rsidRDefault="00000000" w:rsidRPr="00000000" w14:paraId="00000022">
      <w:pPr>
        <w:pStyle w:val="Heading1"/>
        <w:rPr>
          <w:color w:val="000000"/>
        </w:rPr>
      </w:pPr>
      <w:r w:rsidDel="00000000" w:rsidR="00000000" w:rsidRPr="00000000">
        <w:rPr>
          <w:color w:val="000000"/>
          <w:rtl w:val="0"/>
        </w:rPr>
        <w:t xml:space="preserve">Synthesis</w:t>
      </w:r>
    </w:p>
    <w:p w:rsidR="00000000" w:rsidDel="00000000" w:rsidP="00000000" w:rsidRDefault="00000000" w:rsidRPr="00000000" w14:paraId="00000023">
      <w:pPr>
        <w:spacing w:after="160" w:line="300" w:lineRule="auto"/>
        <w:jc w:val="both"/>
        <w:rPr/>
      </w:pPr>
      <w:r w:rsidDel="00000000" w:rsidR="00000000" w:rsidRPr="00000000">
        <w:rPr>
          <w:rtl w:val="0"/>
        </w:rPr>
        <w:t xml:space="preserve">Read together, the two papers converge on a clear claim: the language-agnostic framing of modern subword tokenizers is a convenient fiction. The tokenizer is always trained on some corpus, and the composition of that corpus encodes a prior over which linguistic structures the downstream model can cheaply represent. When that prior misaligns with the target language, the model pays in performance, in parameter efficiency, or in both.</w:t>
      </w:r>
    </w:p>
    <w:p w:rsidR="00000000" w:rsidDel="00000000" w:rsidP="00000000" w:rsidRDefault="00000000" w:rsidRPr="00000000" w14:paraId="00000024">
      <w:pPr>
        <w:spacing w:after="160" w:line="300" w:lineRule="auto"/>
        <w:jc w:val="both"/>
        <w:rPr/>
      </w:pPr>
      <w:r w:rsidDel="00000000" w:rsidR="00000000" w:rsidRPr="00000000">
        <w:rPr>
          <w:rtl w:val="0"/>
        </w:rPr>
        <w:t xml:space="preserve">Three threads tie the papers together for a subword-tokenization-aware neutrality argument.</w:t>
      </w:r>
    </w:p>
    <w:p w:rsidR="00000000" w:rsidDel="00000000" w:rsidP="00000000" w:rsidRDefault="00000000" w:rsidRPr="00000000" w14:paraId="00000025">
      <w:pPr>
        <w:pStyle w:val="Heading2"/>
        <w:rPr>
          <w:color w:val="000000"/>
        </w:rPr>
      </w:pPr>
      <w:r w:rsidDel="00000000" w:rsidR="00000000" w:rsidRPr="00000000">
        <w:rPr>
          <w:color w:val="000000"/>
          <w:rtl w:val="0"/>
        </w:rPr>
        <w:t xml:space="preserve">Neutrality is not the same as universality</w:t>
      </w:r>
    </w:p>
    <w:p w:rsidR="00000000" w:rsidDel="00000000" w:rsidP="00000000" w:rsidRDefault="00000000" w:rsidRPr="00000000" w14:paraId="00000026">
      <w:pPr>
        <w:spacing w:after="160" w:line="300" w:lineRule="auto"/>
        <w:jc w:val="both"/>
        <w:rPr/>
      </w:pPr>
      <w:r w:rsidDel="00000000" w:rsidR="00000000" w:rsidRPr="00000000">
        <w:rPr>
          <w:rtl w:val="0"/>
        </w:rPr>
        <w:t xml:space="preserve">BPE and WordPiece are universal in the sense that they can run on any text, but they are not neutral in the sense of treating all languages equally. Toraman and colleagues show this by demonstrating that morphologically informed tokenization matches or exceeds universal subword methods in Turkish. Ndomba and colleagues show it by demonstrating that Africa-focused multilingual tokenizers beat global multilingual ones on African languages. Both papers implicitly argue that neutrality must be earned through design choices such as corpus composition, vocabulary allocation, and segmentation algorithm, rather than simply assumed.</w:t>
      </w:r>
    </w:p>
    <w:p w:rsidR="00000000" w:rsidDel="00000000" w:rsidP="00000000" w:rsidRDefault="00000000" w:rsidRPr="00000000" w14:paraId="00000027">
      <w:pPr>
        <w:pStyle w:val="Heading2"/>
        <w:rPr>
          <w:color w:val="000000"/>
        </w:rPr>
      </w:pPr>
      <w:r w:rsidDel="00000000" w:rsidR="00000000" w:rsidRPr="00000000">
        <w:rPr>
          <w:color w:val="000000"/>
          <w:rtl w:val="0"/>
        </w:rPr>
        <w:t xml:space="preserve">Vocabulary allocation is the hidden neutrality lever</w:t>
      </w:r>
    </w:p>
    <w:p w:rsidR="00000000" w:rsidDel="00000000" w:rsidP="00000000" w:rsidRDefault="00000000" w:rsidRPr="00000000" w14:paraId="00000028">
      <w:pPr>
        <w:spacing w:after="160" w:line="300" w:lineRule="auto"/>
        <w:jc w:val="both"/>
        <w:rPr/>
      </w:pPr>
      <w:r w:rsidDel="00000000" w:rsidR="00000000" w:rsidRPr="00000000">
        <w:rPr>
          <w:rtl w:val="0"/>
        </w:rPr>
        <w:t xml:space="preserve">Toraman and colleagues quantify this directly by varying vocabulary size. Ndomba and colleagues imply it by showing that tokenizers trained in different languages mix partition vocabulary capacity very differently. In a multilingual language-neutral model, the vocabulary is the site where the representational budget gets allocated across languages, and current methods allocate it by frequency, which is to say, by how much data each language has. That is the opposite of neutral. A genuinely language-neutral tokenizer would need a principled allocation strategy that accounts for morphological complexity and typological distance, not just corpus size.</w:t>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Character-level and tokenizer-free approaches are not the rescue they appear to be</w:t>
      </w:r>
    </w:p>
    <w:p w:rsidR="00000000" w:rsidDel="00000000" w:rsidP="00000000" w:rsidRDefault="00000000" w:rsidRPr="00000000" w14:paraId="0000002A">
      <w:pPr>
        <w:spacing w:after="160" w:line="300" w:lineRule="auto"/>
        <w:jc w:val="both"/>
        <w:rPr/>
      </w:pPr>
      <w:r w:rsidDel="00000000" w:rsidR="00000000" w:rsidRPr="00000000">
        <w:rPr>
          <w:rtl w:val="0"/>
        </w:rPr>
        <w:t xml:space="preserve">Both papers touch on this point indirectly. Toraman and colleagues show empirically that character-level tokenization underperforms for Turkish in medium-sized models, while Ndomba and colleagues point out that gradient-based and language-agnostic subword methods such as Charformer and SentencePiece still struggle with non-concatenative morphology and do not solve low-resource problems. The dream of eliminating tokenization to achieve neutrality runs into the practical reality that models still need to learn linguistic structure from somewhere, and removing the tokenizer simply shifts that burden onto the model without guaranteeing fairer outcomes.</w:t>
      </w:r>
    </w:p>
    <w:p w:rsidR="00000000" w:rsidDel="00000000" w:rsidP="00000000" w:rsidRDefault="00000000" w:rsidRPr="00000000" w14:paraId="0000002B">
      <w:pPr>
        <w:pStyle w:val="Heading2"/>
        <w:rPr>
          <w:color w:val="000000"/>
        </w:rPr>
      </w:pPr>
      <w:r w:rsidDel="00000000" w:rsidR="00000000" w:rsidRPr="00000000">
        <w:rPr>
          <w:color w:val="000000"/>
          <w:rtl w:val="0"/>
        </w:rPr>
        <w:t xml:space="preserve">Gaps for future work</w:t>
      </w:r>
    </w:p>
    <w:p w:rsidR="00000000" w:rsidDel="00000000" w:rsidP="00000000" w:rsidRDefault="00000000" w:rsidRPr="00000000" w14:paraId="0000002C">
      <w:pPr>
        <w:spacing w:after="160" w:line="300" w:lineRule="auto"/>
        <w:jc w:val="both"/>
        <w:rPr/>
      </w:pPr>
      <w:r w:rsidDel="00000000" w:rsidR="00000000" w:rsidRPr="00000000">
        <w:rPr>
          <w:rtl w:val="0"/>
        </w:rPr>
        <w:t xml:space="preserve">Neither paper tests whether the tokenizer design choices they advocate actually improve neutrality in a true multilingual setting. Both remain effectively monolingual or language-pair comparisons. Neither explores unsupervised morphological segmentation as a language-neutral alternative to language-specific analysers such as Zemberek. Neither engages with how tokenizer choice interacts with instruction tuning or generative decoding, which is where neutrality failures become user-visible, for instance when certain languages need many more tokens per sentence and hit context limits sooner. Finally, neither paper evaluates the fairness implications of tokenizer disparities across languages, a topic that Petrov and colleagues, cited briefly by Ndomba and colleagues, have begun to investigate and which sits squarely within the language-neutral research agenda.</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MI7VOvmof9Mp5dysbG1YnXgW2A==">CgMxLjA4AHIhMUpHRVZCVm05SlhDZ29ZSWVLUXh0aXY2TVRsRTNLdVls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